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5638F4B">
      <w:pPr>
        <w:keepNext w:val="0"/>
        <w:keepLines w:val="0"/>
        <w:pageBreakBefore w:val="0"/>
        <w:kinsoku/>
        <w:wordWrap/>
        <w:overflowPunct/>
        <w:autoSpaceDE/>
        <w:autoSpaceDN/>
        <w:bidi w:val="0"/>
        <w:spacing w:line="240" w:lineRule="auto"/>
        <w:ind w:firstLine="0" w:firstLineChars="0"/>
        <w:jc w:val="center"/>
        <w:rPr>
          <w:rFonts w:hint="eastAsia" w:ascii="楷体_GB2312" w:eastAsia="楷体_GB2312"/>
          <w:color w:val="auto"/>
          <w:sz w:val="36"/>
          <w:szCs w:val="36"/>
          <w:highlight w:val="none"/>
          <w:lang w:eastAsia="zh-CN"/>
        </w:rPr>
        <w:sectPr>
          <w:headerReference r:id="rId5" w:type="default"/>
          <w:footerReference r:id="rId6" w:type="default"/>
          <w:pgSz w:w="11906" w:h="16838"/>
          <w:pgMar w:top="1531" w:right="1531" w:bottom="1531" w:left="1531" w:header="851" w:footer="1077" w:gutter="0"/>
          <w:pgBorders>
            <w:top w:val="none" w:sz="0" w:space="0"/>
            <w:left w:val="none" w:sz="0" w:space="0"/>
            <w:bottom w:val="none" w:sz="0" w:space="0"/>
            <w:right w:val="none" w:sz="0" w:space="0"/>
          </w:pgBorders>
          <w:pgNumType w:start="1"/>
          <w:cols w:space="0" w:num="1"/>
          <w:rtlGutter w:val="0"/>
          <w:docGrid w:linePitch="312" w:charSpace="0"/>
        </w:sectPr>
      </w:pPr>
      <w:r>
        <w:rPr>
          <w:rFonts w:hint="eastAsia" w:ascii="楷体_GB2312" w:eastAsia="楷体_GB2312"/>
          <w:color w:val="auto"/>
          <w:sz w:val="36"/>
          <w:szCs w:val="36"/>
          <w:highlight w:val="none"/>
          <w:lang w:eastAsia="zh-CN"/>
        </w:rPr>
        <w:drawing>
          <wp:inline distT="0" distB="0" distL="114300" distR="114300">
            <wp:extent cx="5614035" cy="7854315"/>
            <wp:effectExtent l="0" t="0" r="5715" b="13335"/>
            <wp:docPr id="6" name="图片 6" descr="0bc43c3e6a6db8fa5ab2c3a0f37d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bc43c3e6a6db8fa5ab2c3a0f37d325"/>
                    <pic:cNvPicPr>
                      <a:picLocks noChangeAspect="1"/>
                    </pic:cNvPicPr>
                  </pic:nvPicPr>
                  <pic:blipFill>
                    <a:blip r:embed="rId12"/>
                    <a:stretch>
                      <a:fillRect/>
                    </a:stretch>
                  </pic:blipFill>
                  <pic:spPr>
                    <a:xfrm>
                      <a:off x="0" y="0"/>
                      <a:ext cx="5614035" cy="7854315"/>
                    </a:xfrm>
                    <a:prstGeom prst="rect">
                      <a:avLst/>
                    </a:prstGeom>
                  </pic:spPr>
                </pic:pic>
              </a:graphicData>
            </a:graphic>
          </wp:inline>
        </w:drawing>
      </w:r>
    </w:p>
    <w:p w14:paraId="2D2D4F95">
      <w:pPr>
        <w:keepNext w:val="0"/>
        <w:keepLines w:val="0"/>
        <w:pageBreakBefore w:val="0"/>
        <w:kinsoku/>
        <w:wordWrap/>
        <w:overflowPunct/>
        <w:autoSpaceDE/>
        <w:autoSpaceDN/>
        <w:bidi w:val="0"/>
        <w:spacing w:line="240" w:lineRule="auto"/>
        <w:ind w:firstLine="0" w:firstLineChars="0"/>
        <w:jc w:val="center"/>
        <w:rPr>
          <w:rFonts w:hint="eastAsia" w:ascii="楷体_GB2312" w:eastAsia="楷体_GB2312"/>
          <w:color w:val="auto"/>
          <w:sz w:val="36"/>
          <w:szCs w:val="36"/>
          <w:highlight w:val="none"/>
        </w:rPr>
        <w:sectPr>
          <w:pgSz w:w="11906" w:h="16838"/>
          <w:pgMar w:top="1531" w:right="1531" w:bottom="1531" w:left="1531" w:header="851" w:footer="1077" w:gutter="0"/>
          <w:pgBorders>
            <w:top w:val="none" w:sz="0" w:space="0"/>
            <w:left w:val="none" w:sz="0" w:space="0"/>
            <w:bottom w:val="none" w:sz="0" w:space="0"/>
            <w:right w:val="none" w:sz="0" w:space="0"/>
          </w:pgBorders>
          <w:pgNumType w:start="1"/>
          <w:cols w:space="0" w:num="1"/>
          <w:rtlGutter w:val="0"/>
          <w:docGrid w:linePitch="312" w:charSpace="0"/>
        </w:sectPr>
      </w:pPr>
      <w:r>
        <w:drawing>
          <wp:inline distT="0" distB="0" distL="114300" distR="114300">
            <wp:extent cx="5596890" cy="8305800"/>
            <wp:effectExtent l="0" t="0" r="3810" b="0"/>
            <wp:docPr id="7" name="图片 7" descr="97ac839cf9cb543ee26aad875700d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7ac839cf9cb543ee26aad875700d0e"/>
                    <pic:cNvPicPr>
                      <a:picLocks noChangeAspect="1"/>
                    </pic:cNvPicPr>
                  </pic:nvPicPr>
                  <pic:blipFill>
                    <a:blip r:embed="rId13"/>
                    <a:stretch>
                      <a:fillRect/>
                    </a:stretch>
                  </pic:blipFill>
                  <pic:spPr>
                    <a:xfrm>
                      <a:off x="0" y="0"/>
                      <a:ext cx="5596890" cy="8305800"/>
                    </a:xfrm>
                    <a:prstGeom prst="rect">
                      <a:avLst/>
                    </a:prstGeom>
                  </pic:spPr>
                </pic:pic>
              </a:graphicData>
            </a:graphic>
          </wp:inline>
        </w:drawing>
      </w:r>
      <w:r>
        <w:drawing>
          <wp:inline distT="0" distB="0" distL="114300" distR="114300">
            <wp:extent cx="7635240" cy="5318125"/>
            <wp:effectExtent l="0" t="0" r="15875" b="381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4"/>
                    <a:srcRect l="17216" t="7998" r="5936" b="12073"/>
                    <a:stretch>
                      <a:fillRect/>
                    </a:stretch>
                  </pic:blipFill>
                  <pic:spPr>
                    <a:xfrm rot="16200000">
                      <a:off x="0" y="0"/>
                      <a:ext cx="7635240" cy="5318125"/>
                    </a:xfrm>
                    <a:prstGeom prst="rect">
                      <a:avLst/>
                    </a:prstGeom>
                    <a:noFill/>
                    <a:ln>
                      <a:noFill/>
                    </a:ln>
                  </pic:spPr>
                </pic:pic>
              </a:graphicData>
            </a:graphic>
          </wp:inline>
        </w:drawing>
      </w:r>
    </w:p>
    <w:p w14:paraId="4A0E7032">
      <w:pPr>
        <w:keepNext w:val="0"/>
        <w:keepLines w:val="0"/>
        <w:pageBreakBefore w:val="0"/>
        <w:kinsoku/>
        <w:wordWrap/>
        <w:overflowPunct/>
        <w:autoSpaceDE/>
        <w:autoSpaceDN/>
        <w:bidi w:val="0"/>
        <w:spacing w:line="240" w:lineRule="auto"/>
        <w:ind w:firstLine="0" w:firstLineChars="0"/>
        <w:jc w:val="center"/>
        <w:outlineLvl w:val="0"/>
        <w:rPr>
          <w:rFonts w:hint="eastAsia" w:ascii="宋体" w:hAnsi="宋体" w:eastAsia="宋体" w:cs="宋体"/>
          <w:b/>
          <w:bCs/>
          <w:snapToGrid w:val="0"/>
          <w:color w:val="auto"/>
          <w:sz w:val="30"/>
          <w:szCs w:val="30"/>
          <w:highlight w:val="none"/>
        </w:rPr>
      </w:pPr>
      <w:r>
        <w:rPr>
          <w:rFonts w:hint="eastAsia" w:ascii="宋体" w:hAnsi="宋体" w:eastAsia="宋体" w:cs="宋体"/>
          <w:b/>
          <w:bCs/>
          <w:snapToGrid w:val="0"/>
          <w:color w:val="auto"/>
          <w:sz w:val="30"/>
          <w:szCs w:val="30"/>
          <w:highlight w:val="none"/>
        </w:rPr>
        <w:t>一、建设项目基本情况</w:t>
      </w:r>
    </w:p>
    <w:tbl>
      <w:tblPr>
        <w:tblStyle w:val="16"/>
        <w:tblW w:w="88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457"/>
        <w:gridCol w:w="1522"/>
        <w:gridCol w:w="1784"/>
        <w:gridCol w:w="2075"/>
        <w:gridCol w:w="3006"/>
      </w:tblGrid>
      <w:tr w14:paraId="02FDE1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0" w:hRule="atLeast"/>
          <w:jc w:val="center"/>
        </w:trPr>
        <w:tc>
          <w:tcPr>
            <w:tcW w:w="1979" w:type="dxa"/>
            <w:gridSpan w:val="2"/>
            <w:tcMar>
              <w:top w:w="16" w:type="dxa"/>
              <w:left w:w="16" w:type="dxa"/>
              <w:right w:w="16" w:type="dxa"/>
            </w:tcMar>
            <w:vAlign w:val="center"/>
          </w:tcPr>
          <w:p w14:paraId="26F2F81F">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建设项目名称</w:t>
            </w:r>
          </w:p>
        </w:tc>
        <w:tc>
          <w:tcPr>
            <w:tcW w:w="6865" w:type="dxa"/>
            <w:gridSpan w:val="3"/>
            <w:vAlign w:val="center"/>
          </w:tcPr>
          <w:p w14:paraId="52257B74">
            <w:pPr>
              <w:keepNext w:val="0"/>
              <w:keepLines w:val="0"/>
              <w:pageBreakBefore w:val="0"/>
              <w:kinsoku/>
              <w:wordWrap/>
              <w:overflowPunct/>
              <w:autoSpaceDE/>
              <w:autoSpaceDN/>
              <w:bidi w:val="0"/>
              <w:adjustRightInd w:val="0"/>
              <w:snapToGrid w:val="0"/>
              <w:spacing w:line="240" w:lineRule="auto"/>
              <w:ind w:firstLine="0" w:firstLineChars="0"/>
              <w:jc w:val="center"/>
              <w:rPr>
                <w:color w:val="auto"/>
                <w:szCs w:val="21"/>
                <w:highlight w:val="none"/>
              </w:rPr>
            </w:pPr>
            <w:r>
              <w:rPr>
                <w:rFonts w:hint="eastAsia"/>
                <w:color w:val="auto"/>
                <w:szCs w:val="21"/>
                <w:highlight w:val="none"/>
              </w:rPr>
              <w:t>北票发电有限责任公司危废暂存库改造工程</w:t>
            </w:r>
          </w:p>
        </w:tc>
      </w:tr>
      <w:tr w14:paraId="2339C8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979" w:type="dxa"/>
            <w:gridSpan w:val="2"/>
            <w:tcMar>
              <w:top w:w="16" w:type="dxa"/>
              <w:left w:w="16" w:type="dxa"/>
              <w:right w:w="16" w:type="dxa"/>
            </w:tcMar>
            <w:vAlign w:val="center"/>
          </w:tcPr>
          <w:p w14:paraId="60CDC0A2">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项目代码</w:t>
            </w:r>
          </w:p>
        </w:tc>
        <w:tc>
          <w:tcPr>
            <w:tcW w:w="6865" w:type="dxa"/>
            <w:gridSpan w:val="3"/>
            <w:vAlign w:val="center"/>
          </w:tcPr>
          <w:p w14:paraId="5063E44A">
            <w:pPr>
              <w:keepNext w:val="0"/>
              <w:keepLines w:val="0"/>
              <w:pageBreakBefore w:val="0"/>
              <w:kinsoku/>
              <w:wordWrap/>
              <w:overflowPunct/>
              <w:autoSpaceDE/>
              <w:autoSpaceDN/>
              <w:bidi w:val="0"/>
              <w:adjustRightInd w:val="0"/>
              <w:snapToGrid w:val="0"/>
              <w:spacing w:line="240" w:lineRule="auto"/>
              <w:ind w:firstLine="0" w:firstLineChars="0"/>
              <w:jc w:val="center"/>
              <w:rPr>
                <w:color w:val="auto"/>
                <w:szCs w:val="21"/>
                <w:highlight w:val="none"/>
              </w:rPr>
            </w:pPr>
            <w:r>
              <w:rPr>
                <w:rFonts w:hint="eastAsia"/>
                <w:color w:val="auto"/>
                <w:szCs w:val="21"/>
                <w:highlight w:val="none"/>
              </w:rPr>
              <w:t>/</w:t>
            </w:r>
          </w:p>
        </w:tc>
      </w:tr>
      <w:tr w14:paraId="48E577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979" w:type="dxa"/>
            <w:gridSpan w:val="2"/>
            <w:tcMar>
              <w:top w:w="16" w:type="dxa"/>
              <w:left w:w="16" w:type="dxa"/>
              <w:right w:w="16" w:type="dxa"/>
            </w:tcMar>
            <w:vAlign w:val="center"/>
          </w:tcPr>
          <w:p w14:paraId="7AD7F7E4">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建设单位联系人</w:t>
            </w:r>
          </w:p>
        </w:tc>
        <w:tc>
          <w:tcPr>
            <w:tcW w:w="1784" w:type="dxa"/>
            <w:vAlign w:val="center"/>
          </w:tcPr>
          <w:p w14:paraId="4A4DED39">
            <w:pPr>
              <w:keepNext w:val="0"/>
              <w:keepLines w:val="0"/>
              <w:pageBreakBefore w:val="0"/>
              <w:kinsoku/>
              <w:wordWrap/>
              <w:overflowPunct/>
              <w:autoSpaceDE/>
              <w:autoSpaceDN/>
              <w:bidi w:val="0"/>
              <w:adjustRightInd w:val="0"/>
              <w:snapToGrid w:val="0"/>
              <w:spacing w:line="240" w:lineRule="auto"/>
              <w:ind w:firstLine="0" w:firstLineChars="0"/>
              <w:jc w:val="center"/>
              <w:rPr>
                <w:rFonts w:hint="eastAsia" w:eastAsia="宋体"/>
                <w:color w:val="auto"/>
                <w:szCs w:val="21"/>
                <w:highlight w:val="none"/>
                <w:lang w:eastAsia="zh-CN"/>
              </w:rPr>
            </w:pPr>
            <w:r>
              <w:rPr>
                <w:rFonts w:hint="eastAsia"/>
                <w:color w:val="auto"/>
                <w:szCs w:val="21"/>
                <w:highlight w:val="none"/>
                <w:lang w:eastAsia="zh-CN"/>
              </w:rPr>
              <w:t>方润甲</w:t>
            </w:r>
          </w:p>
        </w:tc>
        <w:tc>
          <w:tcPr>
            <w:tcW w:w="2075" w:type="dxa"/>
            <w:vAlign w:val="center"/>
          </w:tcPr>
          <w:p w14:paraId="2A92863D">
            <w:pPr>
              <w:keepNext w:val="0"/>
              <w:keepLines w:val="0"/>
              <w:pageBreakBefore w:val="0"/>
              <w:kinsoku/>
              <w:wordWrap/>
              <w:overflowPunct/>
              <w:autoSpaceDE/>
              <w:autoSpaceDN/>
              <w:bidi w:val="0"/>
              <w:adjustRightInd w:val="0"/>
              <w:snapToGrid w:val="0"/>
              <w:spacing w:line="240" w:lineRule="auto"/>
              <w:ind w:firstLine="0" w:firstLineChars="0"/>
              <w:jc w:val="center"/>
              <w:rPr>
                <w:color w:val="auto"/>
                <w:szCs w:val="21"/>
                <w:highlight w:val="none"/>
              </w:rPr>
            </w:pPr>
            <w:r>
              <w:rPr>
                <w:rFonts w:hint="eastAsia"/>
                <w:b/>
                <w:bCs/>
                <w:color w:val="auto"/>
                <w:szCs w:val="21"/>
                <w:highlight w:val="none"/>
              </w:rPr>
              <w:t>联系方式</w:t>
            </w:r>
          </w:p>
        </w:tc>
        <w:tc>
          <w:tcPr>
            <w:tcW w:w="3006" w:type="dxa"/>
            <w:vAlign w:val="center"/>
          </w:tcPr>
          <w:p w14:paraId="5234A687">
            <w:pPr>
              <w:keepNext w:val="0"/>
              <w:keepLines w:val="0"/>
              <w:pageBreakBefore w:val="0"/>
              <w:kinsoku/>
              <w:wordWrap/>
              <w:overflowPunct/>
              <w:autoSpaceDE/>
              <w:autoSpaceDN/>
              <w:bidi w:val="0"/>
              <w:adjustRightInd w:val="0"/>
              <w:snapToGrid w:val="0"/>
              <w:spacing w:line="240" w:lineRule="auto"/>
              <w:ind w:firstLine="0" w:firstLineChars="0"/>
              <w:jc w:val="center"/>
              <w:rPr>
                <w:rFonts w:hint="default" w:eastAsia="宋体"/>
                <w:color w:val="auto"/>
                <w:szCs w:val="21"/>
                <w:highlight w:val="none"/>
                <w:lang w:val="en-US" w:eastAsia="zh-CN"/>
              </w:rPr>
            </w:pPr>
            <w:r>
              <w:rPr>
                <w:rFonts w:hint="eastAsia"/>
                <w:color w:val="auto"/>
                <w:szCs w:val="21"/>
                <w:highlight w:val="none"/>
                <w:lang w:val="en-US" w:eastAsia="zh-CN"/>
              </w:rPr>
              <w:t>15114231333</w:t>
            </w:r>
          </w:p>
        </w:tc>
      </w:tr>
      <w:tr w14:paraId="0AAB50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979" w:type="dxa"/>
            <w:gridSpan w:val="2"/>
            <w:tcMar>
              <w:top w:w="16" w:type="dxa"/>
              <w:left w:w="16" w:type="dxa"/>
              <w:right w:w="16" w:type="dxa"/>
            </w:tcMar>
            <w:vAlign w:val="center"/>
          </w:tcPr>
          <w:p w14:paraId="261766DB">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建设地点</w:t>
            </w:r>
          </w:p>
        </w:tc>
        <w:tc>
          <w:tcPr>
            <w:tcW w:w="6865" w:type="dxa"/>
            <w:gridSpan w:val="3"/>
            <w:vAlign w:val="center"/>
          </w:tcPr>
          <w:p w14:paraId="6AD1B8CC">
            <w:pPr>
              <w:keepNext w:val="0"/>
              <w:keepLines w:val="0"/>
              <w:pageBreakBefore w:val="0"/>
              <w:kinsoku/>
              <w:wordWrap/>
              <w:overflowPunct/>
              <w:autoSpaceDE/>
              <w:autoSpaceDN/>
              <w:bidi w:val="0"/>
              <w:adjustRightInd w:val="0"/>
              <w:snapToGrid w:val="0"/>
              <w:spacing w:line="240" w:lineRule="auto"/>
              <w:ind w:firstLine="0" w:firstLineChars="0"/>
              <w:jc w:val="center"/>
              <w:rPr>
                <w:color w:val="auto"/>
                <w:highlight w:val="none"/>
              </w:rPr>
            </w:pPr>
            <w:r>
              <w:rPr>
                <w:rFonts w:hint="eastAsia" w:ascii="Times New Roman" w:hAnsi="Times New Roman" w:eastAsia="宋体" w:cs="Times New Roman"/>
                <w:b w:val="0"/>
                <w:bCs/>
                <w:color w:val="auto"/>
                <w:sz w:val="24"/>
                <w:highlight w:val="none"/>
                <w:u w:val="none"/>
              </w:rPr>
              <w:t>辽宁省朝阳市北票市建设路</w:t>
            </w:r>
            <w:r>
              <w:rPr>
                <w:rFonts w:hint="eastAsia"/>
                <w:color w:val="auto"/>
                <w:highlight w:val="none"/>
              </w:rPr>
              <w:t>北票发电有限责任公司厂区内</w:t>
            </w:r>
          </w:p>
        </w:tc>
      </w:tr>
      <w:tr w14:paraId="4E6ACD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979" w:type="dxa"/>
            <w:gridSpan w:val="2"/>
            <w:tcMar>
              <w:top w:w="16" w:type="dxa"/>
              <w:left w:w="16" w:type="dxa"/>
              <w:right w:w="16" w:type="dxa"/>
            </w:tcMar>
            <w:vAlign w:val="center"/>
          </w:tcPr>
          <w:p w14:paraId="69461CFB">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地理坐标</w:t>
            </w:r>
          </w:p>
        </w:tc>
        <w:tc>
          <w:tcPr>
            <w:tcW w:w="6865" w:type="dxa"/>
            <w:gridSpan w:val="3"/>
            <w:vAlign w:val="center"/>
          </w:tcPr>
          <w:p w14:paraId="41D2C8B6">
            <w:pPr>
              <w:keepNext w:val="0"/>
              <w:keepLines w:val="0"/>
              <w:pageBreakBefore w:val="0"/>
              <w:kinsoku/>
              <w:wordWrap/>
              <w:overflowPunct/>
              <w:autoSpaceDE/>
              <w:autoSpaceDN/>
              <w:bidi w:val="0"/>
              <w:spacing w:line="240" w:lineRule="auto"/>
              <w:ind w:firstLine="0" w:firstLineChars="0"/>
              <w:jc w:val="center"/>
              <w:rPr>
                <w:color w:val="auto"/>
                <w:szCs w:val="21"/>
                <w:highlight w:val="none"/>
              </w:rPr>
            </w:pPr>
            <w:r>
              <w:rPr>
                <w:rFonts w:hint="eastAsia"/>
                <w:color w:val="auto"/>
                <w:szCs w:val="21"/>
                <w:highlight w:val="none"/>
                <w:u w:val="none"/>
                <w:lang w:val="en-US" w:eastAsia="zh-CN"/>
              </w:rPr>
              <w:t>经度120</w:t>
            </w:r>
            <w:r>
              <w:rPr>
                <w:rFonts w:hint="eastAsia"/>
                <w:color w:val="auto"/>
                <w:szCs w:val="21"/>
                <w:highlight w:val="none"/>
                <w:u w:val="none"/>
              </w:rPr>
              <w:t>度</w:t>
            </w:r>
            <w:r>
              <w:rPr>
                <w:rFonts w:hint="eastAsia"/>
                <w:color w:val="auto"/>
                <w:szCs w:val="21"/>
                <w:highlight w:val="none"/>
                <w:u w:val="none"/>
                <w:lang w:val="en-US" w:eastAsia="zh-CN"/>
              </w:rPr>
              <w:t>45</w:t>
            </w:r>
            <w:r>
              <w:rPr>
                <w:rFonts w:hint="eastAsia"/>
                <w:color w:val="auto"/>
                <w:szCs w:val="21"/>
                <w:highlight w:val="none"/>
                <w:u w:val="none"/>
              </w:rPr>
              <w:t>分</w:t>
            </w:r>
            <w:r>
              <w:rPr>
                <w:rFonts w:hint="eastAsia"/>
                <w:color w:val="auto"/>
                <w:szCs w:val="21"/>
                <w:highlight w:val="none"/>
                <w:u w:val="none"/>
                <w:lang w:val="en-US" w:eastAsia="zh-CN"/>
              </w:rPr>
              <w:t>21.57</w:t>
            </w:r>
            <w:r>
              <w:rPr>
                <w:rFonts w:hint="eastAsia"/>
                <w:color w:val="auto"/>
                <w:szCs w:val="21"/>
                <w:highlight w:val="none"/>
                <w:u w:val="none"/>
              </w:rPr>
              <w:t>秒</w:t>
            </w:r>
            <w:r>
              <w:rPr>
                <w:rFonts w:hint="eastAsia"/>
                <w:color w:val="auto"/>
                <w:szCs w:val="21"/>
                <w:highlight w:val="none"/>
              </w:rPr>
              <w:t>，</w:t>
            </w:r>
            <w:r>
              <w:rPr>
                <w:rFonts w:hint="eastAsia"/>
                <w:color w:val="auto"/>
                <w:szCs w:val="21"/>
                <w:highlight w:val="none"/>
                <w:lang w:eastAsia="zh-CN"/>
              </w:rPr>
              <w:t>纬</w:t>
            </w:r>
            <w:r>
              <w:rPr>
                <w:rFonts w:hint="eastAsia"/>
                <w:color w:val="auto"/>
                <w:szCs w:val="21"/>
                <w:highlight w:val="none"/>
                <w:u w:val="none"/>
                <w:lang w:eastAsia="zh-CN"/>
              </w:rPr>
              <w:t>度</w:t>
            </w:r>
            <w:r>
              <w:rPr>
                <w:rFonts w:hint="eastAsia"/>
                <w:color w:val="auto"/>
                <w:szCs w:val="21"/>
                <w:highlight w:val="none"/>
                <w:u w:val="none"/>
                <w:lang w:val="en-US" w:eastAsia="zh-CN"/>
              </w:rPr>
              <w:t>41</w:t>
            </w:r>
            <w:r>
              <w:rPr>
                <w:rFonts w:hint="eastAsia"/>
                <w:color w:val="auto"/>
                <w:szCs w:val="21"/>
                <w:highlight w:val="none"/>
                <w:u w:val="none"/>
              </w:rPr>
              <w:t>度</w:t>
            </w:r>
            <w:r>
              <w:rPr>
                <w:rFonts w:hint="eastAsia"/>
                <w:color w:val="auto"/>
                <w:szCs w:val="21"/>
                <w:highlight w:val="none"/>
                <w:u w:val="none"/>
                <w:lang w:val="en-US" w:eastAsia="zh-CN"/>
              </w:rPr>
              <w:t>48</w:t>
            </w:r>
            <w:r>
              <w:rPr>
                <w:rFonts w:hint="eastAsia"/>
                <w:color w:val="auto"/>
                <w:szCs w:val="21"/>
                <w:highlight w:val="none"/>
                <w:u w:val="none"/>
              </w:rPr>
              <w:t>分</w:t>
            </w:r>
            <w:r>
              <w:rPr>
                <w:rFonts w:hint="eastAsia"/>
                <w:color w:val="auto"/>
                <w:szCs w:val="21"/>
                <w:highlight w:val="none"/>
                <w:u w:val="none"/>
                <w:lang w:val="en-US" w:eastAsia="zh-CN"/>
              </w:rPr>
              <w:t>7.11</w:t>
            </w:r>
            <w:r>
              <w:rPr>
                <w:rFonts w:hint="eastAsia"/>
                <w:color w:val="auto"/>
                <w:szCs w:val="21"/>
                <w:highlight w:val="none"/>
                <w:u w:val="none"/>
              </w:rPr>
              <w:t>秒</w:t>
            </w:r>
          </w:p>
        </w:tc>
      </w:tr>
      <w:tr w14:paraId="594EB6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979" w:type="dxa"/>
            <w:gridSpan w:val="2"/>
            <w:tcMar>
              <w:top w:w="16" w:type="dxa"/>
              <w:left w:w="16" w:type="dxa"/>
              <w:right w:w="16" w:type="dxa"/>
            </w:tcMar>
            <w:vAlign w:val="center"/>
          </w:tcPr>
          <w:p w14:paraId="72660996">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国民经济</w:t>
            </w:r>
          </w:p>
          <w:p w14:paraId="4F8AB0B5">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行业类别</w:t>
            </w:r>
          </w:p>
        </w:tc>
        <w:tc>
          <w:tcPr>
            <w:tcW w:w="1784" w:type="dxa"/>
            <w:vAlign w:val="center"/>
          </w:tcPr>
          <w:p w14:paraId="16A9FB47">
            <w:pPr>
              <w:keepNext w:val="0"/>
              <w:keepLines w:val="0"/>
              <w:pageBreakBefore w:val="0"/>
              <w:kinsoku/>
              <w:wordWrap/>
              <w:overflowPunct/>
              <w:autoSpaceDE/>
              <w:autoSpaceDN/>
              <w:bidi w:val="0"/>
              <w:spacing w:line="240" w:lineRule="auto"/>
              <w:ind w:firstLine="0" w:firstLineChars="0"/>
              <w:jc w:val="center"/>
              <w:rPr>
                <w:color w:val="auto"/>
                <w:szCs w:val="21"/>
                <w:highlight w:val="none"/>
              </w:rPr>
            </w:pPr>
            <w:r>
              <w:rPr>
                <w:rFonts w:hint="eastAsia"/>
                <w:color w:val="auto"/>
                <w:szCs w:val="21"/>
                <w:highlight w:val="none"/>
                <w:lang w:val="en-US" w:eastAsia="zh-CN"/>
              </w:rPr>
              <w:t>D4412</w:t>
            </w:r>
            <w:r>
              <w:rPr>
                <w:rFonts w:hint="eastAsia"/>
                <w:color w:val="auto"/>
                <w:szCs w:val="21"/>
                <w:highlight w:val="none"/>
              </w:rPr>
              <w:t xml:space="preserve"> </w:t>
            </w:r>
            <w:r>
              <w:rPr>
                <w:rFonts w:hint="eastAsia"/>
                <w:color w:val="auto"/>
                <w:szCs w:val="21"/>
                <w:highlight w:val="none"/>
                <w:lang w:eastAsia="zh-CN"/>
              </w:rPr>
              <w:t>热电联产</w:t>
            </w:r>
          </w:p>
        </w:tc>
        <w:tc>
          <w:tcPr>
            <w:tcW w:w="2075" w:type="dxa"/>
            <w:vAlign w:val="center"/>
          </w:tcPr>
          <w:p w14:paraId="7C03CB69">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bookmarkStart w:id="0" w:name="_Hlk49843745"/>
            <w:r>
              <w:rPr>
                <w:rFonts w:hint="eastAsia"/>
                <w:b/>
                <w:bCs/>
                <w:color w:val="auto"/>
                <w:szCs w:val="21"/>
                <w:highlight w:val="none"/>
              </w:rPr>
              <w:t>建设项目行业类别</w:t>
            </w:r>
            <w:bookmarkEnd w:id="0"/>
          </w:p>
        </w:tc>
        <w:tc>
          <w:tcPr>
            <w:tcW w:w="3006" w:type="dxa"/>
            <w:vAlign w:val="center"/>
          </w:tcPr>
          <w:p w14:paraId="389F7B6C">
            <w:pPr>
              <w:keepNext w:val="0"/>
              <w:keepLines w:val="0"/>
              <w:pageBreakBefore w:val="0"/>
              <w:kinsoku/>
              <w:wordWrap/>
              <w:overflowPunct/>
              <w:autoSpaceDE/>
              <w:autoSpaceDN/>
              <w:bidi w:val="0"/>
              <w:adjustRightInd w:val="0"/>
              <w:snapToGrid w:val="0"/>
              <w:spacing w:line="240" w:lineRule="auto"/>
              <w:ind w:firstLine="0" w:firstLineChars="0"/>
              <w:jc w:val="center"/>
              <w:rPr>
                <w:color w:val="auto"/>
                <w:szCs w:val="21"/>
                <w:highlight w:val="none"/>
              </w:rPr>
            </w:pPr>
            <w:r>
              <w:rPr>
                <w:color w:val="auto"/>
                <w:szCs w:val="32"/>
                <w:highlight w:val="none"/>
              </w:rPr>
              <w:t>四十七、</w:t>
            </w:r>
            <w:r>
              <w:rPr>
                <w:color w:val="auto"/>
                <w:highlight w:val="none"/>
              </w:rPr>
              <w:t>生态保护和环境治理业</w:t>
            </w:r>
            <w:r>
              <w:rPr>
                <w:color w:val="auto"/>
                <w:szCs w:val="32"/>
                <w:highlight w:val="none"/>
              </w:rPr>
              <w:t xml:space="preserve"> 101危险废物（不含医疗废物）利用及处置 其他</w:t>
            </w:r>
            <w:r>
              <w:rPr>
                <w:rFonts w:hint="eastAsia"/>
                <w:color w:val="auto"/>
                <w:highlight w:val="none"/>
              </w:rPr>
              <w:t>）</w:t>
            </w:r>
          </w:p>
        </w:tc>
      </w:tr>
      <w:tr w14:paraId="067F48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979" w:type="dxa"/>
            <w:gridSpan w:val="2"/>
            <w:tcMar>
              <w:top w:w="16" w:type="dxa"/>
              <w:left w:w="16" w:type="dxa"/>
              <w:right w:w="16" w:type="dxa"/>
            </w:tcMar>
            <w:vAlign w:val="center"/>
          </w:tcPr>
          <w:p w14:paraId="3BCA84A5">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建设性质</w:t>
            </w:r>
          </w:p>
        </w:tc>
        <w:tc>
          <w:tcPr>
            <w:tcW w:w="1784" w:type="dxa"/>
            <w:vAlign w:val="center"/>
          </w:tcPr>
          <w:p w14:paraId="634F7C8A">
            <w:pPr>
              <w:keepNext w:val="0"/>
              <w:keepLines w:val="0"/>
              <w:pageBreakBefore w:val="0"/>
              <w:kinsoku/>
              <w:wordWrap/>
              <w:overflowPunct/>
              <w:autoSpaceDE/>
              <w:autoSpaceDN/>
              <w:bidi w:val="0"/>
              <w:spacing w:line="240" w:lineRule="auto"/>
              <w:ind w:firstLine="0" w:firstLineChars="0"/>
              <w:jc w:val="both"/>
              <w:rPr>
                <w:color w:val="auto"/>
                <w:szCs w:val="21"/>
                <w:highlight w:val="none"/>
              </w:rPr>
            </w:pPr>
            <w:r>
              <w:rPr>
                <w:rFonts w:hint="eastAsia"/>
                <w:color w:val="auto"/>
                <w:szCs w:val="21"/>
                <w:highlight w:val="none"/>
              </w:rPr>
              <w:t>□新建（迁建）</w:t>
            </w:r>
          </w:p>
          <w:p w14:paraId="7B69A8B9">
            <w:pPr>
              <w:keepNext w:val="0"/>
              <w:keepLines w:val="0"/>
              <w:pageBreakBefore w:val="0"/>
              <w:kinsoku/>
              <w:wordWrap/>
              <w:overflowPunct/>
              <w:autoSpaceDE/>
              <w:autoSpaceDN/>
              <w:bidi w:val="0"/>
              <w:spacing w:line="240" w:lineRule="auto"/>
              <w:ind w:firstLine="0" w:firstLineChars="0"/>
              <w:jc w:val="both"/>
              <w:rPr>
                <w:color w:val="auto"/>
                <w:szCs w:val="21"/>
                <w:highlight w:val="none"/>
              </w:rPr>
            </w:pPr>
            <w:r>
              <w:rPr>
                <w:rFonts w:hint="eastAsia"/>
                <w:color w:val="auto"/>
                <w:szCs w:val="21"/>
                <w:highlight w:val="none"/>
                <w:lang w:eastAsia="zh-CN"/>
              </w:rPr>
              <w:t>☑</w:t>
            </w:r>
            <w:r>
              <w:rPr>
                <w:rFonts w:hint="eastAsia"/>
                <w:color w:val="auto"/>
                <w:szCs w:val="21"/>
                <w:highlight w:val="none"/>
              </w:rPr>
              <w:t>改建</w:t>
            </w:r>
          </w:p>
          <w:p w14:paraId="1F7AC54F">
            <w:pPr>
              <w:keepNext w:val="0"/>
              <w:keepLines w:val="0"/>
              <w:pageBreakBefore w:val="0"/>
              <w:kinsoku/>
              <w:wordWrap/>
              <w:overflowPunct/>
              <w:autoSpaceDE/>
              <w:autoSpaceDN/>
              <w:bidi w:val="0"/>
              <w:spacing w:line="240" w:lineRule="auto"/>
              <w:ind w:firstLine="0" w:firstLineChars="0"/>
              <w:jc w:val="both"/>
              <w:rPr>
                <w:color w:val="auto"/>
                <w:szCs w:val="21"/>
                <w:highlight w:val="none"/>
              </w:rPr>
            </w:pPr>
            <w:r>
              <w:rPr>
                <w:rFonts w:hint="eastAsia"/>
                <w:color w:val="auto"/>
                <w:szCs w:val="21"/>
                <w:highlight w:val="none"/>
              </w:rPr>
              <w:t>□扩建</w:t>
            </w:r>
          </w:p>
          <w:p w14:paraId="43F0242B">
            <w:pPr>
              <w:keepNext w:val="0"/>
              <w:keepLines w:val="0"/>
              <w:pageBreakBefore w:val="0"/>
              <w:kinsoku/>
              <w:wordWrap/>
              <w:overflowPunct/>
              <w:autoSpaceDE/>
              <w:autoSpaceDN/>
              <w:bidi w:val="0"/>
              <w:spacing w:line="240" w:lineRule="auto"/>
              <w:ind w:firstLine="0" w:firstLineChars="0"/>
              <w:jc w:val="both"/>
              <w:rPr>
                <w:color w:val="auto"/>
                <w:szCs w:val="21"/>
                <w:highlight w:val="none"/>
              </w:rPr>
            </w:pPr>
            <w:r>
              <w:rPr>
                <w:rFonts w:hint="eastAsia"/>
                <w:color w:val="auto"/>
                <w:szCs w:val="21"/>
                <w:highlight w:val="none"/>
                <w:lang w:eastAsia="zh-CN"/>
              </w:rPr>
              <w:t>□</w:t>
            </w:r>
            <w:r>
              <w:rPr>
                <w:rFonts w:hint="eastAsia"/>
                <w:color w:val="auto"/>
                <w:szCs w:val="21"/>
                <w:highlight w:val="none"/>
              </w:rPr>
              <w:t>技术改造</w:t>
            </w:r>
          </w:p>
        </w:tc>
        <w:tc>
          <w:tcPr>
            <w:tcW w:w="2075" w:type="dxa"/>
            <w:vAlign w:val="center"/>
          </w:tcPr>
          <w:p w14:paraId="49FEBF16">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建设项目申报情形</w:t>
            </w:r>
          </w:p>
        </w:tc>
        <w:tc>
          <w:tcPr>
            <w:tcW w:w="3006" w:type="dxa"/>
            <w:vAlign w:val="center"/>
          </w:tcPr>
          <w:p w14:paraId="4CF583E3">
            <w:pPr>
              <w:keepNext w:val="0"/>
              <w:keepLines w:val="0"/>
              <w:pageBreakBefore w:val="0"/>
              <w:kinsoku/>
              <w:wordWrap/>
              <w:overflowPunct/>
              <w:autoSpaceDE/>
              <w:autoSpaceDN/>
              <w:bidi w:val="0"/>
              <w:spacing w:line="240" w:lineRule="auto"/>
              <w:ind w:firstLine="0" w:firstLineChars="0"/>
              <w:jc w:val="both"/>
              <w:rPr>
                <w:color w:val="auto"/>
                <w:szCs w:val="21"/>
                <w:highlight w:val="none"/>
              </w:rPr>
            </w:pPr>
            <w:r>
              <w:rPr>
                <w:rFonts w:hint="eastAsia"/>
                <w:color w:val="auto"/>
                <w:szCs w:val="21"/>
                <w:highlight w:val="none"/>
              </w:rPr>
              <w:t>☑首次申报项目</w:t>
            </w:r>
            <w:r>
              <w:rPr>
                <w:color w:val="auto"/>
                <w:szCs w:val="21"/>
                <w:highlight w:val="none"/>
              </w:rPr>
              <w:t xml:space="preserve">             </w:t>
            </w:r>
          </w:p>
          <w:p w14:paraId="01D16D97">
            <w:pPr>
              <w:keepNext w:val="0"/>
              <w:keepLines w:val="0"/>
              <w:pageBreakBefore w:val="0"/>
              <w:kinsoku/>
              <w:wordWrap/>
              <w:overflowPunct/>
              <w:autoSpaceDE/>
              <w:autoSpaceDN/>
              <w:bidi w:val="0"/>
              <w:spacing w:line="240" w:lineRule="auto"/>
              <w:ind w:firstLine="0" w:firstLineChars="0"/>
              <w:jc w:val="both"/>
              <w:rPr>
                <w:color w:val="auto"/>
                <w:szCs w:val="21"/>
                <w:highlight w:val="none"/>
              </w:rPr>
            </w:pPr>
            <w:r>
              <w:rPr>
                <w:rFonts w:hint="eastAsia"/>
                <w:color w:val="auto"/>
                <w:szCs w:val="21"/>
                <w:highlight w:val="none"/>
              </w:rPr>
              <w:t>□不予批准后再次申报项目</w:t>
            </w:r>
          </w:p>
          <w:p w14:paraId="5A65F054">
            <w:pPr>
              <w:keepNext w:val="0"/>
              <w:keepLines w:val="0"/>
              <w:pageBreakBefore w:val="0"/>
              <w:kinsoku/>
              <w:wordWrap/>
              <w:overflowPunct/>
              <w:autoSpaceDE/>
              <w:autoSpaceDN/>
              <w:bidi w:val="0"/>
              <w:spacing w:line="240" w:lineRule="auto"/>
              <w:ind w:firstLine="0" w:firstLineChars="0"/>
              <w:jc w:val="both"/>
              <w:rPr>
                <w:color w:val="auto"/>
                <w:szCs w:val="21"/>
                <w:highlight w:val="none"/>
              </w:rPr>
            </w:pPr>
            <w:r>
              <w:rPr>
                <w:rFonts w:hint="eastAsia"/>
                <w:color w:val="auto"/>
                <w:szCs w:val="21"/>
                <w:highlight w:val="none"/>
              </w:rPr>
              <w:t>□超五年重新审核项目</w:t>
            </w:r>
            <w:r>
              <w:rPr>
                <w:color w:val="auto"/>
                <w:szCs w:val="21"/>
                <w:highlight w:val="none"/>
              </w:rPr>
              <w:t xml:space="preserve">     </w:t>
            </w:r>
          </w:p>
          <w:p w14:paraId="13C1A262">
            <w:pPr>
              <w:keepNext w:val="0"/>
              <w:keepLines w:val="0"/>
              <w:pageBreakBefore w:val="0"/>
              <w:kinsoku/>
              <w:wordWrap/>
              <w:overflowPunct/>
              <w:autoSpaceDE/>
              <w:autoSpaceDN/>
              <w:bidi w:val="0"/>
              <w:spacing w:line="240" w:lineRule="auto"/>
              <w:ind w:firstLine="0" w:firstLineChars="0"/>
              <w:jc w:val="both"/>
              <w:rPr>
                <w:color w:val="auto"/>
                <w:szCs w:val="21"/>
                <w:highlight w:val="none"/>
              </w:rPr>
            </w:pPr>
            <w:r>
              <w:rPr>
                <w:rFonts w:hint="eastAsia"/>
                <w:color w:val="auto"/>
                <w:szCs w:val="21"/>
                <w:highlight w:val="none"/>
              </w:rPr>
              <w:t>□重大变动重新报批项目</w:t>
            </w:r>
          </w:p>
        </w:tc>
      </w:tr>
      <w:tr w14:paraId="7E5816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979" w:type="dxa"/>
            <w:gridSpan w:val="2"/>
            <w:tcMar>
              <w:top w:w="16" w:type="dxa"/>
              <w:left w:w="16" w:type="dxa"/>
              <w:right w:w="16" w:type="dxa"/>
            </w:tcMar>
            <w:vAlign w:val="center"/>
          </w:tcPr>
          <w:p w14:paraId="5C0346AB">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项目审批（核准</w:t>
            </w:r>
            <w:r>
              <w:rPr>
                <w:b/>
                <w:bCs/>
                <w:color w:val="auto"/>
                <w:szCs w:val="21"/>
                <w:highlight w:val="none"/>
              </w:rPr>
              <w:t>/</w:t>
            </w:r>
            <w:r>
              <w:rPr>
                <w:rFonts w:hint="eastAsia"/>
                <w:b/>
                <w:bCs/>
                <w:color w:val="auto"/>
                <w:szCs w:val="21"/>
                <w:highlight w:val="none"/>
              </w:rPr>
              <w:t>备案）部门（选填）</w:t>
            </w:r>
          </w:p>
        </w:tc>
        <w:tc>
          <w:tcPr>
            <w:tcW w:w="1784" w:type="dxa"/>
            <w:vAlign w:val="center"/>
          </w:tcPr>
          <w:p w14:paraId="04BAE74A">
            <w:pPr>
              <w:keepNext w:val="0"/>
              <w:keepLines w:val="0"/>
              <w:pageBreakBefore w:val="0"/>
              <w:kinsoku/>
              <w:wordWrap/>
              <w:overflowPunct/>
              <w:autoSpaceDE/>
              <w:autoSpaceDN/>
              <w:bidi w:val="0"/>
              <w:adjustRightInd w:val="0"/>
              <w:snapToGrid w:val="0"/>
              <w:spacing w:line="240" w:lineRule="auto"/>
              <w:ind w:firstLine="0" w:firstLineChars="0"/>
              <w:jc w:val="center"/>
              <w:rPr>
                <w:color w:val="auto"/>
                <w:szCs w:val="21"/>
                <w:highlight w:val="none"/>
              </w:rPr>
            </w:pPr>
            <w:r>
              <w:rPr>
                <w:rFonts w:hint="eastAsia"/>
                <w:color w:val="auto"/>
                <w:szCs w:val="21"/>
                <w:highlight w:val="none"/>
              </w:rPr>
              <w:t>/</w:t>
            </w:r>
          </w:p>
        </w:tc>
        <w:tc>
          <w:tcPr>
            <w:tcW w:w="2075" w:type="dxa"/>
            <w:vAlign w:val="center"/>
          </w:tcPr>
          <w:p w14:paraId="1147BB35">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项目审批（核准</w:t>
            </w:r>
            <w:r>
              <w:rPr>
                <w:b/>
                <w:bCs/>
                <w:color w:val="auto"/>
                <w:szCs w:val="21"/>
                <w:highlight w:val="none"/>
              </w:rPr>
              <w:t>/</w:t>
            </w:r>
          </w:p>
          <w:p w14:paraId="07E59203">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备案）文号（选填）</w:t>
            </w:r>
          </w:p>
        </w:tc>
        <w:tc>
          <w:tcPr>
            <w:tcW w:w="3006" w:type="dxa"/>
            <w:vAlign w:val="center"/>
          </w:tcPr>
          <w:p w14:paraId="0D1F2195">
            <w:pPr>
              <w:keepNext w:val="0"/>
              <w:keepLines w:val="0"/>
              <w:pageBreakBefore w:val="0"/>
              <w:kinsoku/>
              <w:wordWrap/>
              <w:overflowPunct/>
              <w:autoSpaceDE/>
              <w:autoSpaceDN/>
              <w:bidi w:val="0"/>
              <w:adjustRightInd w:val="0"/>
              <w:snapToGrid w:val="0"/>
              <w:spacing w:line="240" w:lineRule="auto"/>
              <w:ind w:firstLine="0" w:firstLineChars="0"/>
              <w:jc w:val="center"/>
              <w:rPr>
                <w:color w:val="auto"/>
                <w:szCs w:val="21"/>
                <w:highlight w:val="none"/>
              </w:rPr>
            </w:pPr>
            <w:r>
              <w:rPr>
                <w:rFonts w:hint="eastAsia"/>
                <w:color w:val="auto"/>
                <w:szCs w:val="21"/>
                <w:highlight w:val="none"/>
              </w:rPr>
              <w:t>/</w:t>
            </w:r>
          </w:p>
        </w:tc>
      </w:tr>
      <w:tr w14:paraId="6DBFC7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979" w:type="dxa"/>
            <w:gridSpan w:val="2"/>
            <w:tcMar>
              <w:top w:w="16" w:type="dxa"/>
              <w:left w:w="16" w:type="dxa"/>
              <w:right w:w="16" w:type="dxa"/>
            </w:tcMar>
            <w:vAlign w:val="center"/>
          </w:tcPr>
          <w:p w14:paraId="14590198">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总投资（万元）</w:t>
            </w:r>
          </w:p>
        </w:tc>
        <w:tc>
          <w:tcPr>
            <w:tcW w:w="1784" w:type="dxa"/>
            <w:vAlign w:val="center"/>
          </w:tcPr>
          <w:p w14:paraId="359ECDF4">
            <w:pPr>
              <w:keepNext w:val="0"/>
              <w:keepLines w:val="0"/>
              <w:pageBreakBefore w:val="0"/>
              <w:kinsoku/>
              <w:wordWrap/>
              <w:overflowPunct/>
              <w:autoSpaceDE/>
              <w:autoSpaceDN/>
              <w:bidi w:val="0"/>
              <w:adjustRightInd w:val="0"/>
              <w:snapToGrid w:val="0"/>
              <w:spacing w:line="240" w:lineRule="auto"/>
              <w:ind w:firstLine="0" w:firstLineChars="0"/>
              <w:jc w:val="center"/>
              <w:rPr>
                <w:rFonts w:hint="default" w:eastAsia="宋体"/>
                <w:color w:val="auto"/>
                <w:szCs w:val="21"/>
                <w:highlight w:val="none"/>
                <w:lang w:val="en-US" w:eastAsia="zh-CN"/>
              </w:rPr>
            </w:pPr>
            <w:r>
              <w:rPr>
                <w:rFonts w:hint="eastAsia"/>
                <w:color w:val="auto"/>
                <w:szCs w:val="21"/>
                <w:highlight w:val="none"/>
                <w:lang w:val="en-US" w:eastAsia="zh-CN"/>
              </w:rPr>
              <w:t>15.3</w:t>
            </w:r>
          </w:p>
        </w:tc>
        <w:tc>
          <w:tcPr>
            <w:tcW w:w="2075" w:type="dxa"/>
            <w:tcMar>
              <w:top w:w="16" w:type="dxa"/>
              <w:left w:w="16" w:type="dxa"/>
              <w:right w:w="16" w:type="dxa"/>
            </w:tcMar>
            <w:vAlign w:val="center"/>
          </w:tcPr>
          <w:p w14:paraId="284FEA26">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环保投资（万元）</w:t>
            </w:r>
          </w:p>
        </w:tc>
        <w:tc>
          <w:tcPr>
            <w:tcW w:w="3006" w:type="dxa"/>
            <w:vAlign w:val="center"/>
          </w:tcPr>
          <w:p w14:paraId="1CD68BD9">
            <w:pPr>
              <w:keepNext w:val="0"/>
              <w:keepLines w:val="0"/>
              <w:pageBreakBefore w:val="0"/>
              <w:kinsoku/>
              <w:wordWrap/>
              <w:overflowPunct/>
              <w:autoSpaceDE/>
              <w:autoSpaceDN/>
              <w:bidi w:val="0"/>
              <w:adjustRightInd w:val="0"/>
              <w:snapToGrid w:val="0"/>
              <w:spacing w:line="240" w:lineRule="auto"/>
              <w:ind w:firstLine="0" w:firstLineChars="0"/>
              <w:jc w:val="center"/>
              <w:rPr>
                <w:rFonts w:hint="default" w:eastAsia="宋体"/>
                <w:color w:val="auto"/>
                <w:szCs w:val="21"/>
                <w:highlight w:val="none"/>
                <w:lang w:val="en-US" w:eastAsia="zh-CN"/>
              </w:rPr>
            </w:pPr>
            <w:r>
              <w:rPr>
                <w:rFonts w:hint="eastAsia"/>
                <w:color w:val="auto"/>
                <w:szCs w:val="21"/>
                <w:highlight w:val="none"/>
                <w:lang w:val="en-US" w:eastAsia="zh-CN"/>
              </w:rPr>
              <w:t>15.3</w:t>
            </w:r>
          </w:p>
        </w:tc>
      </w:tr>
      <w:tr w14:paraId="4A36A3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979" w:type="dxa"/>
            <w:gridSpan w:val="2"/>
            <w:tcMar>
              <w:top w:w="16" w:type="dxa"/>
              <w:left w:w="16" w:type="dxa"/>
              <w:right w:w="16" w:type="dxa"/>
            </w:tcMar>
            <w:vAlign w:val="center"/>
          </w:tcPr>
          <w:p w14:paraId="715DA70C">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环保投资占比（</w:t>
            </w:r>
            <w:r>
              <w:rPr>
                <w:b/>
                <w:bCs/>
                <w:color w:val="auto"/>
                <w:szCs w:val="21"/>
                <w:highlight w:val="none"/>
              </w:rPr>
              <w:t>%</w:t>
            </w:r>
            <w:r>
              <w:rPr>
                <w:rFonts w:hint="eastAsia"/>
                <w:b/>
                <w:bCs/>
                <w:color w:val="auto"/>
                <w:szCs w:val="21"/>
                <w:highlight w:val="none"/>
              </w:rPr>
              <w:t>）</w:t>
            </w:r>
          </w:p>
        </w:tc>
        <w:tc>
          <w:tcPr>
            <w:tcW w:w="1784" w:type="dxa"/>
            <w:vAlign w:val="center"/>
          </w:tcPr>
          <w:p w14:paraId="30DE6308">
            <w:pPr>
              <w:keepNext w:val="0"/>
              <w:keepLines w:val="0"/>
              <w:pageBreakBefore w:val="0"/>
              <w:kinsoku/>
              <w:wordWrap/>
              <w:overflowPunct/>
              <w:autoSpaceDE/>
              <w:autoSpaceDN/>
              <w:bidi w:val="0"/>
              <w:adjustRightInd w:val="0"/>
              <w:snapToGrid w:val="0"/>
              <w:spacing w:line="240" w:lineRule="auto"/>
              <w:ind w:firstLine="0" w:firstLineChars="0"/>
              <w:jc w:val="center"/>
              <w:rPr>
                <w:rFonts w:hint="default" w:eastAsia="宋体"/>
                <w:color w:val="auto"/>
                <w:szCs w:val="21"/>
                <w:highlight w:val="none"/>
                <w:lang w:val="en-US" w:eastAsia="zh-CN"/>
              </w:rPr>
            </w:pPr>
            <w:r>
              <w:rPr>
                <w:rFonts w:hint="eastAsia"/>
                <w:color w:val="auto"/>
                <w:szCs w:val="21"/>
                <w:highlight w:val="none"/>
                <w:lang w:val="en-US" w:eastAsia="zh-CN"/>
              </w:rPr>
              <w:t>100</w:t>
            </w:r>
          </w:p>
        </w:tc>
        <w:tc>
          <w:tcPr>
            <w:tcW w:w="2075" w:type="dxa"/>
            <w:tcMar>
              <w:top w:w="16" w:type="dxa"/>
              <w:left w:w="16" w:type="dxa"/>
              <w:right w:w="16" w:type="dxa"/>
            </w:tcMar>
            <w:vAlign w:val="center"/>
          </w:tcPr>
          <w:p w14:paraId="5E8A047E">
            <w:pPr>
              <w:keepNext w:val="0"/>
              <w:keepLines w:val="0"/>
              <w:pageBreakBefore w:val="0"/>
              <w:kinsoku/>
              <w:wordWrap/>
              <w:overflowPunct/>
              <w:autoSpaceDE/>
              <w:autoSpaceDN/>
              <w:bidi w:val="0"/>
              <w:adjustRightInd w:val="0"/>
              <w:snapToGrid w:val="0"/>
              <w:spacing w:line="240" w:lineRule="auto"/>
              <w:ind w:firstLine="0" w:firstLineChars="0"/>
              <w:jc w:val="center"/>
              <w:rPr>
                <w:b/>
                <w:bCs/>
                <w:color w:val="auto"/>
                <w:szCs w:val="21"/>
                <w:highlight w:val="none"/>
              </w:rPr>
            </w:pPr>
            <w:r>
              <w:rPr>
                <w:rFonts w:hint="eastAsia"/>
                <w:b/>
                <w:bCs/>
                <w:color w:val="auto"/>
                <w:szCs w:val="21"/>
                <w:highlight w:val="none"/>
              </w:rPr>
              <w:t>施工工期</w:t>
            </w:r>
          </w:p>
        </w:tc>
        <w:tc>
          <w:tcPr>
            <w:tcW w:w="3006" w:type="dxa"/>
            <w:vAlign w:val="center"/>
          </w:tcPr>
          <w:p w14:paraId="6FDB46C3">
            <w:pPr>
              <w:keepNext w:val="0"/>
              <w:keepLines w:val="0"/>
              <w:pageBreakBefore w:val="0"/>
              <w:kinsoku/>
              <w:wordWrap/>
              <w:overflowPunct/>
              <w:autoSpaceDE/>
              <w:autoSpaceDN/>
              <w:bidi w:val="0"/>
              <w:adjustRightInd w:val="0"/>
              <w:snapToGrid w:val="0"/>
              <w:spacing w:line="240" w:lineRule="auto"/>
              <w:ind w:firstLine="0" w:firstLineChars="0"/>
              <w:jc w:val="center"/>
              <w:rPr>
                <w:color w:val="auto"/>
                <w:szCs w:val="21"/>
                <w:highlight w:val="none"/>
              </w:rPr>
            </w:pPr>
            <w:r>
              <w:rPr>
                <w:rFonts w:hint="eastAsia"/>
                <w:color w:val="auto"/>
                <w:szCs w:val="21"/>
                <w:highlight w:val="none"/>
              </w:rPr>
              <w:t>1个月</w:t>
            </w:r>
          </w:p>
        </w:tc>
      </w:tr>
      <w:tr w14:paraId="2ADB64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979" w:type="dxa"/>
            <w:gridSpan w:val="2"/>
            <w:tcMar>
              <w:top w:w="16" w:type="dxa"/>
              <w:left w:w="16" w:type="dxa"/>
              <w:right w:w="16" w:type="dxa"/>
            </w:tcMar>
            <w:vAlign w:val="center"/>
          </w:tcPr>
          <w:p w14:paraId="2D34A86F">
            <w:pPr>
              <w:keepNext w:val="0"/>
              <w:keepLines w:val="0"/>
              <w:pageBreakBefore w:val="0"/>
              <w:kinsoku/>
              <w:wordWrap/>
              <w:overflowPunct/>
              <w:autoSpaceDE/>
              <w:autoSpaceDN/>
              <w:bidi w:val="0"/>
              <w:adjustRightInd w:val="0"/>
              <w:snapToGrid w:val="0"/>
              <w:spacing w:line="240" w:lineRule="auto"/>
              <w:ind w:firstLine="0" w:firstLineChars="0"/>
              <w:jc w:val="center"/>
              <w:rPr>
                <w:rFonts w:eastAsiaTheme="minorEastAsia"/>
                <w:b/>
                <w:bCs/>
                <w:color w:val="auto"/>
                <w:szCs w:val="21"/>
                <w:highlight w:val="none"/>
              </w:rPr>
            </w:pPr>
            <w:r>
              <w:rPr>
                <w:rFonts w:hint="eastAsia" w:eastAsiaTheme="minorEastAsia"/>
                <w:b/>
                <w:bCs/>
                <w:color w:val="auto"/>
                <w:szCs w:val="21"/>
                <w:highlight w:val="none"/>
              </w:rPr>
              <w:t>是否开工建设</w:t>
            </w:r>
          </w:p>
        </w:tc>
        <w:tc>
          <w:tcPr>
            <w:tcW w:w="1784" w:type="dxa"/>
            <w:vAlign w:val="center"/>
          </w:tcPr>
          <w:p w14:paraId="582E8031">
            <w:pPr>
              <w:keepNext w:val="0"/>
              <w:keepLines w:val="0"/>
              <w:pageBreakBefore w:val="0"/>
              <w:kinsoku/>
              <w:wordWrap/>
              <w:overflowPunct/>
              <w:autoSpaceDE/>
              <w:autoSpaceDN/>
              <w:bidi w:val="0"/>
              <w:adjustRightInd w:val="0"/>
              <w:snapToGrid w:val="0"/>
              <w:spacing w:line="240" w:lineRule="auto"/>
              <w:ind w:firstLine="0" w:firstLineChars="0"/>
              <w:jc w:val="both"/>
              <w:rPr>
                <w:rFonts w:eastAsiaTheme="minorEastAsia"/>
                <w:color w:val="auto"/>
                <w:szCs w:val="21"/>
                <w:highlight w:val="none"/>
              </w:rPr>
            </w:pPr>
            <w:r>
              <w:rPr>
                <w:rFonts w:hint="eastAsia" w:eastAsiaTheme="minorEastAsia"/>
                <w:color w:val="auto"/>
                <w:szCs w:val="21"/>
                <w:highlight w:val="none"/>
              </w:rPr>
              <w:sym w:font="Wingdings" w:char="00FE"/>
            </w:r>
            <w:r>
              <w:rPr>
                <w:rFonts w:hint="eastAsia" w:eastAsiaTheme="minorEastAsia"/>
                <w:color w:val="auto"/>
                <w:szCs w:val="21"/>
                <w:highlight w:val="none"/>
              </w:rPr>
              <w:t>否</w:t>
            </w:r>
          </w:p>
          <w:p w14:paraId="0AF8B7CA">
            <w:pPr>
              <w:keepNext w:val="0"/>
              <w:keepLines w:val="0"/>
              <w:pageBreakBefore w:val="0"/>
              <w:kinsoku/>
              <w:wordWrap/>
              <w:overflowPunct/>
              <w:autoSpaceDE/>
              <w:autoSpaceDN/>
              <w:bidi w:val="0"/>
              <w:adjustRightInd w:val="0"/>
              <w:snapToGrid w:val="0"/>
              <w:spacing w:line="240" w:lineRule="auto"/>
              <w:ind w:firstLine="0" w:firstLineChars="0"/>
              <w:jc w:val="both"/>
              <w:rPr>
                <w:rFonts w:eastAsiaTheme="minorEastAsia"/>
                <w:color w:val="auto"/>
                <w:szCs w:val="21"/>
                <w:highlight w:val="none"/>
              </w:rPr>
            </w:pPr>
            <w:r>
              <w:rPr>
                <w:rFonts w:hint="eastAsia" w:eastAsiaTheme="minorEastAsia"/>
                <w:color w:val="auto"/>
                <w:szCs w:val="21"/>
                <w:highlight w:val="none"/>
              </w:rPr>
              <w:sym w:font="Wingdings" w:char="00A8"/>
            </w:r>
            <w:r>
              <w:rPr>
                <w:rFonts w:hint="eastAsia" w:eastAsiaTheme="minorEastAsia"/>
                <w:color w:val="auto"/>
                <w:szCs w:val="21"/>
                <w:highlight w:val="none"/>
              </w:rPr>
              <w:t>是：</w:t>
            </w:r>
            <w:r>
              <w:rPr>
                <w:rFonts w:hint="eastAsia" w:eastAsiaTheme="minorEastAsia"/>
                <w:color w:val="auto"/>
                <w:szCs w:val="21"/>
                <w:highlight w:val="none"/>
                <w:u w:val="single"/>
              </w:rPr>
              <w:t xml:space="preserve">         </w:t>
            </w:r>
          </w:p>
        </w:tc>
        <w:tc>
          <w:tcPr>
            <w:tcW w:w="2075" w:type="dxa"/>
            <w:tcMar>
              <w:top w:w="16" w:type="dxa"/>
              <w:left w:w="16" w:type="dxa"/>
              <w:right w:w="16" w:type="dxa"/>
            </w:tcMar>
            <w:vAlign w:val="center"/>
          </w:tcPr>
          <w:p w14:paraId="02AF67A6">
            <w:pPr>
              <w:keepNext w:val="0"/>
              <w:keepLines w:val="0"/>
              <w:pageBreakBefore w:val="0"/>
              <w:kinsoku/>
              <w:wordWrap/>
              <w:overflowPunct/>
              <w:autoSpaceDE/>
              <w:autoSpaceDN/>
              <w:bidi w:val="0"/>
              <w:adjustRightInd w:val="0"/>
              <w:snapToGrid w:val="0"/>
              <w:spacing w:line="240" w:lineRule="auto"/>
              <w:ind w:firstLine="0" w:firstLineChars="0"/>
              <w:jc w:val="center"/>
              <w:rPr>
                <w:rFonts w:eastAsiaTheme="minorEastAsia"/>
                <w:b/>
                <w:bCs/>
                <w:color w:val="auto"/>
                <w:spacing w:val="-6"/>
                <w:szCs w:val="21"/>
                <w:highlight w:val="none"/>
              </w:rPr>
            </w:pPr>
            <w:r>
              <w:rPr>
                <w:rFonts w:hint="eastAsia" w:eastAsiaTheme="minorEastAsia"/>
                <w:b/>
                <w:bCs/>
                <w:color w:val="auto"/>
                <w:spacing w:val="-6"/>
                <w:szCs w:val="21"/>
                <w:highlight w:val="none"/>
              </w:rPr>
              <w:t>用地（用海）</w:t>
            </w:r>
          </w:p>
          <w:p w14:paraId="1E2805AD">
            <w:pPr>
              <w:keepNext w:val="0"/>
              <w:keepLines w:val="0"/>
              <w:pageBreakBefore w:val="0"/>
              <w:kinsoku/>
              <w:wordWrap/>
              <w:overflowPunct/>
              <w:autoSpaceDE/>
              <w:autoSpaceDN/>
              <w:bidi w:val="0"/>
              <w:adjustRightInd w:val="0"/>
              <w:snapToGrid w:val="0"/>
              <w:spacing w:line="240" w:lineRule="auto"/>
              <w:ind w:firstLine="0" w:firstLineChars="0"/>
              <w:jc w:val="center"/>
              <w:rPr>
                <w:rFonts w:eastAsiaTheme="minorEastAsia"/>
                <w:b/>
                <w:bCs/>
                <w:color w:val="auto"/>
                <w:szCs w:val="21"/>
                <w:highlight w:val="none"/>
              </w:rPr>
            </w:pPr>
            <w:r>
              <w:rPr>
                <w:rFonts w:hint="eastAsia" w:eastAsiaTheme="minorEastAsia"/>
                <w:b/>
                <w:bCs/>
                <w:color w:val="auto"/>
                <w:spacing w:val="-6"/>
                <w:szCs w:val="21"/>
                <w:highlight w:val="none"/>
              </w:rPr>
              <w:t>面积（</w:t>
            </w:r>
            <w:r>
              <w:rPr>
                <w:rFonts w:eastAsiaTheme="minorEastAsia"/>
                <w:b/>
                <w:bCs/>
                <w:color w:val="auto"/>
                <w:spacing w:val="-6"/>
                <w:szCs w:val="21"/>
                <w:highlight w:val="none"/>
              </w:rPr>
              <w:t>m</w:t>
            </w:r>
            <w:r>
              <w:rPr>
                <w:rFonts w:eastAsiaTheme="minorEastAsia"/>
                <w:b/>
                <w:bCs/>
                <w:color w:val="auto"/>
                <w:spacing w:val="-6"/>
                <w:szCs w:val="21"/>
                <w:highlight w:val="none"/>
                <w:vertAlign w:val="superscript"/>
              </w:rPr>
              <w:t>2</w:t>
            </w:r>
            <w:r>
              <w:rPr>
                <w:rFonts w:hint="eastAsia" w:eastAsiaTheme="minorEastAsia"/>
                <w:b/>
                <w:bCs/>
                <w:color w:val="auto"/>
                <w:spacing w:val="-6"/>
                <w:szCs w:val="21"/>
                <w:highlight w:val="none"/>
              </w:rPr>
              <w:t>）</w:t>
            </w:r>
          </w:p>
        </w:tc>
        <w:tc>
          <w:tcPr>
            <w:tcW w:w="3006" w:type="dxa"/>
            <w:vAlign w:val="center"/>
          </w:tcPr>
          <w:p w14:paraId="006E8470">
            <w:pPr>
              <w:keepNext w:val="0"/>
              <w:keepLines w:val="0"/>
              <w:pageBreakBefore w:val="0"/>
              <w:kinsoku/>
              <w:wordWrap/>
              <w:overflowPunct/>
              <w:autoSpaceDE/>
              <w:autoSpaceDN/>
              <w:bidi w:val="0"/>
              <w:adjustRightInd w:val="0"/>
              <w:snapToGrid w:val="0"/>
              <w:spacing w:line="240" w:lineRule="auto"/>
              <w:ind w:firstLine="0" w:firstLineChars="0"/>
              <w:jc w:val="center"/>
              <w:rPr>
                <w:rFonts w:eastAsiaTheme="minorEastAsia"/>
                <w:color w:val="auto"/>
                <w:szCs w:val="21"/>
                <w:highlight w:val="none"/>
              </w:rPr>
            </w:pPr>
            <w:r>
              <w:rPr>
                <w:rFonts w:hint="eastAsia" w:eastAsiaTheme="minorEastAsia"/>
                <w:color w:val="auto"/>
                <w:szCs w:val="21"/>
                <w:highlight w:val="none"/>
              </w:rPr>
              <w:t>0（厂区内</w:t>
            </w:r>
            <w:r>
              <w:rPr>
                <w:rFonts w:hint="eastAsia" w:eastAsiaTheme="minorEastAsia"/>
                <w:color w:val="auto"/>
                <w:szCs w:val="21"/>
                <w:highlight w:val="none"/>
                <w:lang w:eastAsia="zh-CN"/>
              </w:rPr>
              <w:t>技术改造</w:t>
            </w:r>
            <w:r>
              <w:rPr>
                <w:rFonts w:hint="eastAsia" w:eastAsiaTheme="minorEastAsia"/>
                <w:color w:val="auto"/>
                <w:szCs w:val="21"/>
                <w:highlight w:val="none"/>
              </w:rPr>
              <w:t>，不新增占地）</w:t>
            </w:r>
          </w:p>
        </w:tc>
      </w:tr>
      <w:tr w14:paraId="51D9DD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457" w:type="dxa"/>
            <w:vAlign w:val="center"/>
          </w:tcPr>
          <w:p w14:paraId="3DB8C076">
            <w:pPr>
              <w:keepNext w:val="0"/>
              <w:keepLines w:val="0"/>
              <w:pageBreakBefore w:val="0"/>
              <w:kinsoku/>
              <w:wordWrap/>
              <w:overflowPunct/>
              <w:autoSpaceDE/>
              <w:autoSpaceDN/>
              <w:bidi w:val="0"/>
              <w:adjustRightInd w:val="0"/>
              <w:snapToGrid w:val="0"/>
              <w:spacing w:line="240" w:lineRule="auto"/>
              <w:ind w:firstLine="0" w:firstLineChars="0"/>
              <w:jc w:val="both"/>
              <w:rPr>
                <w:rFonts w:eastAsiaTheme="minorEastAsia"/>
                <w:color w:val="auto"/>
                <w:kern w:val="0"/>
                <w:szCs w:val="21"/>
                <w:highlight w:val="none"/>
              </w:rPr>
            </w:pPr>
            <w:r>
              <w:rPr>
                <w:rFonts w:hint="eastAsia" w:eastAsiaTheme="minorEastAsia"/>
                <w:b/>
                <w:bCs/>
                <w:color w:val="auto"/>
                <w:kern w:val="0"/>
                <w:szCs w:val="21"/>
                <w:highlight w:val="none"/>
              </w:rPr>
              <w:t>专项评价设置情况</w:t>
            </w:r>
          </w:p>
        </w:tc>
        <w:tc>
          <w:tcPr>
            <w:tcW w:w="8387" w:type="dxa"/>
            <w:gridSpan w:val="4"/>
            <w:vAlign w:val="center"/>
          </w:tcPr>
          <w:p w14:paraId="73BC35DC">
            <w:pPr>
              <w:pStyle w:val="25"/>
              <w:keepNext w:val="0"/>
              <w:keepLines w:val="0"/>
              <w:pageBreakBefore w:val="0"/>
              <w:widowControl/>
              <w:kinsoku/>
              <w:wordWrap/>
              <w:overflowPunct/>
              <w:topLinePunct/>
              <w:autoSpaceDE/>
              <w:autoSpaceDN/>
              <w:bidi w:val="0"/>
              <w:adjustRightInd w:val="0"/>
              <w:snapToGrid w:val="0"/>
              <w:ind w:left="0" w:firstLine="0" w:firstLineChars="0"/>
              <w:jc w:val="center"/>
              <w:textAlignment w:val="auto"/>
              <w:rPr>
                <w:rFonts w:cs="Times New Roman"/>
                <w:color w:val="auto"/>
                <w:sz w:val="24"/>
                <w:szCs w:val="24"/>
                <w:highlight w:val="none"/>
              </w:rPr>
            </w:pPr>
            <w:r>
              <w:rPr>
                <w:rFonts w:hint="eastAsia" w:cs="Times New Roman"/>
                <w:color w:val="auto"/>
                <w:sz w:val="24"/>
                <w:szCs w:val="24"/>
                <w:highlight w:val="none"/>
              </w:rPr>
              <w:t>专项评价设置原则表</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7"/>
              <w:gridCol w:w="4075"/>
              <w:gridCol w:w="2641"/>
              <w:gridCol w:w="1060"/>
            </w:tblGrid>
            <w:tr w14:paraId="044F09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7" w:type="dxa"/>
                  <w:vAlign w:val="center"/>
                </w:tcPr>
                <w:p w14:paraId="166B29EB">
                  <w:pPr>
                    <w:pStyle w:val="27"/>
                    <w:spacing w:line="240" w:lineRule="auto"/>
                    <w:rPr>
                      <w:rFonts w:hint="default"/>
                      <w:color w:val="auto"/>
                      <w:highlight w:val="none"/>
                    </w:rPr>
                  </w:pPr>
                  <w:r>
                    <w:rPr>
                      <w:rFonts w:eastAsia="宋体"/>
                      <w:b/>
                      <w:color w:val="auto"/>
                      <w:sz w:val="21"/>
                      <w:highlight w:val="none"/>
                    </w:rPr>
                    <w:t>类别</w:t>
                  </w:r>
                </w:p>
              </w:tc>
              <w:tc>
                <w:tcPr>
                  <w:tcW w:w="4075" w:type="dxa"/>
                  <w:vAlign w:val="center"/>
                </w:tcPr>
                <w:p w14:paraId="2833CC8D">
                  <w:pPr>
                    <w:pStyle w:val="27"/>
                    <w:spacing w:line="240" w:lineRule="auto"/>
                    <w:rPr>
                      <w:rFonts w:hint="default"/>
                      <w:color w:val="auto"/>
                      <w:highlight w:val="none"/>
                    </w:rPr>
                  </w:pPr>
                  <w:r>
                    <w:rPr>
                      <w:rFonts w:eastAsia="宋体"/>
                      <w:b/>
                      <w:color w:val="auto"/>
                      <w:sz w:val="21"/>
                      <w:highlight w:val="none"/>
                    </w:rPr>
                    <w:t>设置原则</w:t>
                  </w:r>
                </w:p>
              </w:tc>
              <w:tc>
                <w:tcPr>
                  <w:tcW w:w="2641" w:type="dxa"/>
                  <w:vAlign w:val="center"/>
                </w:tcPr>
                <w:p w14:paraId="663B0F31">
                  <w:pPr>
                    <w:pStyle w:val="27"/>
                    <w:spacing w:line="240" w:lineRule="auto"/>
                    <w:rPr>
                      <w:rFonts w:hint="default"/>
                      <w:color w:val="auto"/>
                      <w:highlight w:val="none"/>
                    </w:rPr>
                  </w:pPr>
                  <w:r>
                    <w:rPr>
                      <w:rFonts w:eastAsia="宋体"/>
                      <w:b/>
                      <w:color w:val="auto"/>
                      <w:sz w:val="21"/>
                      <w:highlight w:val="none"/>
                    </w:rPr>
                    <w:t>本项目对应情况</w:t>
                  </w:r>
                </w:p>
              </w:tc>
              <w:tc>
                <w:tcPr>
                  <w:tcW w:w="1060" w:type="dxa"/>
                  <w:vAlign w:val="center"/>
                </w:tcPr>
                <w:p w14:paraId="02C2C011">
                  <w:pPr>
                    <w:pStyle w:val="27"/>
                    <w:spacing w:line="240" w:lineRule="auto"/>
                    <w:rPr>
                      <w:rFonts w:hint="default"/>
                      <w:color w:val="auto"/>
                      <w:highlight w:val="none"/>
                    </w:rPr>
                  </w:pPr>
                  <w:r>
                    <w:rPr>
                      <w:rFonts w:eastAsia="宋体"/>
                      <w:b/>
                      <w:color w:val="auto"/>
                      <w:sz w:val="21"/>
                      <w:highlight w:val="none"/>
                    </w:rPr>
                    <w:t>是否设置专项评价</w:t>
                  </w:r>
                </w:p>
              </w:tc>
            </w:tr>
            <w:tr w14:paraId="423951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7" w:type="dxa"/>
                  <w:vAlign w:val="center"/>
                </w:tcPr>
                <w:p w14:paraId="673C499F">
                  <w:pPr>
                    <w:pStyle w:val="24"/>
                    <w:spacing w:line="240" w:lineRule="auto"/>
                    <w:rPr>
                      <w:color w:val="auto"/>
                      <w:highlight w:val="none"/>
                    </w:rPr>
                  </w:pPr>
                  <w:r>
                    <w:rPr>
                      <w:rFonts w:hint="eastAsia"/>
                      <w:color w:val="auto"/>
                      <w:highlight w:val="none"/>
                    </w:rPr>
                    <w:t>大气</w:t>
                  </w:r>
                </w:p>
              </w:tc>
              <w:tc>
                <w:tcPr>
                  <w:tcW w:w="4075" w:type="dxa"/>
                  <w:vAlign w:val="center"/>
                </w:tcPr>
                <w:p w14:paraId="0EE15403">
                  <w:pPr>
                    <w:pStyle w:val="24"/>
                    <w:spacing w:line="240" w:lineRule="auto"/>
                    <w:rPr>
                      <w:color w:val="auto"/>
                      <w:highlight w:val="none"/>
                    </w:rPr>
                  </w:pPr>
                  <w:r>
                    <w:rPr>
                      <w:color w:val="auto"/>
                      <w:highlight w:val="none"/>
                    </w:rPr>
                    <w:t>排放废气含有毒有害污染物</w:t>
                  </w:r>
                  <w:r>
                    <w:rPr>
                      <w:color w:val="auto"/>
                      <w:highlight w:val="none"/>
                      <w:vertAlign w:val="superscript"/>
                    </w:rPr>
                    <w:t>1</w:t>
                  </w:r>
                  <w:r>
                    <w:rPr>
                      <w:color w:val="auto"/>
                      <w:highlight w:val="none"/>
                    </w:rPr>
                    <w:t>、二噁英、苯并[a]芘、氰化物、氯气且厂界外500米范围内有环境空气保护目标</w:t>
                  </w:r>
                  <w:r>
                    <w:rPr>
                      <w:color w:val="auto"/>
                      <w:highlight w:val="none"/>
                      <w:vertAlign w:val="superscript"/>
                    </w:rPr>
                    <w:t>2</w:t>
                  </w:r>
                  <w:r>
                    <w:rPr>
                      <w:color w:val="auto"/>
                      <w:highlight w:val="none"/>
                    </w:rPr>
                    <w:t>的建设项目</w:t>
                  </w:r>
                </w:p>
              </w:tc>
              <w:tc>
                <w:tcPr>
                  <w:tcW w:w="2641" w:type="dxa"/>
                  <w:vAlign w:val="center"/>
                </w:tcPr>
                <w:p w14:paraId="7560B9EC">
                  <w:pPr>
                    <w:pStyle w:val="24"/>
                    <w:spacing w:line="240" w:lineRule="auto"/>
                    <w:rPr>
                      <w:rFonts w:hint="eastAsia" w:eastAsiaTheme="minorEastAsia"/>
                      <w:color w:val="auto"/>
                      <w:highlight w:val="none"/>
                      <w:lang w:eastAsia="zh-CN"/>
                    </w:rPr>
                  </w:pPr>
                  <w:r>
                    <w:rPr>
                      <w:rFonts w:hint="eastAsia"/>
                      <w:color w:val="auto"/>
                      <w:highlight w:val="none"/>
                    </w:rPr>
                    <w:t>本项目不排放此类废气</w:t>
                  </w:r>
                  <w:r>
                    <w:rPr>
                      <w:rFonts w:hint="eastAsia"/>
                      <w:color w:val="auto"/>
                      <w:highlight w:val="none"/>
                      <w:lang w:eastAsia="zh-CN"/>
                    </w:rPr>
                    <w:t>，厂界外</w:t>
                  </w:r>
                  <w:r>
                    <w:rPr>
                      <w:color w:val="auto"/>
                      <w:highlight w:val="none"/>
                    </w:rPr>
                    <w:t>500米范围内</w:t>
                  </w:r>
                  <w:r>
                    <w:rPr>
                      <w:rFonts w:hint="eastAsia"/>
                      <w:color w:val="auto"/>
                      <w:highlight w:val="none"/>
                      <w:lang w:eastAsia="zh-CN"/>
                    </w:rPr>
                    <w:t>没</w:t>
                  </w:r>
                  <w:r>
                    <w:rPr>
                      <w:color w:val="auto"/>
                      <w:highlight w:val="none"/>
                    </w:rPr>
                    <w:t>有环境空气保护目标</w:t>
                  </w:r>
                </w:p>
              </w:tc>
              <w:tc>
                <w:tcPr>
                  <w:tcW w:w="1060" w:type="dxa"/>
                  <w:vAlign w:val="center"/>
                </w:tcPr>
                <w:p w14:paraId="1AC993D7">
                  <w:pPr>
                    <w:pStyle w:val="24"/>
                    <w:spacing w:line="240" w:lineRule="auto"/>
                    <w:rPr>
                      <w:color w:val="auto"/>
                      <w:highlight w:val="none"/>
                    </w:rPr>
                  </w:pPr>
                  <w:r>
                    <w:rPr>
                      <w:rFonts w:hint="eastAsia"/>
                      <w:color w:val="auto"/>
                      <w:highlight w:val="none"/>
                    </w:rPr>
                    <w:t>否</w:t>
                  </w:r>
                </w:p>
              </w:tc>
            </w:tr>
            <w:tr w14:paraId="34F4A6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7" w:type="dxa"/>
                  <w:vAlign w:val="center"/>
                </w:tcPr>
                <w:p w14:paraId="2BF3F1DF">
                  <w:pPr>
                    <w:pStyle w:val="24"/>
                    <w:spacing w:line="240" w:lineRule="auto"/>
                    <w:rPr>
                      <w:color w:val="auto"/>
                      <w:highlight w:val="none"/>
                    </w:rPr>
                  </w:pPr>
                  <w:r>
                    <w:rPr>
                      <w:rFonts w:hint="eastAsia"/>
                      <w:color w:val="auto"/>
                      <w:highlight w:val="none"/>
                    </w:rPr>
                    <w:t>地表水</w:t>
                  </w:r>
                </w:p>
              </w:tc>
              <w:tc>
                <w:tcPr>
                  <w:tcW w:w="4075" w:type="dxa"/>
                  <w:vAlign w:val="center"/>
                </w:tcPr>
                <w:p w14:paraId="4892C69C">
                  <w:pPr>
                    <w:pStyle w:val="24"/>
                    <w:spacing w:line="240" w:lineRule="auto"/>
                    <w:rPr>
                      <w:color w:val="auto"/>
                      <w:highlight w:val="none"/>
                    </w:rPr>
                  </w:pPr>
                  <w:r>
                    <w:rPr>
                      <w:color w:val="auto"/>
                      <w:highlight w:val="none"/>
                    </w:rPr>
                    <w:t>新增工业废水直排建设项目（槽罐车外送污水处理厂的除外）；新增废水直排的污水集中处理厂</w:t>
                  </w:r>
                </w:p>
              </w:tc>
              <w:tc>
                <w:tcPr>
                  <w:tcW w:w="2641" w:type="dxa"/>
                  <w:vAlign w:val="center"/>
                </w:tcPr>
                <w:p w14:paraId="41DA3D44">
                  <w:pPr>
                    <w:pStyle w:val="24"/>
                    <w:spacing w:line="240" w:lineRule="auto"/>
                    <w:rPr>
                      <w:color w:val="auto"/>
                      <w:highlight w:val="none"/>
                    </w:rPr>
                  </w:pPr>
                  <w:r>
                    <w:rPr>
                      <w:rFonts w:hint="eastAsia"/>
                      <w:color w:val="auto"/>
                      <w:highlight w:val="none"/>
                      <w:lang w:eastAsia="zh-CN"/>
                    </w:rPr>
                    <w:t>本</w:t>
                  </w:r>
                  <w:r>
                    <w:rPr>
                      <w:rFonts w:hint="eastAsia"/>
                      <w:color w:val="auto"/>
                      <w:highlight w:val="none"/>
                    </w:rPr>
                    <w:t>项目无生产废水产生及排放；本项目不新增职工，无新增生活污水</w:t>
                  </w:r>
                </w:p>
              </w:tc>
              <w:tc>
                <w:tcPr>
                  <w:tcW w:w="1060" w:type="dxa"/>
                  <w:vAlign w:val="center"/>
                </w:tcPr>
                <w:p w14:paraId="6C6D3770">
                  <w:pPr>
                    <w:pStyle w:val="24"/>
                    <w:spacing w:line="240" w:lineRule="auto"/>
                    <w:rPr>
                      <w:color w:val="auto"/>
                      <w:highlight w:val="none"/>
                    </w:rPr>
                  </w:pPr>
                  <w:r>
                    <w:rPr>
                      <w:rFonts w:hint="eastAsia"/>
                      <w:color w:val="auto"/>
                      <w:highlight w:val="none"/>
                    </w:rPr>
                    <w:t>否</w:t>
                  </w:r>
                </w:p>
              </w:tc>
            </w:tr>
            <w:tr w14:paraId="15109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7" w:type="dxa"/>
                  <w:vAlign w:val="center"/>
                </w:tcPr>
                <w:p w14:paraId="28A2267A">
                  <w:pPr>
                    <w:pStyle w:val="24"/>
                    <w:spacing w:line="240" w:lineRule="auto"/>
                    <w:rPr>
                      <w:color w:val="auto"/>
                      <w:highlight w:val="none"/>
                    </w:rPr>
                  </w:pPr>
                  <w:r>
                    <w:rPr>
                      <w:rFonts w:hint="eastAsia"/>
                      <w:color w:val="auto"/>
                      <w:highlight w:val="none"/>
                    </w:rPr>
                    <w:t>环境风险</w:t>
                  </w:r>
                </w:p>
              </w:tc>
              <w:tc>
                <w:tcPr>
                  <w:tcW w:w="4075" w:type="dxa"/>
                  <w:vAlign w:val="center"/>
                </w:tcPr>
                <w:p w14:paraId="6FAADF99">
                  <w:pPr>
                    <w:pStyle w:val="24"/>
                    <w:spacing w:line="240" w:lineRule="auto"/>
                    <w:rPr>
                      <w:color w:val="auto"/>
                      <w:highlight w:val="none"/>
                    </w:rPr>
                  </w:pPr>
                  <w:r>
                    <w:rPr>
                      <w:color w:val="auto"/>
                      <w:highlight w:val="none"/>
                    </w:rPr>
                    <w:t>有毒有害和易燃易爆危险物质存储量超过临界量</w:t>
                  </w:r>
                  <w:r>
                    <w:rPr>
                      <w:color w:val="auto"/>
                      <w:highlight w:val="none"/>
                      <w:vertAlign w:val="superscript"/>
                    </w:rPr>
                    <w:t>3</w:t>
                  </w:r>
                  <w:r>
                    <w:rPr>
                      <w:color w:val="auto"/>
                      <w:highlight w:val="none"/>
                    </w:rPr>
                    <w:t>的建设项目</w:t>
                  </w:r>
                </w:p>
              </w:tc>
              <w:tc>
                <w:tcPr>
                  <w:tcW w:w="2641" w:type="dxa"/>
                  <w:vAlign w:val="center"/>
                </w:tcPr>
                <w:p w14:paraId="0950E327">
                  <w:pPr>
                    <w:pStyle w:val="24"/>
                    <w:spacing w:line="240" w:lineRule="auto"/>
                    <w:rPr>
                      <w:color w:val="auto"/>
                      <w:highlight w:val="none"/>
                    </w:rPr>
                  </w:pPr>
                  <w:r>
                    <w:rPr>
                      <w:rFonts w:hint="eastAsia"/>
                      <w:color w:val="auto"/>
                      <w:highlight w:val="none"/>
                    </w:rPr>
                    <w:t>本项目涉及有毒有害物质为</w:t>
                  </w:r>
                  <w:r>
                    <w:rPr>
                      <w:rFonts w:hint="eastAsia"/>
                      <w:color w:val="auto"/>
                      <w:highlight w:val="none"/>
                      <w:lang w:eastAsia="zh-CN"/>
                    </w:rPr>
                    <w:t>油类物质、硫酸</w:t>
                  </w:r>
                  <w:r>
                    <w:rPr>
                      <w:rFonts w:hint="eastAsia"/>
                      <w:color w:val="auto"/>
                      <w:highlight w:val="none"/>
                    </w:rPr>
                    <w:t>，经计算，Q值为</w:t>
                  </w:r>
                  <w:r>
                    <w:rPr>
                      <w:rFonts w:hint="eastAsia"/>
                      <w:color w:val="auto"/>
                      <w:highlight w:val="none"/>
                      <w:lang w:val="en-US" w:eastAsia="zh-CN"/>
                    </w:rPr>
                    <w:t>0.0057336</w:t>
                  </w:r>
                  <w:r>
                    <w:rPr>
                      <w:rFonts w:hint="eastAsia"/>
                      <w:color w:val="auto"/>
                      <w:highlight w:val="none"/>
                    </w:rPr>
                    <w:t>，Q＜1</w:t>
                  </w:r>
                </w:p>
              </w:tc>
              <w:tc>
                <w:tcPr>
                  <w:tcW w:w="1060" w:type="dxa"/>
                  <w:vAlign w:val="center"/>
                </w:tcPr>
                <w:p w14:paraId="7F26F84D">
                  <w:pPr>
                    <w:pStyle w:val="24"/>
                    <w:spacing w:line="240" w:lineRule="auto"/>
                    <w:rPr>
                      <w:color w:val="auto"/>
                      <w:highlight w:val="none"/>
                    </w:rPr>
                  </w:pPr>
                  <w:r>
                    <w:rPr>
                      <w:rFonts w:hint="eastAsia"/>
                      <w:color w:val="auto"/>
                      <w:highlight w:val="none"/>
                    </w:rPr>
                    <w:t>否</w:t>
                  </w:r>
                </w:p>
              </w:tc>
            </w:tr>
            <w:tr w14:paraId="4B54A4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7" w:type="dxa"/>
                  <w:vAlign w:val="center"/>
                </w:tcPr>
                <w:p w14:paraId="388F5C84">
                  <w:pPr>
                    <w:pStyle w:val="24"/>
                    <w:spacing w:line="240" w:lineRule="auto"/>
                    <w:rPr>
                      <w:color w:val="auto"/>
                      <w:highlight w:val="none"/>
                    </w:rPr>
                  </w:pPr>
                  <w:r>
                    <w:rPr>
                      <w:rFonts w:hint="eastAsia"/>
                      <w:color w:val="auto"/>
                      <w:highlight w:val="none"/>
                    </w:rPr>
                    <w:t>生态</w:t>
                  </w:r>
                </w:p>
              </w:tc>
              <w:tc>
                <w:tcPr>
                  <w:tcW w:w="4075" w:type="dxa"/>
                  <w:vAlign w:val="center"/>
                </w:tcPr>
                <w:p w14:paraId="6EDCF4D7">
                  <w:pPr>
                    <w:pStyle w:val="24"/>
                    <w:spacing w:line="240" w:lineRule="auto"/>
                    <w:rPr>
                      <w:color w:val="auto"/>
                      <w:highlight w:val="none"/>
                    </w:rPr>
                  </w:pPr>
                  <w:r>
                    <w:rPr>
                      <w:color w:val="auto"/>
                      <w:highlight w:val="none"/>
                    </w:rPr>
                    <w:t>取水口下游500米范围内有重要水生生物的自然产卵场、索饵场、越冬场和洄游通道的新增河道取水的污染类建设项目</w:t>
                  </w:r>
                </w:p>
              </w:tc>
              <w:tc>
                <w:tcPr>
                  <w:tcW w:w="2641" w:type="dxa"/>
                  <w:vAlign w:val="center"/>
                </w:tcPr>
                <w:p w14:paraId="2DA9C17C">
                  <w:pPr>
                    <w:pStyle w:val="24"/>
                    <w:spacing w:line="240" w:lineRule="auto"/>
                    <w:rPr>
                      <w:color w:val="auto"/>
                      <w:highlight w:val="none"/>
                    </w:rPr>
                  </w:pPr>
                  <w:r>
                    <w:rPr>
                      <w:rFonts w:hint="eastAsia"/>
                      <w:color w:val="auto"/>
                      <w:highlight w:val="none"/>
                    </w:rPr>
                    <w:t>不涉及</w:t>
                  </w:r>
                </w:p>
              </w:tc>
              <w:tc>
                <w:tcPr>
                  <w:tcW w:w="1060" w:type="dxa"/>
                  <w:vAlign w:val="center"/>
                </w:tcPr>
                <w:p w14:paraId="647082BE">
                  <w:pPr>
                    <w:pStyle w:val="24"/>
                    <w:spacing w:line="240" w:lineRule="auto"/>
                    <w:rPr>
                      <w:color w:val="auto"/>
                      <w:highlight w:val="none"/>
                    </w:rPr>
                  </w:pPr>
                  <w:r>
                    <w:rPr>
                      <w:rFonts w:hint="eastAsia"/>
                      <w:color w:val="auto"/>
                      <w:highlight w:val="none"/>
                    </w:rPr>
                    <w:t>否</w:t>
                  </w:r>
                </w:p>
              </w:tc>
            </w:tr>
            <w:tr w14:paraId="55848E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7" w:type="dxa"/>
                  <w:vAlign w:val="center"/>
                </w:tcPr>
                <w:p w14:paraId="09478272">
                  <w:pPr>
                    <w:pStyle w:val="24"/>
                    <w:spacing w:line="240" w:lineRule="auto"/>
                    <w:rPr>
                      <w:color w:val="auto"/>
                      <w:highlight w:val="none"/>
                    </w:rPr>
                  </w:pPr>
                  <w:r>
                    <w:rPr>
                      <w:rFonts w:hint="eastAsia"/>
                      <w:color w:val="auto"/>
                      <w:highlight w:val="none"/>
                    </w:rPr>
                    <w:t>海洋</w:t>
                  </w:r>
                </w:p>
              </w:tc>
              <w:tc>
                <w:tcPr>
                  <w:tcW w:w="4075" w:type="dxa"/>
                  <w:vAlign w:val="center"/>
                </w:tcPr>
                <w:p w14:paraId="1764164D">
                  <w:pPr>
                    <w:pStyle w:val="24"/>
                    <w:spacing w:line="240" w:lineRule="auto"/>
                    <w:rPr>
                      <w:color w:val="auto"/>
                      <w:highlight w:val="none"/>
                    </w:rPr>
                  </w:pPr>
                  <w:r>
                    <w:rPr>
                      <w:color w:val="auto"/>
                      <w:highlight w:val="none"/>
                    </w:rPr>
                    <w:t>直接向海排放污染物的海洋工程建设项目</w:t>
                  </w:r>
                </w:p>
              </w:tc>
              <w:tc>
                <w:tcPr>
                  <w:tcW w:w="2641" w:type="dxa"/>
                  <w:vAlign w:val="center"/>
                </w:tcPr>
                <w:p w14:paraId="75B83500">
                  <w:pPr>
                    <w:pStyle w:val="24"/>
                    <w:spacing w:line="240" w:lineRule="auto"/>
                    <w:rPr>
                      <w:color w:val="auto"/>
                      <w:highlight w:val="none"/>
                    </w:rPr>
                  </w:pPr>
                  <w:r>
                    <w:rPr>
                      <w:rFonts w:hint="eastAsia"/>
                      <w:color w:val="auto"/>
                      <w:highlight w:val="none"/>
                    </w:rPr>
                    <w:t>不涉及</w:t>
                  </w:r>
                </w:p>
              </w:tc>
              <w:tc>
                <w:tcPr>
                  <w:tcW w:w="1060" w:type="dxa"/>
                  <w:vAlign w:val="center"/>
                </w:tcPr>
                <w:p w14:paraId="36D64792">
                  <w:pPr>
                    <w:pStyle w:val="24"/>
                    <w:spacing w:line="240" w:lineRule="auto"/>
                    <w:rPr>
                      <w:color w:val="auto"/>
                      <w:highlight w:val="none"/>
                    </w:rPr>
                  </w:pPr>
                  <w:r>
                    <w:rPr>
                      <w:rFonts w:hint="eastAsia"/>
                      <w:color w:val="auto"/>
                      <w:highlight w:val="none"/>
                    </w:rPr>
                    <w:t>否</w:t>
                  </w:r>
                </w:p>
              </w:tc>
            </w:tr>
          </w:tbl>
          <w:p w14:paraId="4DCF17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eastAsiaTheme="minorEastAsia"/>
                <w:color w:val="auto"/>
                <w:kern w:val="0"/>
                <w:sz w:val="21"/>
                <w:szCs w:val="21"/>
                <w:highlight w:val="none"/>
              </w:rPr>
            </w:pPr>
            <w:r>
              <w:rPr>
                <w:rFonts w:hint="eastAsia" w:eastAsiaTheme="minorEastAsia"/>
                <w:color w:val="auto"/>
                <w:kern w:val="0"/>
                <w:sz w:val="21"/>
                <w:szCs w:val="21"/>
                <w:highlight w:val="none"/>
              </w:rPr>
              <w:t>注：1.废气中有毒有害污染物指标纳入《有毒有害大气污染物名录》的污染物（不包括无排放标准的污染物）。</w:t>
            </w:r>
          </w:p>
          <w:p w14:paraId="783D91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eastAsiaTheme="minorEastAsia"/>
                <w:color w:val="auto"/>
                <w:kern w:val="0"/>
                <w:sz w:val="21"/>
                <w:szCs w:val="21"/>
                <w:highlight w:val="none"/>
              </w:rPr>
            </w:pPr>
            <w:r>
              <w:rPr>
                <w:rFonts w:hint="eastAsia" w:eastAsiaTheme="minorEastAsia"/>
                <w:color w:val="auto"/>
                <w:kern w:val="0"/>
                <w:sz w:val="21"/>
                <w:szCs w:val="21"/>
                <w:highlight w:val="none"/>
              </w:rPr>
              <w:t>2.环境空气保护目标指自然保护区、风景名胜区、居住区、文化区和农村地区中人群较集中的区域。</w:t>
            </w:r>
          </w:p>
          <w:p w14:paraId="72A2A7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eastAsiaTheme="minorEastAsia"/>
                <w:color w:val="auto"/>
                <w:kern w:val="0"/>
                <w:sz w:val="21"/>
                <w:szCs w:val="21"/>
                <w:highlight w:val="none"/>
              </w:rPr>
            </w:pPr>
            <w:r>
              <w:rPr>
                <w:rFonts w:hint="eastAsia" w:eastAsiaTheme="minorEastAsia"/>
                <w:color w:val="auto"/>
                <w:kern w:val="0"/>
                <w:sz w:val="21"/>
                <w:szCs w:val="21"/>
                <w:highlight w:val="none"/>
              </w:rPr>
              <w:t>3.临界量及其计算方法可参考《建设项目环境风险评价技术导则》（HJ169-2018）附录B、附录C。</w:t>
            </w:r>
          </w:p>
          <w:p w14:paraId="675173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eastAsiaTheme="minorEastAsia"/>
                <w:color w:val="auto"/>
                <w:kern w:val="0"/>
                <w:sz w:val="21"/>
                <w:szCs w:val="21"/>
                <w:highlight w:val="none"/>
              </w:rPr>
            </w:pPr>
          </w:p>
          <w:p w14:paraId="034AFE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eastAsiaTheme="minorEastAsia"/>
                <w:color w:val="auto"/>
                <w:kern w:val="0"/>
                <w:sz w:val="21"/>
                <w:szCs w:val="21"/>
                <w:highlight w:val="none"/>
                <w:lang w:eastAsia="zh-CN"/>
              </w:rPr>
            </w:pPr>
          </w:p>
        </w:tc>
      </w:tr>
    </w:tbl>
    <w:p w14:paraId="00B78E29">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szCs w:val="21"/>
          <w:highlight w:val="none"/>
        </w:rPr>
        <w:sectPr>
          <w:footerReference r:id="rId7" w:type="default"/>
          <w:pgSz w:w="11906" w:h="16838"/>
          <w:pgMar w:top="1531" w:right="1531" w:bottom="1531" w:left="1531" w:header="851" w:footer="1077" w:gutter="0"/>
          <w:pgBorders>
            <w:top w:val="none" w:sz="0" w:space="0"/>
            <w:left w:val="none" w:sz="0" w:space="0"/>
            <w:bottom w:val="none" w:sz="0" w:space="0"/>
            <w:right w:val="none" w:sz="0" w:space="0"/>
          </w:pgBorders>
          <w:pgNumType w:fmt="decimal" w:start="1"/>
          <w:cols w:space="0" w:num="1"/>
          <w:rtlGutter w:val="0"/>
          <w:docGrid w:linePitch="312" w:charSpace="0"/>
        </w:sectPr>
      </w:pPr>
    </w:p>
    <w:tbl>
      <w:tblPr>
        <w:tblStyle w:val="16"/>
        <w:tblW w:w="88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0"/>
        <w:gridCol w:w="8394"/>
      </w:tblGrid>
      <w:tr w14:paraId="22E837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5" w:hRule="atLeast"/>
          <w:jc w:val="center"/>
        </w:trPr>
        <w:tc>
          <w:tcPr>
            <w:tcW w:w="450" w:type="dxa"/>
            <w:vAlign w:val="center"/>
          </w:tcPr>
          <w:p w14:paraId="2E005CD6">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szCs w:val="21"/>
                <w:highlight w:val="none"/>
              </w:rPr>
              <w:t>规划情况</w:t>
            </w:r>
          </w:p>
        </w:tc>
        <w:tc>
          <w:tcPr>
            <w:tcW w:w="8394" w:type="dxa"/>
            <w:vAlign w:val="center"/>
          </w:tcPr>
          <w:p w14:paraId="5EF63FAD">
            <w:pPr>
              <w:bidi w:val="0"/>
              <w:rPr>
                <w:b/>
                <w:bCs/>
                <w:color w:val="auto"/>
                <w:highlight w:val="none"/>
              </w:rPr>
            </w:pPr>
            <w:r>
              <w:rPr>
                <w:rFonts w:hint="eastAsia"/>
                <w:b/>
                <w:bCs/>
                <w:color w:val="auto"/>
                <w:highlight w:val="none"/>
              </w:rPr>
              <w:t>1规划名称</w:t>
            </w:r>
          </w:p>
          <w:p w14:paraId="27F5CA0F">
            <w:pPr>
              <w:bidi w:val="0"/>
              <w:rPr>
                <w:color w:val="auto"/>
                <w:highlight w:val="none"/>
              </w:rPr>
            </w:pPr>
            <w:r>
              <w:rPr>
                <w:rFonts w:hint="eastAsia"/>
                <w:color w:val="auto"/>
                <w:highlight w:val="none"/>
              </w:rPr>
              <w:t>《北票市国土空间总体规划（2021—2035年）》</w:t>
            </w:r>
          </w:p>
          <w:p w14:paraId="1B555EBE">
            <w:pPr>
              <w:bidi w:val="0"/>
              <w:rPr>
                <w:b/>
                <w:bCs/>
                <w:color w:val="auto"/>
                <w:highlight w:val="none"/>
              </w:rPr>
            </w:pPr>
            <w:r>
              <w:rPr>
                <w:rFonts w:hint="eastAsia"/>
                <w:b/>
                <w:bCs/>
                <w:color w:val="auto"/>
                <w:highlight w:val="none"/>
              </w:rPr>
              <w:t>2审批机关</w:t>
            </w:r>
          </w:p>
          <w:p w14:paraId="352068D4">
            <w:pPr>
              <w:bidi w:val="0"/>
              <w:rPr>
                <w:color w:val="auto"/>
                <w:highlight w:val="none"/>
              </w:rPr>
            </w:pPr>
            <w:r>
              <w:rPr>
                <w:rFonts w:hint="eastAsia"/>
                <w:color w:val="auto"/>
                <w:highlight w:val="none"/>
              </w:rPr>
              <w:t>辽宁省人民政府</w:t>
            </w:r>
          </w:p>
          <w:p w14:paraId="376263A2">
            <w:pPr>
              <w:bidi w:val="0"/>
              <w:rPr>
                <w:color w:val="auto"/>
                <w:highlight w:val="none"/>
              </w:rPr>
            </w:pPr>
            <w:r>
              <w:rPr>
                <w:rFonts w:hint="eastAsia"/>
                <w:b/>
                <w:bCs/>
                <w:color w:val="auto"/>
                <w:highlight w:val="none"/>
              </w:rPr>
              <w:t>3审批文件文号</w:t>
            </w:r>
          </w:p>
          <w:p w14:paraId="4823DD29">
            <w:pPr>
              <w:bidi w:val="0"/>
              <w:rPr>
                <w:color w:val="auto"/>
                <w:highlight w:val="none"/>
              </w:rPr>
            </w:pPr>
            <w:r>
              <w:rPr>
                <w:rFonts w:hint="eastAsia" w:ascii="Times New Roman" w:hAnsi="Times New Roman" w:eastAsia="宋体" w:cs="Times New Roman"/>
                <w:color w:val="auto"/>
                <w:highlight w:val="none"/>
              </w:rPr>
              <w:t>《辽宁省人民政府关于北票市、凌源市、朝阳县、建平县、喀喇沁左翼蒙古族自治县国土空间总体规划（2021</w:t>
            </w:r>
            <w:r>
              <w:rPr>
                <w:rFonts w:hint="eastAsia" w:cs="Times New Roman"/>
                <w:color w:val="auto"/>
                <w:highlight w:val="none"/>
                <w:lang w:eastAsia="zh-CN"/>
              </w:rPr>
              <w:t>—</w:t>
            </w:r>
            <w:r>
              <w:rPr>
                <w:rFonts w:hint="eastAsia" w:ascii="Times New Roman" w:hAnsi="Times New Roman" w:eastAsia="宋体" w:cs="Times New Roman"/>
                <w:color w:val="auto"/>
                <w:highlight w:val="none"/>
              </w:rPr>
              <w:t>2035年）的批复》</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辽政〔2024〕77号</w:t>
            </w:r>
            <w:r>
              <w:rPr>
                <w:rFonts w:hint="eastAsia" w:ascii="Times New Roman" w:hAnsi="Times New Roman" w:eastAsia="宋体" w:cs="Times New Roman"/>
                <w:color w:val="auto"/>
                <w:highlight w:val="none"/>
                <w:lang w:eastAsia="zh-CN"/>
              </w:rPr>
              <w:t>）</w:t>
            </w:r>
          </w:p>
        </w:tc>
      </w:tr>
      <w:tr w14:paraId="7FDF7A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42" w:hRule="atLeast"/>
          <w:jc w:val="center"/>
        </w:trPr>
        <w:tc>
          <w:tcPr>
            <w:tcW w:w="450" w:type="dxa"/>
            <w:vAlign w:val="center"/>
          </w:tcPr>
          <w:p w14:paraId="3D9226E2">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szCs w:val="21"/>
                <w:highlight w:val="none"/>
              </w:rPr>
              <w:t>规划环境影响评价情况</w:t>
            </w:r>
          </w:p>
        </w:tc>
        <w:tc>
          <w:tcPr>
            <w:tcW w:w="8394" w:type="dxa"/>
            <w:vAlign w:val="center"/>
          </w:tcPr>
          <w:p w14:paraId="2AEA76E2">
            <w:pPr>
              <w:bidi w:val="0"/>
              <w:rPr>
                <w:color w:val="auto"/>
                <w:highlight w:val="none"/>
              </w:rPr>
            </w:pPr>
            <w:r>
              <w:rPr>
                <w:rFonts w:hint="eastAsia"/>
                <w:color w:val="auto"/>
                <w:highlight w:val="none"/>
              </w:rPr>
              <w:t>无</w:t>
            </w:r>
          </w:p>
        </w:tc>
      </w:tr>
      <w:tr w14:paraId="68781C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38" w:hRule="atLeast"/>
          <w:jc w:val="center"/>
        </w:trPr>
        <w:tc>
          <w:tcPr>
            <w:tcW w:w="450" w:type="dxa"/>
            <w:vAlign w:val="center"/>
          </w:tcPr>
          <w:p w14:paraId="3B608013">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规划及规划环境影响评价符合性分析</w:t>
            </w:r>
          </w:p>
        </w:tc>
        <w:tc>
          <w:tcPr>
            <w:tcW w:w="8394" w:type="dxa"/>
            <w:vAlign w:val="center"/>
          </w:tcPr>
          <w:p w14:paraId="001E288E">
            <w:pPr>
              <w:bidi w:val="0"/>
              <w:rPr>
                <w:b/>
                <w:bCs/>
                <w:color w:val="auto"/>
                <w:highlight w:val="none"/>
              </w:rPr>
            </w:pPr>
            <w:r>
              <w:rPr>
                <w:rFonts w:hint="eastAsia"/>
                <w:b/>
                <w:bCs/>
                <w:color w:val="auto"/>
                <w:highlight w:val="none"/>
              </w:rPr>
              <w:t>1</w:t>
            </w:r>
            <w:r>
              <w:rPr>
                <w:rFonts w:hint="eastAsia"/>
                <w:b/>
                <w:bCs/>
                <w:color w:val="auto"/>
                <w:highlight w:val="none"/>
                <w:lang w:eastAsia="zh-CN"/>
              </w:rPr>
              <w:t>与《北票市国土空间总体规划（2021—2035年）》</w:t>
            </w:r>
            <w:r>
              <w:rPr>
                <w:rFonts w:hint="eastAsia"/>
                <w:b/>
                <w:bCs/>
                <w:color w:val="auto"/>
                <w:highlight w:val="none"/>
              </w:rPr>
              <w:t>符合性分析</w:t>
            </w:r>
          </w:p>
          <w:p w14:paraId="576FF157">
            <w:pPr>
              <w:bidi w:val="0"/>
              <w:rPr>
                <w:rFonts w:hint="eastAsia"/>
                <w:color w:val="auto"/>
                <w:highlight w:val="none"/>
                <w:lang w:val="en-US" w:eastAsia="zh-CN"/>
              </w:rPr>
            </w:pPr>
            <w:r>
              <w:rPr>
                <w:rFonts w:hint="eastAsia"/>
                <w:color w:val="auto"/>
                <w:highlight w:val="none"/>
                <w:lang w:val="en-US" w:eastAsia="zh-CN"/>
              </w:rPr>
              <w:t>根据辽宁省人民政府下发《辽宁省人民政府关于北票市、凌源市、朝阳县、建平县、喀喇沁左翼蒙古族自治县国土空间总体规划（2021—2035年）的批复》辽政〔2024〕77号，批准《北票市国土空间总体规划（2021—2035年）》中，本项目建设用地布局符合总体规划要求，详见下表：</w:t>
            </w:r>
          </w:p>
          <w:p w14:paraId="41D50A47">
            <w:pPr>
              <w:pStyle w:val="25"/>
              <w:bidi w:val="0"/>
              <w:rPr>
                <w:color w:val="auto"/>
                <w:highlight w:val="none"/>
              </w:rPr>
            </w:pPr>
            <w:r>
              <w:rPr>
                <w:rFonts w:hint="eastAsia"/>
                <w:color w:val="auto"/>
                <w:highlight w:val="none"/>
                <w:lang w:eastAsia="zh-CN"/>
              </w:rPr>
              <w:t>与《北票市国土空间总体规划（2021—2035年）》</w:t>
            </w:r>
            <w:r>
              <w:rPr>
                <w:rFonts w:hint="eastAsia"/>
                <w:color w:val="auto"/>
                <w:highlight w:val="none"/>
              </w:rPr>
              <w:t>符合性分析</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1"/>
              <w:gridCol w:w="3558"/>
              <w:gridCol w:w="3516"/>
              <w:gridCol w:w="685"/>
            </w:tblGrid>
            <w:tr w14:paraId="44734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tcBorders>
                    <w:tl2br w:val="nil"/>
                    <w:tr2bl w:val="nil"/>
                  </w:tcBorders>
                  <w:vAlign w:val="center"/>
                </w:tcPr>
                <w:p w14:paraId="26759397">
                  <w:pPr>
                    <w:pStyle w:val="27"/>
                    <w:bidi w:val="0"/>
                    <w:spacing w:line="240" w:lineRule="auto"/>
                    <w:rPr>
                      <w:rFonts w:hint="eastAsia"/>
                      <w:color w:val="auto"/>
                      <w:highlight w:val="none"/>
                      <w:lang w:eastAsia="zh-CN"/>
                    </w:rPr>
                  </w:pPr>
                  <w:r>
                    <w:rPr>
                      <w:rFonts w:hint="eastAsia"/>
                      <w:color w:val="auto"/>
                      <w:highlight w:val="none"/>
                      <w:lang w:eastAsia="zh-CN"/>
                    </w:rPr>
                    <w:t>序号</w:t>
                  </w:r>
                </w:p>
              </w:tc>
              <w:tc>
                <w:tcPr>
                  <w:tcW w:w="2177" w:type="pct"/>
                  <w:tcBorders>
                    <w:tl2br w:val="nil"/>
                    <w:tr2bl w:val="nil"/>
                  </w:tcBorders>
                  <w:vAlign w:val="center"/>
                </w:tcPr>
                <w:p w14:paraId="6CC5ACB0">
                  <w:pPr>
                    <w:pStyle w:val="27"/>
                    <w:bidi w:val="0"/>
                    <w:spacing w:line="240" w:lineRule="auto"/>
                    <w:rPr>
                      <w:rFonts w:hint="default"/>
                      <w:color w:val="auto"/>
                      <w:highlight w:val="none"/>
                    </w:rPr>
                  </w:pPr>
                  <w:r>
                    <w:rPr>
                      <w:color w:val="auto"/>
                      <w:highlight w:val="none"/>
                    </w:rPr>
                    <w:t>分析内容</w:t>
                  </w:r>
                </w:p>
              </w:tc>
              <w:tc>
                <w:tcPr>
                  <w:tcW w:w="2151" w:type="pct"/>
                  <w:tcBorders>
                    <w:tl2br w:val="nil"/>
                    <w:tr2bl w:val="nil"/>
                  </w:tcBorders>
                  <w:vAlign w:val="center"/>
                </w:tcPr>
                <w:p w14:paraId="06145DAA">
                  <w:pPr>
                    <w:pStyle w:val="27"/>
                    <w:bidi w:val="0"/>
                    <w:spacing w:line="240" w:lineRule="auto"/>
                    <w:rPr>
                      <w:rFonts w:hint="default"/>
                      <w:color w:val="auto"/>
                      <w:highlight w:val="none"/>
                    </w:rPr>
                  </w:pPr>
                  <w:r>
                    <w:rPr>
                      <w:color w:val="auto"/>
                      <w:highlight w:val="none"/>
                    </w:rPr>
                    <w:t>本项目情况</w:t>
                  </w:r>
                </w:p>
              </w:tc>
              <w:tc>
                <w:tcPr>
                  <w:tcW w:w="419" w:type="pct"/>
                  <w:tcBorders>
                    <w:tl2br w:val="nil"/>
                    <w:tr2bl w:val="nil"/>
                  </w:tcBorders>
                  <w:vAlign w:val="center"/>
                </w:tcPr>
                <w:p w14:paraId="626F3978">
                  <w:pPr>
                    <w:pStyle w:val="27"/>
                    <w:bidi w:val="0"/>
                    <w:spacing w:line="240" w:lineRule="auto"/>
                    <w:rPr>
                      <w:rFonts w:hint="default"/>
                      <w:color w:val="auto"/>
                      <w:highlight w:val="none"/>
                    </w:rPr>
                  </w:pPr>
                  <w:r>
                    <w:rPr>
                      <w:color w:val="auto"/>
                      <w:highlight w:val="none"/>
                    </w:rPr>
                    <w:t>分析结果</w:t>
                  </w:r>
                </w:p>
              </w:tc>
            </w:tr>
            <w:tr w14:paraId="591A8A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tcBorders>
                    <w:tl2br w:val="nil"/>
                    <w:tr2bl w:val="nil"/>
                  </w:tcBorders>
                  <w:vAlign w:val="center"/>
                </w:tcPr>
                <w:p w14:paraId="41CA9B75">
                  <w:pPr>
                    <w:pStyle w:val="23"/>
                    <w:spacing w:line="240" w:lineRule="auto"/>
                    <w:ind w:firstLine="0" w:firstLineChars="0"/>
                    <w:rPr>
                      <w:rFonts w:hint="eastAsia"/>
                      <w:b w:val="0"/>
                      <w:bCs/>
                      <w:color w:val="auto"/>
                      <w:szCs w:val="21"/>
                      <w:highlight w:val="none"/>
                      <w:lang w:val="en-US" w:eastAsia="zh-CN"/>
                    </w:rPr>
                  </w:pPr>
                  <w:r>
                    <w:rPr>
                      <w:rFonts w:ascii="Times New Roman" w:hAnsi="Times New Roman"/>
                      <w:color w:val="auto"/>
                      <w:kern w:val="2"/>
                      <w:szCs w:val="21"/>
                      <w:highlight w:val="none"/>
                    </w:rPr>
                    <w:t>1</w:t>
                  </w:r>
                </w:p>
              </w:tc>
              <w:tc>
                <w:tcPr>
                  <w:tcW w:w="2177" w:type="pct"/>
                  <w:tcBorders>
                    <w:tl2br w:val="nil"/>
                    <w:tr2bl w:val="nil"/>
                  </w:tcBorders>
                  <w:vAlign w:val="center"/>
                </w:tcPr>
                <w:p w14:paraId="13B0743B">
                  <w:pPr>
                    <w:pStyle w:val="23"/>
                    <w:spacing w:line="240" w:lineRule="auto"/>
                    <w:ind w:firstLine="0" w:firstLineChars="0"/>
                    <w:rPr>
                      <w:rFonts w:hint="eastAsia"/>
                      <w:b w:val="0"/>
                      <w:bCs/>
                      <w:color w:val="auto"/>
                      <w:szCs w:val="21"/>
                      <w:highlight w:val="none"/>
                      <w:lang w:val="en-US" w:eastAsia="zh-CN"/>
                    </w:rPr>
                  </w:pPr>
                  <w:r>
                    <w:rPr>
                      <w:rFonts w:ascii="Times New Roman" w:hAnsi="Times New Roman"/>
                      <w:color w:val="auto"/>
                      <w:szCs w:val="21"/>
                      <w:highlight w:val="none"/>
                    </w:rPr>
                    <w:t>优先划定永久基本农田：严格落实上级下达的永久基本农田保护任务，保障粮食安全和重要农产品供给，严格落实《基本农田保护条例》，严控建设占用永久基本农田</w:t>
                  </w:r>
                </w:p>
              </w:tc>
              <w:tc>
                <w:tcPr>
                  <w:tcW w:w="2151" w:type="pct"/>
                  <w:tcBorders>
                    <w:tl2br w:val="nil"/>
                    <w:tr2bl w:val="nil"/>
                  </w:tcBorders>
                  <w:vAlign w:val="center"/>
                </w:tcPr>
                <w:p w14:paraId="7EB0DD1D">
                  <w:pPr>
                    <w:pStyle w:val="23"/>
                    <w:spacing w:line="240" w:lineRule="auto"/>
                    <w:ind w:firstLine="0" w:firstLineChars="0"/>
                    <w:rPr>
                      <w:rFonts w:hint="eastAsia"/>
                      <w:b w:val="0"/>
                      <w:bCs/>
                      <w:color w:val="auto"/>
                      <w:szCs w:val="21"/>
                      <w:highlight w:val="none"/>
                    </w:rPr>
                  </w:pPr>
                  <w:r>
                    <w:rPr>
                      <w:rFonts w:hint="eastAsia"/>
                      <w:b w:val="0"/>
                      <w:bCs/>
                      <w:color w:val="auto"/>
                      <w:highlight w:val="none"/>
                    </w:rPr>
                    <w:t>本项目位于辽宁省朝阳市北票市</w:t>
                  </w:r>
                  <w:r>
                    <w:rPr>
                      <w:rFonts w:hint="eastAsia"/>
                      <w:b w:val="0"/>
                      <w:bCs/>
                      <w:color w:val="auto"/>
                      <w:highlight w:val="none"/>
                      <w:lang w:eastAsia="zh-CN"/>
                    </w:rPr>
                    <w:t>建设路</w:t>
                  </w:r>
                  <w:r>
                    <w:rPr>
                      <w:rFonts w:hint="eastAsia"/>
                      <w:b w:val="0"/>
                      <w:bCs/>
                      <w:color w:val="auto"/>
                      <w:highlight w:val="none"/>
                    </w:rPr>
                    <w:t>，北票发电有限责任公司厂区内</w:t>
                  </w:r>
                  <w:r>
                    <w:rPr>
                      <w:rFonts w:hint="eastAsia"/>
                      <w:b w:val="0"/>
                      <w:bCs/>
                      <w:color w:val="auto"/>
                      <w:highlight w:val="none"/>
                      <w:lang w:eastAsia="zh-CN"/>
                    </w:rPr>
                    <w:t>，</w:t>
                  </w:r>
                  <w:r>
                    <w:rPr>
                      <w:rFonts w:ascii="Times New Roman" w:hAnsi="Times New Roman"/>
                      <w:color w:val="auto"/>
                      <w:kern w:val="2"/>
                      <w:szCs w:val="21"/>
                      <w:highlight w:val="none"/>
                    </w:rPr>
                    <w:t>用地为</w:t>
                  </w:r>
                  <w:r>
                    <w:rPr>
                      <w:rFonts w:hint="eastAsia" w:ascii="Times New Roman" w:hAnsi="Times New Roman"/>
                      <w:color w:val="auto"/>
                      <w:kern w:val="2"/>
                      <w:szCs w:val="21"/>
                      <w:highlight w:val="none"/>
                      <w:lang w:val="en-US" w:eastAsia="zh-CN"/>
                    </w:rPr>
                    <w:t>工业</w:t>
                  </w:r>
                  <w:r>
                    <w:rPr>
                      <w:rFonts w:ascii="Times New Roman" w:hAnsi="Times New Roman"/>
                      <w:color w:val="auto"/>
                      <w:kern w:val="2"/>
                      <w:szCs w:val="21"/>
                      <w:highlight w:val="none"/>
                    </w:rPr>
                    <w:t>用地，不占用基本农田</w:t>
                  </w:r>
                </w:p>
              </w:tc>
              <w:tc>
                <w:tcPr>
                  <w:tcW w:w="419" w:type="pct"/>
                  <w:tcBorders>
                    <w:tl2br w:val="nil"/>
                    <w:tr2bl w:val="nil"/>
                  </w:tcBorders>
                  <w:vAlign w:val="center"/>
                </w:tcPr>
                <w:p w14:paraId="404C9EB3">
                  <w:pPr>
                    <w:pStyle w:val="23"/>
                    <w:spacing w:line="240" w:lineRule="auto"/>
                    <w:ind w:firstLine="0" w:firstLineChars="0"/>
                    <w:rPr>
                      <w:rFonts w:hint="eastAsia"/>
                      <w:b w:val="0"/>
                      <w:bCs/>
                      <w:color w:val="auto"/>
                      <w:szCs w:val="21"/>
                      <w:highlight w:val="none"/>
                      <w:lang w:eastAsia="zh-CN"/>
                    </w:rPr>
                  </w:pPr>
                  <w:r>
                    <w:rPr>
                      <w:rFonts w:ascii="Times New Roman" w:hAnsi="Times New Roman"/>
                      <w:color w:val="auto"/>
                      <w:kern w:val="2"/>
                      <w:szCs w:val="21"/>
                      <w:highlight w:val="none"/>
                    </w:rPr>
                    <w:t>符合</w:t>
                  </w:r>
                </w:p>
              </w:tc>
            </w:tr>
            <w:tr w14:paraId="0097E7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tcBorders>
                    <w:tl2br w:val="nil"/>
                    <w:tr2bl w:val="nil"/>
                  </w:tcBorders>
                  <w:vAlign w:val="center"/>
                </w:tcPr>
                <w:p w14:paraId="5D5234F2">
                  <w:pPr>
                    <w:pStyle w:val="23"/>
                    <w:spacing w:line="240" w:lineRule="auto"/>
                    <w:ind w:firstLine="0" w:firstLineChars="0"/>
                    <w:rPr>
                      <w:rFonts w:hint="eastAsia"/>
                      <w:b w:val="0"/>
                      <w:bCs/>
                      <w:color w:val="auto"/>
                      <w:szCs w:val="21"/>
                      <w:highlight w:val="none"/>
                      <w:lang w:val="en-US" w:eastAsia="zh-CN"/>
                    </w:rPr>
                  </w:pPr>
                  <w:r>
                    <w:rPr>
                      <w:rFonts w:ascii="Times New Roman" w:hAnsi="Times New Roman"/>
                      <w:color w:val="auto"/>
                      <w:kern w:val="2"/>
                      <w:szCs w:val="21"/>
                      <w:highlight w:val="none"/>
                    </w:rPr>
                    <w:t>2</w:t>
                  </w:r>
                </w:p>
              </w:tc>
              <w:tc>
                <w:tcPr>
                  <w:tcW w:w="2177" w:type="pct"/>
                  <w:tcBorders>
                    <w:tl2br w:val="nil"/>
                    <w:tr2bl w:val="nil"/>
                  </w:tcBorders>
                  <w:vAlign w:val="center"/>
                </w:tcPr>
                <w:p w14:paraId="65DD5E1A">
                  <w:pPr>
                    <w:pStyle w:val="23"/>
                    <w:spacing w:line="240" w:lineRule="auto"/>
                    <w:ind w:firstLine="0" w:firstLineChars="0"/>
                    <w:rPr>
                      <w:rFonts w:hint="eastAsia"/>
                      <w:b w:val="0"/>
                      <w:bCs/>
                      <w:color w:val="auto"/>
                      <w:szCs w:val="21"/>
                      <w:highlight w:val="none"/>
                      <w:lang w:val="en-US" w:eastAsia="zh-CN"/>
                    </w:rPr>
                  </w:pPr>
                  <w:r>
                    <w:rPr>
                      <w:rFonts w:ascii="Times New Roman" w:hAnsi="Times New Roman"/>
                      <w:color w:val="auto"/>
                      <w:szCs w:val="21"/>
                      <w:highlight w:val="none"/>
                    </w:rPr>
                    <w:t>严格保护生态保护红线：严格保护自然保护地、生态功能重要区域和生态敏感区域。确保面积不减少，功能不降低，性质不改变。除国家重大战略项目外，仅允许对生态功能不造成破坏的有限人为活动</w:t>
                  </w:r>
                </w:p>
              </w:tc>
              <w:tc>
                <w:tcPr>
                  <w:tcW w:w="2151" w:type="pct"/>
                  <w:tcBorders>
                    <w:tl2br w:val="nil"/>
                    <w:tr2bl w:val="nil"/>
                  </w:tcBorders>
                  <w:vAlign w:val="center"/>
                </w:tcPr>
                <w:p w14:paraId="02AD83D2">
                  <w:pPr>
                    <w:pStyle w:val="23"/>
                    <w:spacing w:line="240" w:lineRule="auto"/>
                    <w:ind w:firstLine="0" w:firstLineChars="0"/>
                    <w:rPr>
                      <w:rFonts w:hint="eastAsia"/>
                      <w:b w:val="0"/>
                      <w:bCs/>
                      <w:color w:val="auto"/>
                      <w:szCs w:val="21"/>
                      <w:highlight w:val="none"/>
                    </w:rPr>
                  </w:pPr>
                  <w:r>
                    <w:rPr>
                      <w:rFonts w:hint="eastAsia"/>
                      <w:b w:val="0"/>
                      <w:bCs/>
                      <w:color w:val="auto"/>
                      <w:highlight w:val="none"/>
                    </w:rPr>
                    <w:t>本项目位于辽宁省朝阳市北票市</w:t>
                  </w:r>
                  <w:r>
                    <w:rPr>
                      <w:rFonts w:hint="eastAsia"/>
                      <w:b w:val="0"/>
                      <w:bCs/>
                      <w:color w:val="auto"/>
                      <w:highlight w:val="none"/>
                      <w:lang w:eastAsia="zh-CN"/>
                    </w:rPr>
                    <w:t>建设路</w:t>
                  </w:r>
                  <w:r>
                    <w:rPr>
                      <w:rFonts w:hint="eastAsia"/>
                      <w:b w:val="0"/>
                      <w:bCs/>
                      <w:color w:val="auto"/>
                      <w:highlight w:val="none"/>
                    </w:rPr>
                    <w:t>，北票发电有限责任公司厂区内</w:t>
                  </w:r>
                  <w:r>
                    <w:rPr>
                      <w:rFonts w:hint="eastAsia"/>
                      <w:b w:val="0"/>
                      <w:bCs/>
                      <w:color w:val="auto"/>
                      <w:highlight w:val="none"/>
                      <w:lang w:eastAsia="zh-CN"/>
                    </w:rPr>
                    <w:t>，</w:t>
                  </w:r>
                  <w:r>
                    <w:rPr>
                      <w:rFonts w:ascii="Times New Roman" w:hAnsi="Times New Roman"/>
                      <w:color w:val="auto"/>
                      <w:kern w:val="2"/>
                      <w:szCs w:val="21"/>
                      <w:highlight w:val="none"/>
                    </w:rPr>
                    <w:t>用地为</w:t>
                  </w:r>
                  <w:r>
                    <w:rPr>
                      <w:rFonts w:hint="eastAsia" w:ascii="Times New Roman" w:hAnsi="Times New Roman"/>
                      <w:color w:val="auto"/>
                      <w:kern w:val="2"/>
                      <w:szCs w:val="21"/>
                      <w:highlight w:val="none"/>
                      <w:lang w:val="en-US" w:eastAsia="zh-CN"/>
                    </w:rPr>
                    <w:t>工业</w:t>
                  </w:r>
                  <w:r>
                    <w:rPr>
                      <w:rFonts w:ascii="Times New Roman" w:hAnsi="Times New Roman"/>
                      <w:color w:val="auto"/>
                      <w:kern w:val="2"/>
                      <w:szCs w:val="21"/>
                      <w:highlight w:val="none"/>
                    </w:rPr>
                    <w:t>用地，</w:t>
                  </w:r>
                  <w:r>
                    <w:rPr>
                      <w:rFonts w:hint="eastAsia"/>
                      <w:b w:val="0"/>
                      <w:bCs/>
                      <w:color w:val="auto"/>
                      <w:highlight w:val="none"/>
                      <w:lang w:val="en-US" w:eastAsia="zh-CN"/>
                    </w:rPr>
                    <w:t>项目所在地不涉及生态保护红线，不涉及大黑山国家森林公园、白石水库自然保护区等自然保护地。本项目为北票发电有限责任公司经营配套附属项目，利用公司闲置库房进行改造，不新增占地，不会对生态环境产生负面影响</w:t>
                  </w:r>
                </w:p>
              </w:tc>
              <w:tc>
                <w:tcPr>
                  <w:tcW w:w="419" w:type="pct"/>
                  <w:tcBorders>
                    <w:tl2br w:val="nil"/>
                    <w:tr2bl w:val="nil"/>
                  </w:tcBorders>
                  <w:vAlign w:val="center"/>
                </w:tcPr>
                <w:p w14:paraId="521E27E1">
                  <w:pPr>
                    <w:pStyle w:val="23"/>
                    <w:spacing w:line="240" w:lineRule="auto"/>
                    <w:ind w:firstLine="0" w:firstLineChars="0"/>
                    <w:rPr>
                      <w:rFonts w:hint="eastAsia"/>
                      <w:b w:val="0"/>
                      <w:bCs/>
                      <w:color w:val="auto"/>
                      <w:szCs w:val="21"/>
                      <w:highlight w:val="none"/>
                      <w:lang w:eastAsia="zh-CN"/>
                    </w:rPr>
                  </w:pPr>
                  <w:r>
                    <w:rPr>
                      <w:rFonts w:ascii="Times New Roman" w:hAnsi="Times New Roman"/>
                      <w:color w:val="auto"/>
                      <w:kern w:val="2"/>
                      <w:szCs w:val="21"/>
                      <w:highlight w:val="none"/>
                    </w:rPr>
                    <w:t>符合</w:t>
                  </w:r>
                </w:p>
              </w:tc>
            </w:tr>
            <w:tr w14:paraId="5D3164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tcBorders>
                    <w:tl2br w:val="nil"/>
                    <w:tr2bl w:val="nil"/>
                  </w:tcBorders>
                  <w:vAlign w:val="center"/>
                </w:tcPr>
                <w:p w14:paraId="6FA6FF98">
                  <w:pPr>
                    <w:pStyle w:val="23"/>
                    <w:spacing w:line="240" w:lineRule="auto"/>
                    <w:ind w:firstLine="0" w:firstLineChars="0"/>
                    <w:rPr>
                      <w:rFonts w:hint="eastAsia"/>
                      <w:b w:val="0"/>
                      <w:bCs/>
                      <w:color w:val="auto"/>
                      <w:szCs w:val="21"/>
                      <w:highlight w:val="none"/>
                      <w:lang w:val="en-US" w:eastAsia="zh-CN"/>
                    </w:rPr>
                  </w:pPr>
                  <w:r>
                    <w:rPr>
                      <w:rFonts w:ascii="Times New Roman" w:hAnsi="Times New Roman"/>
                      <w:color w:val="auto"/>
                      <w:kern w:val="2"/>
                      <w:szCs w:val="21"/>
                      <w:highlight w:val="none"/>
                    </w:rPr>
                    <w:t>3</w:t>
                  </w:r>
                </w:p>
              </w:tc>
              <w:tc>
                <w:tcPr>
                  <w:tcW w:w="2177" w:type="pct"/>
                  <w:tcBorders>
                    <w:tl2br w:val="nil"/>
                    <w:tr2bl w:val="nil"/>
                  </w:tcBorders>
                  <w:vAlign w:val="center"/>
                </w:tcPr>
                <w:p w14:paraId="01BCA998">
                  <w:pPr>
                    <w:pStyle w:val="23"/>
                    <w:spacing w:line="240" w:lineRule="auto"/>
                    <w:ind w:firstLine="0" w:firstLineChars="0"/>
                    <w:rPr>
                      <w:rFonts w:hint="eastAsia"/>
                      <w:b w:val="0"/>
                      <w:bCs/>
                      <w:color w:val="auto"/>
                      <w:szCs w:val="21"/>
                      <w:highlight w:val="none"/>
                      <w:lang w:val="en-US" w:eastAsia="zh-CN"/>
                    </w:rPr>
                  </w:pPr>
                  <w:r>
                    <w:rPr>
                      <w:rFonts w:ascii="Times New Roman" w:hAnsi="Times New Roman"/>
                      <w:color w:val="auto"/>
                      <w:szCs w:val="21"/>
                      <w:highlight w:val="none"/>
                    </w:rPr>
                    <w:t>科学确定城镇开发边界：城镇开发边界是一定时期内因城镇发展需要，可以集中进行城镇开发建设、以城镇功能为主的区域边界。城镇开发边界一经划定，规划期内原则上不得调整，因国家重大战略实施等原因需调整的，报国土空间规划原审批机关审批</w:t>
                  </w:r>
                </w:p>
              </w:tc>
              <w:tc>
                <w:tcPr>
                  <w:tcW w:w="2151" w:type="pct"/>
                  <w:tcBorders>
                    <w:tl2br w:val="nil"/>
                    <w:tr2bl w:val="nil"/>
                  </w:tcBorders>
                  <w:vAlign w:val="center"/>
                </w:tcPr>
                <w:p w14:paraId="69DB5FB6">
                  <w:pPr>
                    <w:pStyle w:val="23"/>
                    <w:spacing w:line="240" w:lineRule="auto"/>
                    <w:ind w:firstLine="0" w:firstLineChars="0"/>
                    <w:rPr>
                      <w:rFonts w:hint="eastAsia"/>
                      <w:b w:val="0"/>
                      <w:bCs/>
                      <w:color w:val="auto"/>
                      <w:szCs w:val="21"/>
                      <w:highlight w:val="none"/>
                    </w:rPr>
                  </w:pPr>
                  <w:r>
                    <w:rPr>
                      <w:rFonts w:hint="eastAsia"/>
                      <w:b w:val="0"/>
                      <w:bCs/>
                      <w:color w:val="auto"/>
                      <w:highlight w:val="none"/>
                    </w:rPr>
                    <w:t>本项目位于辽宁省朝阳市北票市</w:t>
                  </w:r>
                  <w:r>
                    <w:rPr>
                      <w:rFonts w:hint="eastAsia"/>
                      <w:b w:val="0"/>
                      <w:bCs/>
                      <w:color w:val="auto"/>
                      <w:highlight w:val="none"/>
                      <w:lang w:eastAsia="zh-CN"/>
                    </w:rPr>
                    <w:t>市区内的建设路</w:t>
                  </w:r>
                  <w:r>
                    <w:rPr>
                      <w:rFonts w:hint="eastAsia"/>
                      <w:b w:val="0"/>
                      <w:bCs/>
                      <w:color w:val="auto"/>
                      <w:highlight w:val="none"/>
                    </w:rPr>
                    <w:t>，</w:t>
                  </w:r>
                  <w:r>
                    <w:rPr>
                      <w:rFonts w:hint="eastAsia"/>
                      <w:b w:val="0"/>
                      <w:bCs/>
                      <w:color w:val="auto"/>
                      <w:highlight w:val="none"/>
                      <w:lang w:eastAsia="zh-CN"/>
                    </w:rPr>
                    <w:t>在</w:t>
                  </w:r>
                  <w:r>
                    <w:rPr>
                      <w:rFonts w:hint="eastAsia"/>
                      <w:b w:val="0"/>
                      <w:bCs/>
                      <w:color w:val="auto"/>
                      <w:highlight w:val="none"/>
                    </w:rPr>
                    <w:t>北票发电有限责任公司厂区内</w:t>
                  </w:r>
                  <w:r>
                    <w:rPr>
                      <w:rFonts w:ascii="Times New Roman" w:hAnsi="Times New Roman"/>
                      <w:color w:val="auto"/>
                      <w:kern w:val="2"/>
                      <w:szCs w:val="21"/>
                      <w:highlight w:val="none"/>
                    </w:rPr>
                    <w:t>，用地为</w:t>
                  </w:r>
                  <w:r>
                    <w:rPr>
                      <w:rFonts w:hint="eastAsia" w:ascii="Times New Roman" w:hAnsi="Times New Roman"/>
                      <w:color w:val="auto"/>
                      <w:kern w:val="2"/>
                      <w:szCs w:val="21"/>
                      <w:highlight w:val="none"/>
                      <w:lang w:val="en-US" w:eastAsia="zh-CN"/>
                    </w:rPr>
                    <w:t>工业</w:t>
                  </w:r>
                  <w:r>
                    <w:rPr>
                      <w:rFonts w:ascii="Times New Roman" w:hAnsi="Times New Roman"/>
                      <w:color w:val="auto"/>
                      <w:kern w:val="2"/>
                      <w:szCs w:val="21"/>
                      <w:highlight w:val="none"/>
                    </w:rPr>
                    <w:t>用地，符合国土空间规划</w:t>
                  </w:r>
                </w:p>
              </w:tc>
              <w:tc>
                <w:tcPr>
                  <w:tcW w:w="419" w:type="pct"/>
                  <w:tcBorders>
                    <w:tl2br w:val="nil"/>
                    <w:tr2bl w:val="nil"/>
                  </w:tcBorders>
                  <w:vAlign w:val="center"/>
                </w:tcPr>
                <w:p w14:paraId="648F6C30">
                  <w:pPr>
                    <w:pStyle w:val="23"/>
                    <w:spacing w:line="240" w:lineRule="auto"/>
                    <w:ind w:firstLine="0" w:firstLineChars="0"/>
                    <w:rPr>
                      <w:rFonts w:hint="eastAsia"/>
                      <w:b w:val="0"/>
                      <w:bCs/>
                      <w:color w:val="auto"/>
                      <w:szCs w:val="21"/>
                      <w:highlight w:val="none"/>
                      <w:lang w:eastAsia="zh-CN"/>
                    </w:rPr>
                  </w:pPr>
                  <w:r>
                    <w:rPr>
                      <w:rFonts w:ascii="Times New Roman" w:hAnsi="Times New Roman"/>
                      <w:color w:val="auto"/>
                      <w:kern w:val="2"/>
                      <w:szCs w:val="21"/>
                      <w:highlight w:val="none"/>
                    </w:rPr>
                    <w:t>符合</w:t>
                  </w:r>
                </w:p>
              </w:tc>
            </w:tr>
          </w:tbl>
          <w:p w14:paraId="62B7752D">
            <w:pPr>
              <w:bidi w:val="0"/>
              <w:ind w:left="0" w:leftChars="0" w:firstLine="0" w:firstLineChars="0"/>
              <w:rPr>
                <w:color w:val="auto"/>
                <w:highlight w:val="none"/>
              </w:rPr>
            </w:pPr>
          </w:p>
        </w:tc>
      </w:tr>
      <w:tr w14:paraId="6AE6B2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93" w:hRule="atLeast"/>
          <w:jc w:val="center"/>
        </w:trPr>
        <w:tc>
          <w:tcPr>
            <w:tcW w:w="450" w:type="dxa"/>
            <w:vAlign w:val="center"/>
          </w:tcPr>
          <w:p w14:paraId="357575A3">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其他符合性分析</w:t>
            </w:r>
          </w:p>
        </w:tc>
        <w:tc>
          <w:tcPr>
            <w:tcW w:w="8394" w:type="dxa"/>
            <w:vAlign w:val="center"/>
          </w:tcPr>
          <w:p w14:paraId="76375B00">
            <w:pPr>
              <w:bidi w:val="0"/>
              <w:ind w:firstLine="480"/>
              <w:rPr>
                <w:rFonts w:hint="default"/>
                <w:b/>
                <w:bCs/>
                <w:color w:val="auto"/>
                <w:highlight w:val="none"/>
              </w:rPr>
            </w:pPr>
            <w:r>
              <w:rPr>
                <w:b/>
                <w:bCs/>
                <w:color w:val="auto"/>
                <w:highlight w:val="none"/>
              </w:rPr>
              <w:t>1产业政策符合性分析</w:t>
            </w:r>
          </w:p>
          <w:p w14:paraId="35373FDC">
            <w:pPr>
              <w:bidi w:val="0"/>
              <w:ind w:firstLine="480"/>
              <w:rPr>
                <w:rFonts w:hint="eastAsia"/>
                <w:color w:val="auto"/>
                <w:highlight w:val="none"/>
                <w:lang w:val="en-US" w:eastAsia="zh-CN"/>
              </w:rPr>
            </w:pPr>
            <w:r>
              <w:rPr>
                <w:rFonts w:hint="eastAsia"/>
                <w:color w:val="auto"/>
                <w:highlight w:val="none"/>
              </w:rPr>
              <w:t>本项目为北票发电有限责任公司配套的危险废物贮存项目，对照《产业结构调整指导目录（2024年本）》，本项目不属于“鼓励类</w:t>
            </w:r>
            <w:r>
              <w:rPr>
                <w:rFonts w:hint="eastAsia"/>
                <w:color w:val="auto"/>
                <w:highlight w:val="none"/>
                <w:lang w:eastAsia="zh-CN"/>
              </w:rPr>
              <w:t>”“</w:t>
            </w:r>
            <w:r>
              <w:rPr>
                <w:rFonts w:hint="eastAsia"/>
                <w:color w:val="auto"/>
                <w:highlight w:val="none"/>
              </w:rPr>
              <w:t>限制类</w:t>
            </w:r>
            <w:r>
              <w:rPr>
                <w:rFonts w:hint="eastAsia"/>
                <w:color w:val="auto"/>
                <w:highlight w:val="none"/>
                <w:lang w:eastAsia="zh-CN"/>
              </w:rPr>
              <w:t>”“</w:t>
            </w:r>
            <w:r>
              <w:rPr>
                <w:rFonts w:hint="eastAsia"/>
                <w:color w:val="auto"/>
                <w:highlight w:val="none"/>
              </w:rPr>
              <w:t>淘汰类”，根据《促进产业结构调整暂行规定》第十三条规定“不属于鼓励类、限制类和淘汰类，且符合国家有关</w:t>
            </w:r>
            <w:r>
              <w:rPr>
                <w:rFonts w:hint="eastAsia"/>
                <w:color w:val="auto"/>
                <w:highlight w:val="none"/>
                <w:lang w:eastAsia="zh-CN"/>
              </w:rPr>
              <w:t>法律法规</w:t>
            </w:r>
            <w:r>
              <w:rPr>
                <w:rFonts w:hint="eastAsia"/>
                <w:color w:val="auto"/>
                <w:highlight w:val="none"/>
              </w:rPr>
              <w:t>和政策规定的，为允许类”，因此，本项目为“允许类”。本项目不</w:t>
            </w:r>
            <w:r>
              <w:rPr>
                <w:rFonts w:hint="eastAsia"/>
                <w:color w:val="auto"/>
                <w:highlight w:val="none"/>
                <w:lang w:val="en-US" w:eastAsia="zh-CN"/>
              </w:rPr>
              <w:t>属于</w:t>
            </w:r>
            <w:r>
              <w:rPr>
                <w:rFonts w:hint="eastAsia"/>
                <w:color w:val="auto"/>
                <w:highlight w:val="none"/>
              </w:rPr>
              <w:t>《市场准入负面清单（202</w:t>
            </w:r>
            <w:r>
              <w:rPr>
                <w:rFonts w:hint="eastAsia"/>
                <w:color w:val="auto"/>
                <w:highlight w:val="none"/>
                <w:lang w:val="en-US" w:eastAsia="zh-CN"/>
              </w:rPr>
              <w:t>5</w:t>
            </w:r>
            <w:r>
              <w:rPr>
                <w:rFonts w:hint="eastAsia"/>
                <w:color w:val="auto"/>
                <w:highlight w:val="none"/>
              </w:rPr>
              <w:t>版）》中的“禁止准入类”。</w:t>
            </w:r>
            <w:r>
              <w:rPr>
                <w:rFonts w:hint="eastAsia"/>
                <w:color w:val="auto"/>
                <w:highlight w:val="none"/>
                <w:lang w:val="en-US" w:eastAsia="zh-CN"/>
              </w:rPr>
              <w:t>综上，</w:t>
            </w:r>
            <w:r>
              <w:rPr>
                <w:rFonts w:hint="eastAsia"/>
                <w:color w:val="auto"/>
                <w:highlight w:val="none"/>
              </w:rPr>
              <w:t>本项目建设符合国家有关产业政策</w:t>
            </w:r>
            <w:r>
              <w:rPr>
                <w:color w:val="auto"/>
                <w:highlight w:val="none"/>
              </w:rPr>
              <w:t>。</w:t>
            </w:r>
          </w:p>
          <w:p w14:paraId="358706DC">
            <w:pPr>
              <w:bidi w:val="0"/>
              <w:ind w:firstLine="480"/>
              <w:rPr>
                <w:rFonts w:hint="default"/>
                <w:b/>
                <w:bCs/>
                <w:color w:val="auto"/>
                <w:highlight w:val="none"/>
              </w:rPr>
            </w:pPr>
            <w:r>
              <w:rPr>
                <w:b/>
                <w:bCs/>
                <w:color w:val="auto"/>
                <w:highlight w:val="none"/>
              </w:rPr>
              <w:t>2选址合理性分析</w:t>
            </w:r>
          </w:p>
          <w:p w14:paraId="01D79D8E">
            <w:pPr>
              <w:bidi w:val="0"/>
              <w:ind w:firstLine="480"/>
              <w:rPr>
                <w:rFonts w:hint="eastAsia"/>
                <w:color w:val="auto"/>
                <w:highlight w:val="none"/>
                <w:lang w:eastAsia="zh-CN"/>
              </w:rPr>
            </w:pPr>
            <w:r>
              <w:rPr>
                <w:rFonts w:hint="eastAsia"/>
                <w:color w:val="auto"/>
                <w:highlight w:val="none"/>
              </w:rPr>
              <w:t>本项目为北票发电有限责任公司配套的危险废物贮存项目，项目利用北票发电有限责任公司闲置库房改造</w:t>
            </w:r>
            <w:r>
              <w:rPr>
                <w:rFonts w:hint="eastAsia"/>
                <w:color w:val="auto"/>
                <w:highlight w:val="none"/>
                <w:lang w:val="en-US" w:eastAsia="zh-CN"/>
              </w:rPr>
              <w:t>为</w:t>
            </w:r>
            <w:r>
              <w:rPr>
                <w:rFonts w:hint="eastAsia"/>
                <w:color w:val="auto"/>
                <w:highlight w:val="none"/>
              </w:rPr>
              <w:t>危险废物</w:t>
            </w:r>
            <w:r>
              <w:rPr>
                <w:rFonts w:hint="eastAsia"/>
                <w:color w:val="auto"/>
                <w:highlight w:val="none"/>
                <w:lang w:val="en-US" w:eastAsia="zh-CN"/>
              </w:rPr>
              <w:t>贮存点，</w:t>
            </w:r>
            <w:r>
              <w:rPr>
                <w:rFonts w:hint="eastAsia"/>
                <w:color w:val="auto"/>
                <w:highlight w:val="none"/>
              </w:rPr>
              <w:t>不新增用地</w:t>
            </w:r>
            <w:r>
              <w:rPr>
                <w:rFonts w:hint="eastAsia"/>
                <w:color w:val="auto"/>
                <w:highlight w:val="none"/>
                <w:lang w:eastAsia="zh-CN"/>
              </w:rPr>
              <w:t>，项目所在位置用地性质为工业用地（土地证见附件</w:t>
            </w:r>
            <w:r>
              <w:rPr>
                <w:rFonts w:hint="eastAsia"/>
                <w:color w:val="auto"/>
                <w:highlight w:val="none"/>
                <w:lang w:val="en-US" w:eastAsia="zh-CN"/>
              </w:rPr>
              <w:t>6）</w:t>
            </w:r>
            <w:r>
              <w:rPr>
                <w:rFonts w:hint="eastAsia"/>
                <w:color w:val="auto"/>
                <w:highlight w:val="none"/>
                <w:lang w:eastAsia="zh-CN"/>
              </w:rPr>
              <w:t>。</w:t>
            </w:r>
          </w:p>
          <w:p w14:paraId="2F8DB7DA">
            <w:pPr>
              <w:bidi w:val="0"/>
              <w:ind w:firstLine="480"/>
              <w:rPr>
                <w:rFonts w:hint="eastAsia"/>
                <w:color w:val="auto"/>
                <w:highlight w:val="none"/>
              </w:rPr>
            </w:pPr>
            <w:r>
              <w:rPr>
                <w:rFonts w:hint="eastAsia"/>
                <w:color w:val="auto"/>
                <w:highlight w:val="none"/>
              </w:rPr>
              <w:t>项目所在地不涉及区域生态保护红线规划范围，不涉及自然保护区、风景名胜区、饮用水源保护区和其他需要特殊保护的区域范围，不属于《限制用地项目目录（2012年本）》和《禁止用地项目目录（2012年本）》中规定的项目。</w:t>
            </w:r>
          </w:p>
          <w:p w14:paraId="76874033">
            <w:pPr>
              <w:bidi w:val="0"/>
              <w:ind w:firstLine="480"/>
              <w:rPr>
                <w:rFonts w:hint="eastAsia" w:eastAsia="宋体"/>
                <w:color w:val="auto"/>
                <w:highlight w:val="none"/>
                <w:lang w:eastAsia="zh-CN"/>
              </w:rPr>
            </w:pPr>
            <w:r>
              <w:rPr>
                <w:rFonts w:hint="eastAsia"/>
                <w:color w:val="auto"/>
                <w:highlight w:val="none"/>
              </w:rPr>
              <w:t>本项目选址满足生态环境保护法律法规、规划和“三线一单”生态环境分区管控的要求，不涉及生态保护红线区域、永久基本农田和其他需要特别保护的区域内，不在溶洞区或易遭受洪水、滑坡、泥石流、潮汐等严重自然灾害影响的地区，不在江河、湖泊、运河、渠道、水库及其最高水位线以下的滩地和岸坡，以及法律法规规定禁止贮存危险废物的其他地点。</w:t>
            </w:r>
            <w:r>
              <w:rPr>
                <w:rFonts w:hint="eastAsia"/>
                <w:color w:val="auto"/>
                <w:highlight w:val="none"/>
                <w:lang w:eastAsia="zh-CN"/>
              </w:rPr>
              <w:t>本项目选址符合《危险废物贮存污染控制标准》（GB18597-2023）、《危险废物收集贮存运输技术规范》（HJ2025-2012）等危险废物贮存设施选址要求。</w:t>
            </w:r>
          </w:p>
          <w:p w14:paraId="1BE87C4F">
            <w:pPr>
              <w:bidi w:val="0"/>
              <w:ind w:left="0" w:leftChars="0" w:firstLine="480" w:firstLineChars="200"/>
              <w:rPr>
                <w:rFonts w:hint="eastAsia"/>
                <w:color w:val="auto"/>
                <w:highlight w:val="none"/>
              </w:rPr>
            </w:pPr>
            <w:r>
              <w:rPr>
                <w:rFonts w:hint="eastAsia"/>
                <w:color w:val="auto"/>
                <w:highlight w:val="none"/>
              </w:rPr>
              <w:t>项目所在区域环境质量良好，符合环境功能区划要求。项目产生的废气、废水、噪声等污染经技术、经济可行的污染防治设施和环境管理措施后可以做到厂界达标排放，且不降低区域环境质量，</w:t>
            </w:r>
            <w:r>
              <w:rPr>
                <w:rFonts w:hint="eastAsia"/>
                <w:color w:val="auto"/>
                <w:highlight w:val="none"/>
                <w:lang w:eastAsia="zh-CN"/>
              </w:rPr>
              <w:t>危险</w:t>
            </w:r>
            <w:r>
              <w:rPr>
                <w:rFonts w:hint="eastAsia"/>
                <w:color w:val="auto"/>
                <w:highlight w:val="none"/>
              </w:rPr>
              <w:t>废物均可做到合理处置。从环境保护角度分析，项目选址合理。</w:t>
            </w:r>
          </w:p>
          <w:p w14:paraId="51AC9F69">
            <w:pPr>
              <w:bidi w:val="0"/>
              <w:ind w:left="0" w:leftChars="0" w:firstLine="480" w:firstLineChars="200"/>
              <w:rPr>
                <w:color w:val="auto"/>
                <w:highlight w:val="none"/>
              </w:rPr>
            </w:pPr>
            <w:r>
              <w:rPr>
                <w:rFonts w:hint="eastAsia"/>
                <w:color w:val="auto"/>
                <w:highlight w:val="none"/>
              </w:rPr>
              <w:t>综上所述，本项目选址合理</w:t>
            </w:r>
            <w:r>
              <w:rPr>
                <w:color w:val="auto"/>
                <w:highlight w:val="none"/>
              </w:rPr>
              <w:t>。</w:t>
            </w:r>
          </w:p>
          <w:p w14:paraId="6E0454D6">
            <w:pPr>
              <w:bidi w:val="0"/>
              <w:ind w:left="0" w:leftChars="0" w:firstLine="480" w:firstLineChars="0"/>
              <w:rPr>
                <w:rFonts w:hint="default"/>
                <w:b/>
                <w:bCs/>
                <w:color w:val="auto"/>
                <w:highlight w:val="none"/>
              </w:rPr>
            </w:pPr>
            <w:r>
              <w:rPr>
                <w:rFonts w:hint="default"/>
                <w:b/>
                <w:bCs/>
                <w:color w:val="auto"/>
                <w:highlight w:val="none"/>
              </w:rPr>
              <w:t>3相关生态环境保护法律法规政策、生态环境保护规划的符合性分析</w:t>
            </w:r>
          </w:p>
          <w:p w14:paraId="3FB96F07">
            <w:pPr>
              <w:pStyle w:val="25"/>
              <w:keepNext w:val="0"/>
              <w:keepLines w:val="0"/>
              <w:pageBreakBefore w:val="0"/>
              <w:widowControl/>
              <w:kinsoku/>
              <w:wordWrap/>
              <w:overflowPunct/>
              <w:topLinePunct w:val="0"/>
              <w:autoSpaceDE/>
              <w:autoSpaceDN/>
              <w:bidi w:val="0"/>
              <w:adjustRightInd/>
              <w:snapToGrid/>
              <w:spacing w:before="0" w:beforeLines="-2147483648"/>
              <w:textAlignment w:val="auto"/>
              <w:rPr>
                <w:color w:val="auto"/>
                <w:highlight w:val="none"/>
              </w:rPr>
            </w:pPr>
            <w:r>
              <w:rPr>
                <w:rFonts w:hint="eastAsia"/>
                <w:color w:val="auto"/>
                <w:highlight w:val="none"/>
              </w:rPr>
              <w:t>与《空气质量持续改善行动计划》（国发〔2023〕24号）符合性分析</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7"/>
              <w:gridCol w:w="4639"/>
              <w:gridCol w:w="2417"/>
              <w:gridCol w:w="697"/>
            </w:tblGrid>
            <w:tr w14:paraId="09683F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5" w:type="pct"/>
                  <w:tcBorders>
                    <w:tl2br w:val="nil"/>
                    <w:tr2bl w:val="nil"/>
                  </w:tcBorders>
                  <w:vAlign w:val="center"/>
                </w:tcPr>
                <w:p w14:paraId="0D11FBF9">
                  <w:pPr>
                    <w:pStyle w:val="27"/>
                    <w:spacing w:line="240" w:lineRule="auto"/>
                    <w:rPr>
                      <w:rFonts w:hint="default"/>
                      <w:color w:val="auto"/>
                      <w:highlight w:val="none"/>
                    </w:rPr>
                  </w:pPr>
                  <w:r>
                    <w:rPr>
                      <w:rFonts w:eastAsia="宋体"/>
                      <w:b/>
                      <w:color w:val="auto"/>
                      <w:sz w:val="21"/>
                      <w:highlight w:val="none"/>
                    </w:rPr>
                    <w:t>序号</w:t>
                  </w:r>
                </w:p>
              </w:tc>
              <w:tc>
                <w:tcPr>
                  <w:tcW w:w="2839" w:type="pct"/>
                  <w:tcBorders>
                    <w:tl2br w:val="nil"/>
                    <w:tr2bl w:val="nil"/>
                  </w:tcBorders>
                  <w:vAlign w:val="center"/>
                </w:tcPr>
                <w:p w14:paraId="1124D40D">
                  <w:pPr>
                    <w:pStyle w:val="27"/>
                    <w:spacing w:line="240" w:lineRule="auto"/>
                    <w:rPr>
                      <w:rFonts w:hint="default"/>
                      <w:color w:val="auto"/>
                      <w:highlight w:val="none"/>
                    </w:rPr>
                  </w:pPr>
                  <w:r>
                    <w:rPr>
                      <w:rFonts w:eastAsia="宋体"/>
                      <w:b/>
                      <w:color w:val="auto"/>
                      <w:sz w:val="21"/>
                      <w:highlight w:val="none"/>
                    </w:rPr>
                    <w:t>分析内容</w:t>
                  </w:r>
                </w:p>
              </w:tc>
              <w:tc>
                <w:tcPr>
                  <w:tcW w:w="1479" w:type="pct"/>
                  <w:tcBorders>
                    <w:tl2br w:val="nil"/>
                    <w:tr2bl w:val="nil"/>
                  </w:tcBorders>
                  <w:vAlign w:val="center"/>
                </w:tcPr>
                <w:p w14:paraId="6EE19C25">
                  <w:pPr>
                    <w:pStyle w:val="27"/>
                    <w:spacing w:line="240" w:lineRule="auto"/>
                    <w:rPr>
                      <w:rFonts w:hint="default"/>
                      <w:color w:val="auto"/>
                      <w:highlight w:val="none"/>
                    </w:rPr>
                  </w:pPr>
                  <w:r>
                    <w:rPr>
                      <w:rFonts w:eastAsia="宋体"/>
                      <w:b/>
                      <w:color w:val="auto"/>
                      <w:sz w:val="21"/>
                      <w:highlight w:val="none"/>
                    </w:rPr>
                    <w:t>本项目情况</w:t>
                  </w:r>
                </w:p>
              </w:tc>
              <w:tc>
                <w:tcPr>
                  <w:tcW w:w="426" w:type="pct"/>
                  <w:tcBorders>
                    <w:tl2br w:val="nil"/>
                    <w:tr2bl w:val="nil"/>
                  </w:tcBorders>
                  <w:vAlign w:val="center"/>
                </w:tcPr>
                <w:p w14:paraId="248DEFDE">
                  <w:pPr>
                    <w:pStyle w:val="27"/>
                    <w:spacing w:line="240" w:lineRule="auto"/>
                    <w:rPr>
                      <w:rFonts w:hint="default"/>
                      <w:color w:val="auto"/>
                      <w:highlight w:val="none"/>
                    </w:rPr>
                  </w:pPr>
                  <w:r>
                    <w:rPr>
                      <w:rFonts w:eastAsia="宋体"/>
                      <w:b/>
                      <w:color w:val="auto"/>
                      <w:sz w:val="21"/>
                      <w:highlight w:val="none"/>
                    </w:rPr>
                    <w:t>分析结果</w:t>
                  </w:r>
                </w:p>
              </w:tc>
            </w:tr>
            <w:tr w14:paraId="12CD1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3" w:hRule="atLeast"/>
                <w:jc w:val="center"/>
              </w:trPr>
              <w:tc>
                <w:tcPr>
                  <w:tcW w:w="255" w:type="pct"/>
                  <w:tcBorders>
                    <w:tl2br w:val="nil"/>
                    <w:tr2bl w:val="nil"/>
                  </w:tcBorders>
                  <w:vAlign w:val="center"/>
                </w:tcPr>
                <w:p w14:paraId="6B214E9C">
                  <w:pPr>
                    <w:pStyle w:val="24"/>
                    <w:spacing w:line="240" w:lineRule="auto"/>
                    <w:rPr>
                      <w:color w:val="auto"/>
                      <w:highlight w:val="none"/>
                    </w:rPr>
                  </w:pPr>
                  <w:r>
                    <w:rPr>
                      <w:rFonts w:hint="eastAsia"/>
                      <w:color w:val="auto"/>
                      <w:highlight w:val="none"/>
                    </w:rPr>
                    <w:t>1</w:t>
                  </w:r>
                </w:p>
              </w:tc>
              <w:tc>
                <w:tcPr>
                  <w:tcW w:w="2839" w:type="pct"/>
                  <w:tcBorders>
                    <w:tl2br w:val="nil"/>
                    <w:tr2bl w:val="nil"/>
                  </w:tcBorders>
                  <w:vAlign w:val="center"/>
                </w:tcPr>
                <w:p w14:paraId="6A1B14B9">
                  <w:pPr>
                    <w:pStyle w:val="24"/>
                    <w:spacing w:line="240" w:lineRule="auto"/>
                    <w:rPr>
                      <w:color w:val="auto"/>
                      <w:highlight w:val="none"/>
                    </w:rPr>
                  </w:pPr>
                  <w:r>
                    <w:rPr>
                      <w:rFonts w:hint="eastAsia"/>
                      <w:color w:val="auto"/>
                      <w:highlight w:val="none"/>
                    </w:rPr>
                    <w:t>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w:t>
                  </w:r>
                </w:p>
              </w:tc>
              <w:tc>
                <w:tcPr>
                  <w:tcW w:w="1479" w:type="pct"/>
                  <w:tcBorders>
                    <w:tl2br w:val="nil"/>
                    <w:tr2bl w:val="nil"/>
                  </w:tcBorders>
                  <w:vAlign w:val="center"/>
                </w:tcPr>
                <w:p w14:paraId="08D0DE1D">
                  <w:pPr>
                    <w:pStyle w:val="24"/>
                    <w:spacing w:line="240" w:lineRule="auto"/>
                    <w:rPr>
                      <w:color w:val="auto"/>
                      <w:highlight w:val="none"/>
                    </w:rPr>
                  </w:pPr>
                  <w:r>
                    <w:rPr>
                      <w:rFonts w:hint="eastAsia"/>
                      <w:color w:val="auto"/>
                      <w:highlight w:val="none"/>
                    </w:rPr>
                    <w:t>本项目为北票发电有限责任公司配套附属危险废物贮存项目，不属于高耗能、高排放、低水平项目，项目已严格落实产业规划、产业政策、生态环境分区管控方案、重点污染物总量控制、污染物排放区域削减等相关要求</w:t>
                  </w:r>
                </w:p>
              </w:tc>
              <w:tc>
                <w:tcPr>
                  <w:tcW w:w="426" w:type="pct"/>
                  <w:tcBorders>
                    <w:tl2br w:val="nil"/>
                    <w:tr2bl w:val="nil"/>
                  </w:tcBorders>
                  <w:vAlign w:val="center"/>
                </w:tcPr>
                <w:p w14:paraId="5D57946B">
                  <w:pPr>
                    <w:pStyle w:val="24"/>
                    <w:spacing w:line="240" w:lineRule="auto"/>
                    <w:rPr>
                      <w:color w:val="auto"/>
                      <w:highlight w:val="none"/>
                    </w:rPr>
                  </w:pPr>
                  <w:r>
                    <w:rPr>
                      <w:rFonts w:hint="eastAsia"/>
                      <w:color w:val="auto"/>
                      <w:highlight w:val="none"/>
                    </w:rPr>
                    <w:t>符合</w:t>
                  </w:r>
                </w:p>
              </w:tc>
            </w:tr>
            <w:tr w14:paraId="4D4278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5" w:hRule="atLeast"/>
                <w:jc w:val="center"/>
              </w:trPr>
              <w:tc>
                <w:tcPr>
                  <w:tcW w:w="255" w:type="pct"/>
                  <w:tcBorders>
                    <w:tl2br w:val="nil"/>
                    <w:tr2bl w:val="nil"/>
                  </w:tcBorders>
                  <w:vAlign w:val="center"/>
                </w:tcPr>
                <w:p w14:paraId="4500D219">
                  <w:pPr>
                    <w:pStyle w:val="24"/>
                    <w:spacing w:line="240" w:lineRule="auto"/>
                    <w:rPr>
                      <w:color w:val="auto"/>
                      <w:highlight w:val="none"/>
                    </w:rPr>
                  </w:pPr>
                  <w:r>
                    <w:rPr>
                      <w:rFonts w:hint="eastAsia"/>
                      <w:color w:val="auto"/>
                      <w:highlight w:val="none"/>
                    </w:rPr>
                    <w:t>2</w:t>
                  </w:r>
                </w:p>
              </w:tc>
              <w:tc>
                <w:tcPr>
                  <w:tcW w:w="2839" w:type="pct"/>
                  <w:tcBorders>
                    <w:tl2br w:val="nil"/>
                    <w:tr2bl w:val="nil"/>
                  </w:tcBorders>
                  <w:vAlign w:val="center"/>
                </w:tcPr>
                <w:p w14:paraId="6F5362B6">
                  <w:pPr>
                    <w:pStyle w:val="24"/>
                    <w:spacing w:line="240" w:lineRule="auto"/>
                    <w:rPr>
                      <w:color w:val="auto"/>
                      <w:highlight w:val="none"/>
                    </w:rPr>
                  </w:pPr>
                  <w:r>
                    <w:rPr>
                      <w:rFonts w:hint="eastAsia"/>
                      <w:color w:val="auto"/>
                      <w:highlight w:val="none"/>
                    </w:rPr>
                    <w:t>加快退出重点行业落后产能。修订《产业结构调整指导目录》，研究将污染物或温室气体排放明显高出行业平均水平、能效和清洁生产水平低的工艺和装备纳入淘汰类和限制类名单。重点区域进一步提高落后产能能耗、环保、质量、安全、技术等要求，逐步退出限制类涉气行业工艺和装备；逐步淘汰步进式烧结机和球团竖炉以及半封闭式硅锰合金、镍铁、高碳铬铁、高碳锰铁电炉。引导重点区域钢铁、焦化、电解铝等产业有序调整优化</w:t>
                  </w:r>
                </w:p>
              </w:tc>
              <w:tc>
                <w:tcPr>
                  <w:tcW w:w="1479" w:type="pct"/>
                  <w:tcBorders>
                    <w:tl2br w:val="nil"/>
                    <w:tr2bl w:val="nil"/>
                  </w:tcBorders>
                  <w:vAlign w:val="center"/>
                </w:tcPr>
                <w:p w14:paraId="57D5990A">
                  <w:pPr>
                    <w:pStyle w:val="24"/>
                    <w:spacing w:line="240" w:lineRule="auto"/>
                    <w:rPr>
                      <w:color w:val="auto"/>
                      <w:highlight w:val="none"/>
                    </w:rPr>
                  </w:pPr>
                  <w:r>
                    <w:rPr>
                      <w:rFonts w:hint="eastAsia"/>
                      <w:color w:val="auto"/>
                      <w:highlight w:val="none"/>
                    </w:rPr>
                    <w:t>本项目为北票发电有限责任公司配套附属危险废物贮存项目，不涉及淘汰类和限制类工艺和装备</w:t>
                  </w:r>
                </w:p>
              </w:tc>
              <w:tc>
                <w:tcPr>
                  <w:tcW w:w="426" w:type="pct"/>
                  <w:tcBorders>
                    <w:tl2br w:val="nil"/>
                    <w:tr2bl w:val="nil"/>
                  </w:tcBorders>
                  <w:vAlign w:val="center"/>
                </w:tcPr>
                <w:p w14:paraId="70DFDF82">
                  <w:pPr>
                    <w:pStyle w:val="24"/>
                    <w:spacing w:line="240" w:lineRule="auto"/>
                    <w:rPr>
                      <w:color w:val="auto"/>
                      <w:highlight w:val="none"/>
                    </w:rPr>
                  </w:pPr>
                  <w:r>
                    <w:rPr>
                      <w:rFonts w:hint="eastAsia"/>
                      <w:color w:val="auto"/>
                      <w:highlight w:val="none"/>
                    </w:rPr>
                    <w:t>符合</w:t>
                  </w:r>
                </w:p>
              </w:tc>
            </w:tr>
            <w:tr w14:paraId="78B0ED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5" w:hRule="atLeast"/>
                <w:jc w:val="center"/>
              </w:trPr>
              <w:tc>
                <w:tcPr>
                  <w:tcW w:w="255" w:type="pct"/>
                  <w:tcBorders>
                    <w:tl2br w:val="nil"/>
                    <w:tr2bl w:val="nil"/>
                  </w:tcBorders>
                  <w:vAlign w:val="center"/>
                </w:tcPr>
                <w:p w14:paraId="73BBE608">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3</w:t>
                  </w:r>
                </w:p>
              </w:tc>
              <w:tc>
                <w:tcPr>
                  <w:tcW w:w="2839" w:type="pct"/>
                  <w:tcBorders>
                    <w:tl2br w:val="nil"/>
                    <w:tr2bl w:val="nil"/>
                  </w:tcBorders>
                  <w:vAlign w:val="center"/>
                </w:tcPr>
                <w:p w14:paraId="39456EDD">
                  <w:pPr>
                    <w:pStyle w:val="24"/>
                    <w:spacing w:line="240" w:lineRule="auto"/>
                    <w:rPr>
                      <w:rFonts w:hint="eastAsia"/>
                      <w:color w:val="auto"/>
                      <w:highlight w:val="none"/>
                    </w:rPr>
                  </w:pPr>
                  <w:r>
                    <w:rPr>
                      <w:rFonts w:hint="eastAsia"/>
                      <w:color w:val="auto"/>
                      <w:highlight w:val="none"/>
                    </w:rPr>
                    <w:t>强化VOCs全流程、全环节综合治理。鼓励储罐使用低泄漏的呼吸阀、紧急泄压阀，定期开展密封性检测。汽车罐车推广使用密封式快速接头。污水处理场所高浓度有机废气要单独收集处理；含VOCs有机废水储罐、装置区集水井（池）有机废气要密闭收集处理。重点区域石化、化工行业集中的城市和重点工业园区，2024年年底前建立统一的泄漏检测与修复信息管理平台。企业开停工、检维修期间，及时</w:t>
                  </w:r>
                  <w:r>
                    <w:rPr>
                      <w:rFonts w:hint="eastAsia"/>
                      <w:color w:val="auto"/>
                      <w:highlight w:val="none"/>
                      <w:lang w:val="en-US" w:eastAsia="zh-CN"/>
                    </w:rPr>
                    <w:t>收集处理退料、清洗、吹扫等作业产生的VOCs废气。企业不得将火炬燃烧装置作为日常大气污染治理设施。</w:t>
                  </w:r>
                </w:p>
              </w:tc>
              <w:tc>
                <w:tcPr>
                  <w:tcW w:w="1479" w:type="pct"/>
                  <w:tcBorders>
                    <w:tl2br w:val="nil"/>
                    <w:tr2bl w:val="nil"/>
                  </w:tcBorders>
                  <w:vAlign w:val="center"/>
                </w:tcPr>
                <w:p w14:paraId="394F5F4D">
                  <w:pPr>
                    <w:pStyle w:val="24"/>
                    <w:spacing w:line="240" w:lineRule="auto"/>
                    <w:rPr>
                      <w:rFonts w:hint="eastAsia"/>
                      <w:color w:val="auto"/>
                      <w:highlight w:val="none"/>
                    </w:rPr>
                  </w:pPr>
                  <w:r>
                    <w:rPr>
                      <w:rFonts w:hint="eastAsia"/>
                      <w:color w:val="auto"/>
                      <w:highlight w:val="none"/>
                    </w:rPr>
                    <w:t>本项目贮存</w:t>
                  </w:r>
                  <w:r>
                    <w:rPr>
                      <w:rFonts w:hint="eastAsia"/>
                      <w:color w:val="auto"/>
                      <w:highlight w:val="none"/>
                      <w:lang w:eastAsia="zh-CN"/>
                    </w:rPr>
                    <w:t>废油类物质、废油桶</w:t>
                  </w:r>
                  <w:r>
                    <w:rPr>
                      <w:rFonts w:hint="eastAsia"/>
                      <w:color w:val="auto"/>
                      <w:highlight w:val="none"/>
                    </w:rPr>
                    <w:t>产生的废气通过</w:t>
                  </w:r>
                  <w:r>
                    <w:rPr>
                      <w:rFonts w:hint="eastAsia"/>
                      <w:color w:val="auto"/>
                      <w:highlight w:val="none"/>
                      <w:lang w:eastAsia="zh-CN"/>
                    </w:rPr>
                    <w:t>加盖密闭贮存</w:t>
                  </w:r>
                  <w:r>
                    <w:rPr>
                      <w:rFonts w:hint="eastAsia"/>
                      <w:color w:val="auto"/>
                      <w:highlight w:val="none"/>
                      <w:lang w:val="en-US" w:eastAsia="zh-CN"/>
                    </w:rPr>
                    <w:t>+封闭车间</w:t>
                  </w:r>
                  <w:r>
                    <w:rPr>
                      <w:rFonts w:hint="eastAsia"/>
                      <w:color w:val="auto"/>
                      <w:highlight w:val="none"/>
                    </w:rPr>
                    <w:t>进行收集</w:t>
                  </w:r>
                  <w:r>
                    <w:rPr>
                      <w:rFonts w:hint="eastAsia"/>
                      <w:color w:val="auto"/>
                      <w:highlight w:val="none"/>
                      <w:lang w:eastAsia="zh-CN"/>
                    </w:rPr>
                    <w:t>，</w:t>
                  </w:r>
                  <w:r>
                    <w:rPr>
                      <w:rFonts w:hint="eastAsia"/>
                      <w:color w:val="auto"/>
                      <w:highlight w:val="none"/>
                    </w:rPr>
                    <w:t>处理后</w:t>
                  </w:r>
                  <w:r>
                    <w:rPr>
                      <w:rFonts w:hint="eastAsia"/>
                      <w:color w:val="auto"/>
                      <w:highlight w:val="none"/>
                      <w:lang w:eastAsia="zh-CN"/>
                    </w:rPr>
                    <w:t>通过排风扇</w:t>
                  </w:r>
                  <w:r>
                    <w:rPr>
                      <w:rFonts w:hint="eastAsia"/>
                      <w:color w:val="auto"/>
                      <w:highlight w:val="none"/>
                    </w:rPr>
                    <w:t>以无组织形式</w:t>
                  </w:r>
                  <w:r>
                    <w:rPr>
                      <w:rFonts w:hint="eastAsia"/>
                      <w:color w:val="auto"/>
                      <w:highlight w:val="none"/>
                      <w:lang w:eastAsia="zh-CN"/>
                    </w:rPr>
                    <w:t>达标</w:t>
                  </w:r>
                  <w:r>
                    <w:rPr>
                      <w:rFonts w:hint="eastAsia"/>
                      <w:color w:val="auto"/>
                      <w:highlight w:val="none"/>
                    </w:rPr>
                    <w:t>排放</w:t>
                  </w:r>
                </w:p>
              </w:tc>
              <w:tc>
                <w:tcPr>
                  <w:tcW w:w="426" w:type="pct"/>
                  <w:tcBorders>
                    <w:tl2br w:val="nil"/>
                    <w:tr2bl w:val="nil"/>
                  </w:tcBorders>
                  <w:vAlign w:val="center"/>
                </w:tcPr>
                <w:p w14:paraId="0B618247">
                  <w:pPr>
                    <w:pStyle w:val="24"/>
                    <w:spacing w:line="240" w:lineRule="auto"/>
                    <w:rPr>
                      <w:rFonts w:hint="eastAsia" w:eastAsiaTheme="minorEastAsia"/>
                      <w:color w:val="auto"/>
                      <w:highlight w:val="none"/>
                      <w:lang w:eastAsia="zh-CN"/>
                    </w:rPr>
                  </w:pPr>
                  <w:r>
                    <w:rPr>
                      <w:rFonts w:hint="eastAsia"/>
                      <w:color w:val="auto"/>
                      <w:highlight w:val="none"/>
                      <w:lang w:eastAsia="zh-CN"/>
                    </w:rPr>
                    <w:t>符合</w:t>
                  </w:r>
                </w:p>
              </w:tc>
            </w:tr>
          </w:tbl>
          <w:p w14:paraId="4CE0CF72">
            <w:pPr>
              <w:pStyle w:val="25"/>
              <w:bidi w:val="0"/>
              <w:rPr>
                <w:color w:val="auto"/>
                <w:highlight w:val="none"/>
              </w:rPr>
            </w:pPr>
            <w:r>
              <w:rPr>
                <w:rFonts w:hint="eastAsia"/>
                <w:color w:val="auto"/>
                <w:highlight w:val="none"/>
              </w:rPr>
              <w:t>与《辽宁省人民政府关于印发辽宁省水污染防治工作方案的通知》（辽政发〔2015〕79号）符合性分析</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2"/>
              <w:gridCol w:w="4802"/>
              <w:gridCol w:w="2315"/>
              <w:gridCol w:w="651"/>
            </w:tblGrid>
            <w:tr w14:paraId="474711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 w:type="pct"/>
                  <w:tcBorders>
                    <w:tl2br w:val="nil"/>
                    <w:tr2bl w:val="nil"/>
                  </w:tcBorders>
                  <w:vAlign w:val="center"/>
                </w:tcPr>
                <w:p w14:paraId="130F115F">
                  <w:pPr>
                    <w:pStyle w:val="27"/>
                    <w:spacing w:line="240" w:lineRule="auto"/>
                    <w:rPr>
                      <w:rFonts w:hint="default"/>
                      <w:color w:val="auto"/>
                      <w:highlight w:val="none"/>
                    </w:rPr>
                  </w:pPr>
                  <w:r>
                    <w:rPr>
                      <w:rFonts w:eastAsia="宋体"/>
                      <w:b/>
                      <w:color w:val="auto"/>
                      <w:sz w:val="21"/>
                      <w:highlight w:val="none"/>
                    </w:rPr>
                    <w:t>序号</w:t>
                  </w:r>
                </w:p>
              </w:tc>
              <w:tc>
                <w:tcPr>
                  <w:tcW w:w="2938" w:type="pct"/>
                  <w:tcBorders>
                    <w:tl2br w:val="nil"/>
                    <w:tr2bl w:val="nil"/>
                  </w:tcBorders>
                  <w:vAlign w:val="center"/>
                </w:tcPr>
                <w:p w14:paraId="741E815C">
                  <w:pPr>
                    <w:pStyle w:val="27"/>
                    <w:spacing w:line="240" w:lineRule="auto"/>
                    <w:rPr>
                      <w:rFonts w:hint="default"/>
                      <w:color w:val="auto"/>
                      <w:highlight w:val="none"/>
                    </w:rPr>
                  </w:pPr>
                  <w:r>
                    <w:rPr>
                      <w:rFonts w:eastAsia="宋体"/>
                      <w:b/>
                      <w:color w:val="auto"/>
                      <w:sz w:val="21"/>
                      <w:highlight w:val="none"/>
                    </w:rPr>
                    <w:t>分析内容</w:t>
                  </w:r>
                </w:p>
              </w:tc>
              <w:tc>
                <w:tcPr>
                  <w:tcW w:w="1416" w:type="pct"/>
                  <w:tcBorders>
                    <w:tl2br w:val="nil"/>
                    <w:tr2bl w:val="nil"/>
                  </w:tcBorders>
                  <w:vAlign w:val="center"/>
                </w:tcPr>
                <w:p w14:paraId="7BC7DBDB">
                  <w:pPr>
                    <w:pStyle w:val="27"/>
                    <w:spacing w:line="240" w:lineRule="auto"/>
                    <w:rPr>
                      <w:rFonts w:hint="default"/>
                      <w:color w:val="auto"/>
                      <w:highlight w:val="none"/>
                    </w:rPr>
                  </w:pPr>
                  <w:r>
                    <w:rPr>
                      <w:rFonts w:eastAsia="宋体"/>
                      <w:b/>
                      <w:color w:val="auto"/>
                      <w:sz w:val="21"/>
                      <w:highlight w:val="none"/>
                    </w:rPr>
                    <w:t>本项目情况</w:t>
                  </w:r>
                </w:p>
              </w:tc>
              <w:tc>
                <w:tcPr>
                  <w:tcW w:w="398" w:type="pct"/>
                  <w:tcBorders>
                    <w:tl2br w:val="nil"/>
                    <w:tr2bl w:val="nil"/>
                  </w:tcBorders>
                  <w:vAlign w:val="center"/>
                </w:tcPr>
                <w:p w14:paraId="41E69644">
                  <w:pPr>
                    <w:pStyle w:val="27"/>
                    <w:spacing w:line="240" w:lineRule="auto"/>
                    <w:rPr>
                      <w:rFonts w:hint="default"/>
                      <w:color w:val="auto"/>
                      <w:highlight w:val="none"/>
                    </w:rPr>
                  </w:pPr>
                  <w:r>
                    <w:rPr>
                      <w:rFonts w:eastAsia="宋体"/>
                      <w:b/>
                      <w:color w:val="auto"/>
                      <w:sz w:val="21"/>
                      <w:highlight w:val="none"/>
                    </w:rPr>
                    <w:t>分析结果</w:t>
                  </w:r>
                </w:p>
              </w:tc>
            </w:tr>
            <w:tr w14:paraId="2CFE73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 w:type="pct"/>
                  <w:tcBorders>
                    <w:tl2br w:val="nil"/>
                    <w:tr2bl w:val="nil"/>
                  </w:tcBorders>
                  <w:vAlign w:val="center"/>
                </w:tcPr>
                <w:p w14:paraId="0877BDBE">
                  <w:pPr>
                    <w:pStyle w:val="24"/>
                    <w:spacing w:line="240" w:lineRule="auto"/>
                    <w:rPr>
                      <w:color w:val="auto"/>
                      <w:highlight w:val="none"/>
                    </w:rPr>
                  </w:pPr>
                  <w:r>
                    <w:rPr>
                      <w:rFonts w:hint="eastAsia"/>
                      <w:color w:val="auto"/>
                      <w:highlight w:val="none"/>
                    </w:rPr>
                    <w:t>1</w:t>
                  </w:r>
                </w:p>
              </w:tc>
              <w:tc>
                <w:tcPr>
                  <w:tcW w:w="2938" w:type="pct"/>
                  <w:tcBorders>
                    <w:tl2br w:val="nil"/>
                    <w:tr2bl w:val="nil"/>
                  </w:tcBorders>
                  <w:vAlign w:val="center"/>
                </w:tcPr>
                <w:p w14:paraId="5DDCB061">
                  <w:pPr>
                    <w:pStyle w:val="24"/>
                    <w:spacing w:line="240" w:lineRule="auto"/>
                    <w:rPr>
                      <w:color w:val="auto"/>
                      <w:highlight w:val="none"/>
                    </w:rPr>
                  </w:pPr>
                  <w:r>
                    <w:rPr>
                      <w:rFonts w:hint="eastAsia"/>
                      <w:color w:val="auto"/>
                      <w:highlight w:val="none"/>
                    </w:rPr>
                    <w:t>强化地下水污染防治。定期调查评估集中式地下水饮用水水源补给区等区域环境状况。石化生产存贮销售企业和工业园区、矿山开采区、危险废物处置场、垃圾填埋场等区域应进行必要的防渗处理。报废矿井、钻井、取水井应实施封井回填。加油站地下油罐应于2017年底前全部更新为双层罐或完成防渗池设置，自2018年起，未完成改造任务的加油站应当依法暂停运营，直至改造任务完成</w:t>
                  </w:r>
                </w:p>
              </w:tc>
              <w:tc>
                <w:tcPr>
                  <w:tcW w:w="1416" w:type="pct"/>
                  <w:tcBorders>
                    <w:tl2br w:val="nil"/>
                    <w:tr2bl w:val="nil"/>
                  </w:tcBorders>
                  <w:vAlign w:val="center"/>
                </w:tcPr>
                <w:p w14:paraId="78C347D0">
                  <w:pPr>
                    <w:pStyle w:val="24"/>
                    <w:spacing w:line="240" w:lineRule="auto"/>
                    <w:rPr>
                      <w:rFonts w:hint="eastAsia" w:eastAsiaTheme="minorEastAsia"/>
                      <w:color w:val="auto"/>
                      <w:highlight w:val="none"/>
                      <w:lang w:eastAsia="zh-CN"/>
                    </w:rPr>
                  </w:pPr>
                  <w:r>
                    <w:rPr>
                      <w:rFonts w:hint="eastAsia"/>
                      <w:color w:val="auto"/>
                      <w:highlight w:val="none"/>
                    </w:rPr>
                    <w:t>本项目</w:t>
                  </w:r>
                  <w:r>
                    <w:rPr>
                      <w:rFonts w:hint="eastAsia"/>
                      <w:color w:val="auto"/>
                      <w:highlight w:val="none"/>
                      <w:lang w:eastAsia="zh-CN"/>
                    </w:rPr>
                    <w:t>危险废物贮存点</w:t>
                  </w:r>
                  <w:r>
                    <w:rPr>
                      <w:rFonts w:hint="eastAsia"/>
                      <w:color w:val="auto"/>
                      <w:highlight w:val="none"/>
                    </w:rPr>
                    <w:t>地面及裙脚进行防渗，</w:t>
                  </w:r>
                  <w:r>
                    <w:rPr>
                      <w:rFonts w:hint="eastAsia"/>
                      <w:color w:val="auto"/>
                      <w:highlight w:val="none"/>
                      <w:lang w:eastAsia="zh-CN"/>
                    </w:rPr>
                    <w:t>防止污染地下水</w:t>
                  </w:r>
                </w:p>
              </w:tc>
              <w:tc>
                <w:tcPr>
                  <w:tcW w:w="398" w:type="pct"/>
                  <w:tcBorders>
                    <w:tl2br w:val="nil"/>
                    <w:tr2bl w:val="nil"/>
                  </w:tcBorders>
                  <w:vAlign w:val="center"/>
                </w:tcPr>
                <w:p w14:paraId="609E89A0">
                  <w:pPr>
                    <w:pStyle w:val="24"/>
                    <w:spacing w:line="240" w:lineRule="auto"/>
                    <w:rPr>
                      <w:color w:val="auto"/>
                      <w:highlight w:val="none"/>
                    </w:rPr>
                  </w:pPr>
                  <w:r>
                    <w:rPr>
                      <w:rFonts w:hint="eastAsia"/>
                      <w:color w:val="auto"/>
                      <w:highlight w:val="none"/>
                    </w:rPr>
                    <w:t>符合</w:t>
                  </w:r>
                </w:p>
              </w:tc>
            </w:tr>
            <w:tr w14:paraId="5EB1A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2" w:type="dxa"/>
                  <w:tcBorders>
                    <w:tl2br w:val="nil"/>
                    <w:tr2bl w:val="nil"/>
                  </w:tcBorders>
                  <w:vAlign w:val="center"/>
                </w:tcPr>
                <w:p w14:paraId="2E98300E">
                  <w:pPr>
                    <w:pStyle w:val="24"/>
                    <w:spacing w:line="240" w:lineRule="auto"/>
                    <w:ind w:firstLine="0" w:firstLineChars="0"/>
                    <w:rPr>
                      <w:rFonts w:hint="eastAsia"/>
                      <w:color w:val="auto"/>
                      <w:highlight w:val="none"/>
                    </w:rPr>
                  </w:pPr>
                  <w:r>
                    <w:rPr>
                      <w:rFonts w:hint="eastAsia"/>
                      <w:color w:val="auto"/>
                      <w:highlight w:val="none"/>
                    </w:rPr>
                    <w:t>2</w:t>
                  </w:r>
                </w:p>
              </w:tc>
              <w:tc>
                <w:tcPr>
                  <w:tcW w:w="4802" w:type="dxa"/>
                  <w:tcBorders>
                    <w:tl2br w:val="nil"/>
                    <w:tr2bl w:val="nil"/>
                  </w:tcBorders>
                  <w:vAlign w:val="center"/>
                </w:tcPr>
                <w:p w14:paraId="78BD6952">
                  <w:pPr>
                    <w:pStyle w:val="24"/>
                    <w:spacing w:line="240" w:lineRule="auto"/>
                    <w:ind w:firstLine="0" w:firstLineChars="0"/>
                    <w:rPr>
                      <w:rFonts w:hint="eastAsia"/>
                      <w:color w:val="auto"/>
                      <w:highlight w:val="none"/>
                    </w:rPr>
                  </w:pPr>
                  <w:r>
                    <w:rPr>
                      <w:rFonts w:hint="eastAsia"/>
                      <w:color w:val="auto"/>
                      <w:highlight w:val="none"/>
                    </w:rPr>
                    <w:t>全面推行排污许可证制度，依法核发排污许可证。逐步实施排污许可一证式管理，将企事业单位的污染物控制指标、环评和企业污染物排放的全过程管理要求，综合纳入排污许可管理，做到依证管理，按证排污，违证处罚</w:t>
                  </w:r>
                </w:p>
              </w:tc>
              <w:tc>
                <w:tcPr>
                  <w:tcW w:w="2315" w:type="dxa"/>
                  <w:tcBorders>
                    <w:tl2br w:val="nil"/>
                    <w:tr2bl w:val="nil"/>
                  </w:tcBorders>
                  <w:vAlign w:val="center"/>
                </w:tcPr>
                <w:p w14:paraId="0D5DB9D2">
                  <w:pPr>
                    <w:pStyle w:val="24"/>
                    <w:spacing w:line="240" w:lineRule="auto"/>
                    <w:ind w:firstLine="0" w:firstLineChars="0"/>
                    <w:rPr>
                      <w:rFonts w:hint="eastAsia"/>
                      <w:color w:val="auto"/>
                      <w:highlight w:val="none"/>
                    </w:rPr>
                  </w:pPr>
                  <w:r>
                    <w:rPr>
                      <w:rFonts w:hint="eastAsia"/>
                      <w:color w:val="auto"/>
                      <w:highlight w:val="none"/>
                    </w:rPr>
                    <w:t>北票发电有限责任公司已取得排污许可证，待本项目发生实际排污前变更排污许可</w:t>
                  </w:r>
                  <w:r>
                    <w:rPr>
                      <w:rFonts w:hint="eastAsia"/>
                      <w:color w:val="auto"/>
                      <w:highlight w:val="none"/>
                      <w:lang w:eastAsia="zh-CN"/>
                    </w:rPr>
                    <w:t>证</w:t>
                  </w:r>
                </w:p>
              </w:tc>
              <w:tc>
                <w:tcPr>
                  <w:tcW w:w="651" w:type="dxa"/>
                  <w:tcBorders>
                    <w:tl2br w:val="nil"/>
                    <w:tr2bl w:val="nil"/>
                  </w:tcBorders>
                  <w:vAlign w:val="center"/>
                </w:tcPr>
                <w:p w14:paraId="50D389F6">
                  <w:pPr>
                    <w:pStyle w:val="24"/>
                    <w:spacing w:line="240" w:lineRule="auto"/>
                    <w:ind w:firstLine="0" w:firstLineChars="0"/>
                    <w:rPr>
                      <w:rFonts w:hint="eastAsia"/>
                      <w:color w:val="auto"/>
                      <w:highlight w:val="none"/>
                    </w:rPr>
                  </w:pPr>
                  <w:r>
                    <w:rPr>
                      <w:rFonts w:hint="eastAsia"/>
                      <w:color w:val="auto"/>
                      <w:highlight w:val="none"/>
                    </w:rPr>
                    <w:t>符合</w:t>
                  </w:r>
                </w:p>
              </w:tc>
            </w:tr>
          </w:tbl>
          <w:p w14:paraId="734AF266">
            <w:pPr>
              <w:pStyle w:val="25"/>
              <w:bidi w:val="0"/>
              <w:rPr>
                <w:rFonts w:cs="Times New Roman"/>
                <w:color w:val="auto"/>
                <w:sz w:val="24"/>
                <w:szCs w:val="24"/>
                <w:highlight w:val="none"/>
              </w:rPr>
            </w:pPr>
            <w:r>
              <w:rPr>
                <w:rFonts w:hint="eastAsia" w:cs="Times New Roman"/>
                <w:color w:val="auto"/>
                <w:sz w:val="24"/>
                <w:szCs w:val="24"/>
                <w:highlight w:val="none"/>
              </w:rPr>
              <w:t>与《关于印发辽宁省土壤污染防治工作方案的通知》（辽政发〔2016〕58号）符合性分析</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4040"/>
              <w:gridCol w:w="3014"/>
              <w:gridCol w:w="690"/>
            </w:tblGrid>
            <w:tr w14:paraId="3ADF82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tcBorders>
                    <w:tl2br w:val="nil"/>
                    <w:tr2bl w:val="nil"/>
                  </w:tcBorders>
                  <w:vAlign w:val="center"/>
                </w:tcPr>
                <w:p w14:paraId="3FBB173A">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highlight w:val="none"/>
                    </w:rPr>
                  </w:pPr>
                  <w:r>
                    <w:rPr>
                      <w:rFonts w:eastAsia="宋体"/>
                      <w:b/>
                      <w:color w:val="auto"/>
                      <w:sz w:val="21"/>
                      <w:highlight w:val="none"/>
                    </w:rPr>
                    <w:t>序号</w:t>
                  </w:r>
                </w:p>
              </w:tc>
              <w:tc>
                <w:tcPr>
                  <w:tcW w:w="2472" w:type="pct"/>
                  <w:tcBorders>
                    <w:tl2br w:val="nil"/>
                    <w:tr2bl w:val="nil"/>
                  </w:tcBorders>
                  <w:vAlign w:val="center"/>
                </w:tcPr>
                <w:p w14:paraId="57FBF417">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highlight w:val="none"/>
                    </w:rPr>
                  </w:pPr>
                  <w:r>
                    <w:rPr>
                      <w:rFonts w:eastAsia="宋体"/>
                      <w:b/>
                      <w:color w:val="auto"/>
                      <w:sz w:val="21"/>
                      <w:highlight w:val="none"/>
                    </w:rPr>
                    <w:t>分析内容</w:t>
                  </w:r>
                </w:p>
              </w:tc>
              <w:tc>
                <w:tcPr>
                  <w:tcW w:w="1844" w:type="pct"/>
                  <w:tcBorders>
                    <w:tl2br w:val="nil"/>
                    <w:tr2bl w:val="nil"/>
                  </w:tcBorders>
                  <w:vAlign w:val="center"/>
                </w:tcPr>
                <w:p w14:paraId="011DA4B9">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highlight w:val="none"/>
                    </w:rPr>
                  </w:pPr>
                  <w:r>
                    <w:rPr>
                      <w:rFonts w:eastAsia="宋体"/>
                      <w:b/>
                      <w:color w:val="auto"/>
                      <w:sz w:val="21"/>
                      <w:highlight w:val="none"/>
                    </w:rPr>
                    <w:t>本项目情况</w:t>
                  </w:r>
                </w:p>
              </w:tc>
              <w:tc>
                <w:tcPr>
                  <w:tcW w:w="422" w:type="pct"/>
                  <w:tcBorders>
                    <w:tl2br w:val="nil"/>
                    <w:tr2bl w:val="nil"/>
                  </w:tcBorders>
                  <w:vAlign w:val="center"/>
                </w:tcPr>
                <w:p w14:paraId="2CD1E7AE">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highlight w:val="none"/>
                    </w:rPr>
                  </w:pPr>
                  <w:r>
                    <w:rPr>
                      <w:rFonts w:eastAsia="宋体"/>
                      <w:b/>
                      <w:color w:val="auto"/>
                      <w:sz w:val="21"/>
                      <w:highlight w:val="none"/>
                    </w:rPr>
                    <w:t>分析结果</w:t>
                  </w:r>
                </w:p>
              </w:tc>
            </w:tr>
            <w:tr w14:paraId="177B46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tcBorders>
                    <w:tl2br w:val="nil"/>
                    <w:tr2bl w:val="nil"/>
                  </w:tcBorders>
                  <w:vAlign w:val="center"/>
                </w:tcPr>
                <w:p w14:paraId="2FBF2AD0">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1</w:t>
                  </w:r>
                </w:p>
              </w:tc>
              <w:tc>
                <w:tcPr>
                  <w:tcW w:w="2472" w:type="pct"/>
                  <w:tcBorders>
                    <w:tl2br w:val="nil"/>
                    <w:tr2bl w:val="nil"/>
                  </w:tcBorders>
                  <w:vAlign w:val="center"/>
                </w:tcPr>
                <w:p w14:paraId="1F77DE46">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防控企业污染。严格控制在优先保护类耕地集中区域新建有色金属冶炼、石油加工、化工、焦化、电镀、制革等行业企业，现有相关行业企业要采用新技术、新工艺，加快提标升级改造步伐</w:t>
                  </w:r>
                </w:p>
              </w:tc>
              <w:tc>
                <w:tcPr>
                  <w:tcW w:w="1844" w:type="pct"/>
                  <w:tcBorders>
                    <w:tl2br w:val="nil"/>
                    <w:tr2bl w:val="nil"/>
                  </w:tcBorders>
                  <w:vAlign w:val="center"/>
                </w:tcPr>
                <w:p w14:paraId="65A7E425">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本项目为北票发电有限责任公司配套建设的危险废物贮存项目，项目利用北票发电有限责任公司闲置库房进行改造，用于收集和贮存危险废物，不占用优先保护类耕地</w:t>
                  </w:r>
                </w:p>
              </w:tc>
              <w:tc>
                <w:tcPr>
                  <w:tcW w:w="422" w:type="pct"/>
                  <w:tcBorders>
                    <w:tl2br w:val="nil"/>
                    <w:tr2bl w:val="nil"/>
                  </w:tcBorders>
                  <w:vAlign w:val="center"/>
                </w:tcPr>
                <w:p w14:paraId="589D9BAC">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符合</w:t>
                  </w:r>
                </w:p>
              </w:tc>
            </w:tr>
            <w:tr w14:paraId="209B8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tcBorders>
                    <w:tl2br w:val="nil"/>
                    <w:tr2bl w:val="nil"/>
                  </w:tcBorders>
                  <w:vAlign w:val="center"/>
                </w:tcPr>
                <w:p w14:paraId="1352B3AA">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2</w:t>
                  </w:r>
                </w:p>
              </w:tc>
              <w:tc>
                <w:tcPr>
                  <w:tcW w:w="2472" w:type="pct"/>
                  <w:tcBorders>
                    <w:tl2br w:val="nil"/>
                    <w:tr2bl w:val="nil"/>
                  </w:tcBorders>
                  <w:vAlign w:val="center"/>
                </w:tcPr>
                <w:p w14:paraId="1EEAAA48">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color w:val="auto"/>
                      <w:highlight w:val="none"/>
                    </w:rPr>
                    <w:t>加强污染源监管</w:t>
                  </w:r>
                  <w:r>
                    <w:rPr>
                      <w:rFonts w:hint="eastAsia"/>
                      <w:color w:val="auto"/>
                      <w:highlight w:val="none"/>
                    </w:rPr>
                    <w:t>，</w:t>
                  </w:r>
                  <w:r>
                    <w:rPr>
                      <w:color w:val="auto"/>
                      <w:highlight w:val="none"/>
                    </w:rPr>
                    <w:t>做好土壤污染预防工作。</w:t>
                  </w:r>
                </w:p>
                <w:p w14:paraId="0C032373">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color w:val="auto"/>
                      <w:highlight w:val="none"/>
                    </w:rPr>
                    <w:t>加强工业废物处理处置。全面整治尾矿、煤矸石、工业副产石膏、粉煤灰、冶炼渣、电石渣、铬渣、砷渣以及脱硫、脱硝、除尘产生固体废物的堆存场所</w:t>
                  </w:r>
                  <w:r>
                    <w:rPr>
                      <w:rFonts w:hint="eastAsia"/>
                      <w:color w:val="auto"/>
                      <w:highlight w:val="none"/>
                    </w:rPr>
                    <w:t>，</w:t>
                  </w:r>
                  <w:r>
                    <w:rPr>
                      <w:color w:val="auto"/>
                      <w:highlight w:val="none"/>
                    </w:rPr>
                    <w:t>完善防扬散、防流失、防渗漏等设施</w:t>
                  </w:r>
                  <w:r>
                    <w:rPr>
                      <w:rFonts w:hint="eastAsia"/>
                      <w:color w:val="auto"/>
                      <w:highlight w:val="none"/>
                    </w:rPr>
                    <w:t>，</w:t>
                  </w:r>
                  <w:r>
                    <w:rPr>
                      <w:color w:val="auto"/>
                      <w:highlight w:val="none"/>
                    </w:rPr>
                    <w:t>制定整治方案并有序实施</w:t>
                  </w:r>
                </w:p>
              </w:tc>
              <w:tc>
                <w:tcPr>
                  <w:tcW w:w="1844" w:type="pct"/>
                  <w:tcBorders>
                    <w:tl2br w:val="nil"/>
                    <w:tr2bl w:val="nil"/>
                  </w:tcBorders>
                  <w:vAlign w:val="center"/>
                </w:tcPr>
                <w:p w14:paraId="750D649D">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本项目为北票发电有限责任公司配套建设的危险废物贮存项目，收集和贮存北票发电有限责任公司</w:t>
                  </w:r>
                  <w:r>
                    <w:rPr>
                      <w:rFonts w:hint="eastAsia"/>
                      <w:color w:val="auto"/>
                      <w:highlight w:val="none"/>
                      <w:lang w:eastAsia="zh-CN"/>
                    </w:rPr>
                    <w:t>厂区内</w:t>
                  </w:r>
                  <w:r>
                    <w:rPr>
                      <w:rFonts w:hint="eastAsia"/>
                      <w:color w:val="auto"/>
                      <w:highlight w:val="none"/>
                    </w:rPr>
                    <w:t>产生的危险废物，</w:t>
                  </w:r>
                  <w:r>
                    <w:rPr>
                      <w:rFonts w:hint="eastAsia"/>
                      <w:color w:val="auto"/>
                      <w:highlight w:val="none"/>
                      <w:lang w:eastAsia="zh-CN"/>
                    </w:rPr>
                    <w:t>危险废物贮存点</w:t>
                  </w:r>
                  <w:r>
                    <w:rPr>
                      <w:rFonts w:hint="eastAsia"/>
                      <w:color w:val="auto"/>
                      <w:highlight w:val="none"/>
                    </w:rPr>
                    <w:t>内地面、裙脚、集液池等均进行防渗处理</w:t>
                  </w:r>
                </w:p>
              </w:tc>
              <w:tc>
                <w:tcPr>
                  <w:tcW w:w="422" w:type="pct"/>
                  <w:tcBorders>
                    <w:tl2br w:val="nil"/>
                    <w:tr2bl w:val="nil"/>
                  </w:tcBorders>
                  <w:vAlign w:val="center"/>
                </w:tcPr>
                <w:p w14:paraId="664B69E7">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符合</w:t>
                  </w:r>
                </w:p>
              </w:tc>
            </w:tr>
          </w:tbl>
          <w:p w14:paraId="39BDBCA3">
            <w:pPr>
              <w:pStyle w:val="25"/>
              <w:bidi w:val="0"/>
              <w:rPr>
                <w:rFonts w:cs="Times New Roman"/>
                <w:color w:val="auto"/>
                <w:sz w:val="24"/>
                <w:szCs w:val="24"/>
                <w:highlight w:val="none"/>
              </w:rPr>
            </w:pPr>
            <w:r>
              <w:rPr>
                <w:rFonts w:hint="eastAsia" w:cs="Times New Roman"/>
                <w:color w:val="auto"/>
                <w:sz w:val="24"/>
                <w:szCs w:val="24"/>
                <w:highlight w:val="none"/>
              </w:rPr>
              <w:t>与《辽宁省大气污染防治条例》符合性分析</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3591"/>
              <w:gridCol w:w="3463"/>
              <w:gridCol w:w="690"/>
            </w:tblGrid>
            <w:tr w14:paraId="327D6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tcBorders>
                    <w:tl2br w:val="nil"/>
                    <w:tr2bl w:val="nil"/>
                  </w:tcBorders>
                  <w:vAlign w:val="center"/>
                </w:tcPr>
                <w:p w14:paraId="4DD15A47">
                  <w:pPr>
                    <w:pStyle w:val="27"/>
                    <w:spacing w:line="240" w:lineRule="auto"/>
                    <w:rPr>
                      <w:rFonts w:hint="default"/>
                      <w:color w:val="auto"/>
                      <w:highlight w:val="none"/>
                    </w:rPr>
                  </w:pPr>
                  <w:r>
                    <w:rPr>
                      <w:rFonts w:eastAsia="宋体"/>
                      <w:b/>
                      <w:color w:val="auto"/>
                      <w:sz w:val="21"/>
                      <w:highlight w:val="none"/>
                    </w:rPr>
                    <w:t>序号</w:t>
                  </w:r>
                </w:p>
              </w:tc>
              <w:tc>
                <w:tcPr>
                  <w:tcW w:w="2197" w:type="pct"/>
                  <w:tcBorders>
                    <w:tl2br w:val="nil"/>
                    <w:tr2bl w:val="nil"/>
                  </w:tcBorders>
                  <w:vAlign w:val="center"/>
                </w:tcPr>
                <w:p w14:paraId="1770400D">
                  <w:pPr>
                    <w:pStyle w:val="27"/>
                    <w:spacing w:line="240" w:lineRule="auto"/>
                    <w:rPr>
                      <w:rFonts w:hint="default"/>
                      <w:color w:val="auto"/>
                      <w:highlight w:val="none"/>
                    </w:rPr>
                  </w:pPr>
                  <w:r>
                    <w:rPr>
                      <w:rFonts w:eastAsia="宋体"/>
                      <w:b/>
                      <w:color w:val="auto"/>
                      <w:sz w:val="21"/>
                      <w:highlight w:val="none"/>
                    </w:rPr>
                    <w:t>分析内容</w:t>
                  </w:r>
                </w:p>
              </w:tc>
              <w:tc>
                <w:tcPr>
                  <w:tcW w:w="2119" w:type="pct"/>
                  <w:tcBorders>
                    <w:tl2br w:val="nil"/>
                    <w:tr2bl w:val="nil"/>
                  </w:tcBorders>
                  <w:vAlign w:val="center"/>
                </w:tcPr>
                <w:p w14:paraId="1E74CECA">
                  <w:pPr>
                    <w:pStyle w:val="27"/>
                    <w:spacing w:line="240" w:lineRule="auto"/>
                    <w:rPr>
                      <w:rFonts w:hint="default"/>
                      <w:color w:val="auto"/>
                      <w:highlight w:val="none"/>
                    </w:rPr>
                  </w:pPr>
                  <w:r>
                    <w:rPr>
                      <w:rFonts w:eastAsia="宋体"/>
                      <w:b/>
                      <w:color w:val="auto"/>
                      <w:sz w:val="21"/>
                      <w:highlight w:val="none"/>
                    </w:rPr>
                    <w:t>本项目情况</w:t>
                  </w:r>
                </w:p>
              </w:tc>
              <w:tc>
                <w:tcPr>
                  <w:tcW w:w="422" w:type="pct"/>
                  <w:tcBorders>
                    <w:tl2br w:val="nil"/>
                    <w:tr2bl w:val="nil"/>
                  </w:tcBorders>
                  <w:vAlign w:val="center"/>
                </w:tcPr>
                <w:p w14:paraId="2FA6DCCD">
                  <w:pPr>
                    <w:pStyle w:val="27"/>
                    <w:spacing w:line="240" w:lineRule="auto"/>
                    <w:rPr>
                      <w:rFonts w:hint="default"/>
                      <w:color w:val="auto"/>
                      <w:highlight w:val="none"/>
                    </w:rPr>
                  </w:pPr>
                  <w:r>
                    <w:rPr>
                      <w:rFonts w:eastAsia="宋体"/>
                      <w:b/>
                      <w:color w:val="auto"/>
                      <w:sz w:val="21"/>
                      <w:highlight w:val="none"/>
                    </w:rPr>
                    <w:t>分析结果</w:t>
                  </w:r>
                </w:p>
              </w:tc>
            </w:tr>
            <w:tr w14:paraId="12591D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tcBorders>
                    <w:tl2br w:val="nil"/>
                    <w:tr2bl w:val="nil"/>
                  </w:tcBorders>
                  <w:vAlign w:val="center"/>
                </w:tcPr>
                <w:p w14:paraId="35FD420A">
                  <w:pPr>
                    <w:pStyle w:val="24"/>
                    <w:spacing w:line="240" w:lineRule="auto"/>
                    <w:rPr>
                      <w:color w:val="auto"/>
                      <w:highlight w:val="none"/>
                    </w:rPr>
                  </w:pPr>
                  <w:r>
                    <w:rPr>
                      <w:rFonts w:hint="eastAsia"/>
                      <w:color w:val="auto"/>
                      <w:highlight w:val="none"/>
                    </w:rPr>
                    <w:t>1</w:t>
                  </w:r>
                </w:p>
              </w:tc>
              <w:tc>
                <w:tcPr>
                  <w:tcW w:w="2197" w:type="pct"/>
                  <w:tcBorders>
                    <w:tl2br w:val="nil"/>
                    <w:tr2bl w:val="nil"/>
                  </w:tcBorders>
                  <w:vAlign w:val="center"/>
                </w:tcPr>
                <w:p w14:paraId="2CC92681">
                  <w:pPr>
                    <w:pStyle w:val="24"/>
                    <w:spacing w:line="240" w:lineRule="auto"/>
                    <w:rPr>
                      <w:color w:val="auto"/>
                      <w:highlight w:val="none"/>
                    </w:rPr>
                  </w:pPr>
                  <w:r>
                    <w:rPr>
                      <w:rFonts w:hint="eastAsia"/>
                      <w:color w:val="auto"/>
                      <w:highlight w:val="none"/>
                    </w:rPr>
                    <w:t>向大气排放工业废气或者国家有毒有害大气污染物名录中大气污染物的企业事业单位、集中供热设施的燃煤热源生产运营单位，以及其他依法实行排污许可管理的排污单位，应当按照国家有关规定取得排污许可证，并按照排污许可证的规定排放大气污染物。</w:t>
                  </w:r>
                </w:p>
                <w:p w14:paraId="59AE74F9">
                  <w:pPr>
                    <w:pStyle w:val="24"/>
                    <w:spacing w:line="240" w:lineRule="auto"/>
                    <w:rPr>
                      <w:color w:val="auto"/>
                      <w:highlight w:val="none"/>
                    </w:rPr>
                  </w:pPr>
                  <w:r>
                    <w:rPr>
                      <w:rFonts w:hint="eastAsia"/>
                      <w:color w:val="auto"/>
                      <w:highlight w:val="none"/>
                    </w:rPr>
                    <w:t>向大气排放污染物的单位，应当按照国家和省有关规定，设置大气污染物排放口及其标志</w:t>
                  </w:r>
                </w:p>
              </w:tc>
              <w:tc>
                <w:tcPr>
                  <w:tcW w:w="2119" w:type="pct"/>
                  <w:tcBorders>
                    <w:tl2br w:val="nil"/>
                    <w:tr2bl w:val="nil"/>
                  </w:tcBorders>
                  <w:vAlign w:val="center"/>
                </w:tcPr>
                <w:p w14:paraId="12FFDA9B">
                  <w:pPr>
                    <w:pStyle w:val="24"/>
                    <w:spacing w:line="240" w:lineRule="auto"/>
                    <w:rPr>
                      <w:color w:val="auto"/>
                      <w:highlight w:val="none"/>
                    </w:rPr>
                  </w:pPr>
                  <w:r>
                    <w:rPr>
                      <w:rFonts w:hint="eastAsia"/>
                      <w:color w:val="auto"/>
                      <w:highlight w:val="none"/>
                    </w:rPr>
                    <w:t>北票发电有限责任公司已取得排污许可证，待本项目发生实际排污前变更排污</w:t>
                  </w:r>
                  <w:r>
                    <w:rPr>
                      <w:rFonts w:hint="eastAsia"/>
                      <w:color w:val="auto"/>
                      <w:highlight w:val="none"/>
                      <w:lang w:eastAsia="zh-CN"/>
                    </w:rPr>
                    <w:t>许可证</w:t>
                  </w:r>
                  <w:r>
                    <w:rPr>
                      <w:rFonts w:hint="eastAsia"/>
                      <w:color w:val="auto"/>
                      <w:highlight w:val="none"/>
                    </w:rPr>
                    <w:t>，按照管理要求设置标识牌</w:t>
                  </w:r>
                </w:p>
              </w:tc>
              <w:tc>
                <w:tcPr>
                  <w:tcW w:w="422" w:type="pct"/>
                  <w:tcBorders>
                    <w:tl2br w:val="nil"/>
                    <w:tr2bl w:val="nil"/>
                  </w:tcBorders>
                  <w:vAlign w:val="center"/>
                </w:tcPr>
                <w:p w14:paraId="334921F3">
                  <w:pPr>
                    <w:pStyle w:val="24"/>
                    <w:spacing w:line="240" w:lineRule="auto"/>
                    <w:rPr>
                      <w:color w:val="auto"/>
                      <w:highlight w:val="none"/>
                    </w:rPr>
                  </w:pPr>
                  <w:r>
                    <w:rPr>
                      <w:rFonts w:hint="eastAsia"/>
                      <w:color w:val="auto"/>
                      <w:highlight w:val="none"/>
                    </w:rPr>
                    <w:t>符合</w:t>
                  </w:r>
                </w:p>
              </w:tc>
            </w:tr>
            <w:tr w14:paraId="254A04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0" w:type="pct"/>
                  <w:tcBorders>
                    <w:tl2br w:val="nil"/>
                    <w:tr2bl w:val="nil"/>
                  </w:tcBorders>
                  <w:vAlign w:val="center"/>
                </w:tcPr>
                <w:p w14:paraId="39BC3617">
                  <w:pPr>
                    <w:pStyle w:val="24"/>
                    <w:spacing w:line="240" w:lineRule="auto"/>
                    <w:rPr>
                      <w:color w:val="auto"/>
                      <w:highlight w:val="none"/>
                    </w:rPr>
                  </w:pPr>
                  <w:r>
                    <w:rPr>
                      <w:rFonts w:hint="eastAsia"/>
                      <w:color w:val="auto"/>
                      <w:highlight w:val="none"/>
                    </w:rPr>
                    <w:t>2</w:t>
                  </w:r>
                </w:p>
              </w:tc>
              <w:tc>
                <w:tcPr>
                  <w:tcW w:w="2197" w:type="pct"/>
                  <w:tcBorders>
                    <w:tl2br w:val="nil"/>
                    <w:tr2bl w:val="nil"/>
                  </w:tcBorders>
                  <w:vAlign w:val="center"/>
                </w:tcPr>
                <w:p w14:paraId="2479DA8B">
                  <w:pPr>
                    <w:pStyle w:val="24"/>
                    <w:spacing w:line="240" w:lineRule="auto"/>
                    <w:rPr>
                      <w:color w:val="auto"/>
                      <w:highlight w:val="none"/>
                    </w:rPr>
                  </w:pPr>
                  <w:r>
                    <w:rPr>
                      <w:color w:val="auto"/>
                      <w:highlight w:val="none"/>
                    </w:rPr>
                    <w:t>排污单位的重点大气污染物排放总量控制指标</w:t>
                  </w:r>
                  <w:r>
                    <w:rPr>
                      <w:rFonts w:hint="eastAsia"/>
                      <w:color w:val="auto"/>
                      <w:highlight w:val="none"/>
                    </w:rPr>
                    <w:t>，</w:t>
                  </w:r>
                  <w:r>
                    <w:rPr>
                      <w:color w:val="auto"/>
                      <w:highlight w:val="none"/>
                    </w:rPr>
                    <w:t>由生态环境主管部门根据本行政区域重点大气污染物总量控制指标、排污单位现有排放量和改善大气环境质量的目标核定。</w:t>
                  </w:r>
                </w:p>
                <w:p w14:paraId="317EA6A8">
                  <w:pPr>
                    <w:pStyle w:val="24"/>
                    <w:spacing w:line="240" w:lineRule="auto"/>
                    <w:rPr>
                      <w:color w:val="auto"/>
                      <w:highlight w:val="none"/>
                    </w:rPr>
                  </w:pPr>
                  <w:r>
                    <w:rPr>
                      <w:color w:val="auto"/>
                      <w:highlight w:val="none"/>
                    </w:rPr>
                    <w:t>排污单位不得超过生态环境主管部门核定的重点大气污染物总量控制指标排放大气污染物</w:t>
                  </w:r>
                </w:p>
              </w:tc>
              <w:tc>
                <w:tcPr>
                  <w:tcW w:w="2119" w:type="pct"/>
                  <w:tcBorders>
                    <w:tl2br w:val="nil"/>
                    <w:tr2bl w:val="nil"/>
                  </w:tcBorders>
                  <w:vAlign w:val="center"/>
                </w:tcPr>
                <w:p w14:paraId="18487C2E">
                  <w:pPr>
                    <w:pStyle w:val="24"/>
                    <w:spacing w:line="240" w:lineRule="auto"/>
                    <w:rPr>
                      <w:color w:val="auto"/>
                      <w:highlight w:val="none"/>
                    </w:rPr>
                  </w:pPr>
                  <w:r>
                    <w:rPr>
                      <w:rFonts w:hint="eastAsia"/>
                      <w:color w:val="auto"/>
                      <w:highlight w:val="none"/>
                    </w:rPr>
                    <w:t>“十四五”期间污染物总量控制指标为四项，大气污染物：氮氧化物、挥发性有机物，水污染物：化学需氧量、氨氮。结合本项目的具体情况，本项目总量控制指标为：废气：氮氧化物总量指标为0t/a，VOCs总量指标为</w:t>
                  </w:r>
                  <w:r>
                    <w:rPr>
                      <w:rFonts w:hint="eastAsia"/>
                      <w:color w:val="auto"/>
                      <w:highlight w:val="none"/>
                      <w:lang w:val="en-US" w:eastAsia="zh-CN"/>
                    </w:rPr>
                    <w:t>0.0016</w:t>
                  </w:r>
                  <w:r>
                    <w:rPr>
                      <w:rFonts w:hint="eastAsia"/>
                      <w:color w:val="auto"/>
                      <w:highlight w:val="none"/>
                    </w:rPr>
                    <w:t>t/a。废水：COD总量指标为：0t/a，氨氮总量指标为：0t/a。</w:t>
                  </w:r>
                </w:p>
              </w:tc>
              <w:tc>
                <w:tcPr>
                  <w:tcW w:w="422" w:type="pct"/>
                  <w:tcBorders>
                    <w:tl2br w:val="nil"/>
                    <w:tr2bl w:val="nil"/>
                  </w:tcBorders>
                  <w:vAlign w:val="center"/>
                </w:tcPr>
                <w:p w14:paraId="084FB874">
                  <w:pPr>
                    <w:pStyle w:val="24"/>
                    <w:spacing w:line="240" w:lineRule="auto"/>
                    <w:rPr>
                      <w:color w:val="auto"/>
                      <w:highlight w:val="none"/>
                    </w:rPr>
                  </w:pPr>
                  <w:r>
                    <w:rPr>
                      <w:rFonts w:hint="eastAsia"/>
                      <w:color w:val="auto"/>
                      <w:highlight w:val="none"/>
                    </w:rPr>
                    <w:t>符合</w:t>
                  </w:r>
                </w:p>
              </w:tc>
            </w:tr>
            <w:tr w14:paraId="73407E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4" w:hRule="atLeast"/>
                <w:jc w:val="center"/>
              </w:trPr>
              <w:tc>
                <w:tcPr>
                  <w:tcW w:w="260" w:type="pct"/>
                  <w:tcBorders>
                    <w:tl2br w:val="nil"/>
                    <w:tr2bl w:val="nil"/>
                  </w:tcBorders>
                  <w:vAlign w:val="center"/>
                </w:tcPr>
                <w:p w14:paraId="430907F0">
                  <w:pPr>
                    <w:pStyle w:val="24"/>
                    <w:spacing w:line="240" w:lineRule="auto"/>
                    <w:rPr>
                      <w:color w:val="auto"/>
                      <w:highlight w:val="none"/>
                    </w:rPr>
                  </w:pPr>
                  <w:r>
                    <w:rPr>
                      <w:rFonts w:hint="eastAsia"/>
                      <w:color w:val="auto"/>
                      <w:highlight w:val="none"/>
                    </w:rPr>
                    <w:t>3</w:t>
                  </w:r>
                </w:p>
              </w:tc>
              <w:tc>
                <w:tcPr>
                  <w:tcW w:w="2197" w:type="pct"/>
                  <w:tcBorders>
                    <w:tl2br w:val="nil"/>
                    <w:tr2bl w:val="nil"/>
                  </w:tcBorders>
                  <w:vAlign w:val="center"/>
                </w:tcPr>
                <w:p w14:paraId="6CC815E4">
                  <w:pPr>
                    <w:pStyle w:val="24"/>
                    <w:spacing w:line="240" w:lineRule="auto"/>
                    <w:rPr>
                      <w:color w:val="auto"/>
                      <w:highlight w:val="none"/>
                    </w:rPr>
                  </w:pPr>
                  <w:r>
                    <w:rPr>
                      <w:color w:val="auto"/>
                      <w:highlight w:val="none"/>
                    </w:rPr>
                    <w:t>企业事业单位和其他生产经营者应当按照国家有关规定和监测规范</w:t>
                  </w:r>
                  <w:r>
                    <w:rPr>
                      <w:rFonts w:hint="eastAsia"/>
                      <w:color w:val="auto"/>
                      <w:highlight w:val="none"/>
                    </w:rPr>
                    <w:t>，</w:t>
                  </w:r>
                  <w:r>
                    <w:rPr>
                      <w:color w:val="auto"/>
                      <w:highlight w:val="none"/>
                    </w:rPr>
                    <w:t>自行或者委托有资质的监测机构对其排放的工业废气和国家有毒有害大气污染物名录中的大气污染物实施监测</w:t>
                  </w:r>
                </w:p>
              </w:tc>
              <w:tc>
                <w:tcPr>
                  <w:tcW w:w="2119" w:type="pct"/>
                  <w:tcBorders>
                    <w:tl2br w:val="nil"/>
                    <w:tr2bl w:val="nil"/>
                  </w:tcBorders>
                  <w:vAlign w:val="center"/>
                </w:tcPr>
                <w:p w14:paraId="11DD473C">
                  <w:pPr>
                    <w:pStyle w:val="24"/>
                    <w:spacing w:line="240" w:lineRule="auto"/>
                    <w:rPr>
                      <w:color w:val="auto"/>
                      <w:highlight w:val="none"/>
                    </w:rPr>
                  </w:pPr>
                  <w:r>
                    <w:rPr>
                      <w:rFonts w:hint="eastAsia"/>
                      <w:color w:val="auto"/>
                      <w:highlight w:val="none"/>
                    </w:rPr>
                    <w:t>项目建设后，按照本报告中提出监测计划进行监测，并留存监测报告</w:t>
                  </w:r>
                </w:p>
              </w:tc>
              <w:tc>
                <w:tcPr>
                  <w:tcW w:w="422" w:type="pct"/>
                  <w:tcBorders>
                    <w:tl2br w:val="nil"/>
                    <w:tr2bl w:val="nil"/>
                  </w:tcBorders>
                  <w:vAlign w:val="center"/>
                </w:tcPr>
                <w:p w14:paraId="7E3B47DE">
                  <w:pPr>
                    <w:pStyle w:val="24"/>
                    <w:spacing w:line="240" w:lineRule="auto"/>
                    <w:rPr>
                      <w:color w:val="auto"/>
                      <w:highlight w:val="none"/>
                    </w:rPr>
                  </w:pPr>
                  <w:r>
                    <w:rPr>
                      <w:rFonts w:hint="eastAsia"/>
                      <w:color w:val="auto"/>
                      <w:highlight w:val="none"/>
                    </w:rPr>
                    <w:t>符合</w:t>
                  </w:r>
                </w:p>
              </w:tc>
            </w:tr>
          </w:tbl>
          <w:p w14:paraId="23F7AB75">
            <w:pPr>
              <w:pStyle w:val="25"/>
              <w:bidi w:val="0"/>
              <w:rPr>
                <w:rFonts w:cs="Times New Roman"/>
                <w:color w:val="auto"/>
                <w:sz w:val="24"/>
                <w:szCs w:val="24"/>
                <w:highlight w:val="none"/>
              </w:rPr>
            </w:pPr>
            <w:r>
              <w:rPr>
                <w:rFonts w:hint="eastAsia" w:cs="Times New Roman"/>
                <w:color w:val="auto"/>
                <w:sz w:val="24"/>
                <w:szCs w:val="24"/>
                <w:highlight w:val="none"/>
              </w:rPr>
              <w:t>与《中共中央国务院关于深入打好污染防治攻坚战的意见》符合性分析</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
              <w:gridCol w:w="3743"/>
              <w:gridCol w:w="3302"/>
              <w:gridCol w:w="701"/>
            </w:tblGrid>
            <w:tr w14:paraId="0D38B1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9" w:type="pct"/>
                  <w:tcBorders>
                    <w:tl2br w:val="nil"/>
                    <w:tr2bl w:val="nil"/>
                  </w:tcBorders>
                  <w:vAlign w:val="center"/>
                </w:tcPr>
                <w:p w14:paraId="571D7EA8">
                  <w:pPr>
                    <w:pStyle w:val="27"/>
                    <w:spacing w:line="240" w:lineRule="auto"/>
                    <w:rPr>
                      <w:rFonts w:hint="default"/>
                      <w:color w:val="auto"/>
                      <w:highlight w:val="none"/>
                    </w:rPr>
                  </w:pPr>
                  <w:r>
                    <w:rPr>
                      <w:rFonts w:eastAsia="宋体"/>
                      <w:b/>
                      <w:color w:val="auto"/>
                      <w:sz w:val="21"/>
                      <w:highlight w:val="none"/>
                    </w:rPr>
                    <w:t>序号</w:t>
                  </w:r>
                </w:p>
              </w:tc>
              <w:tc>
                <w:tcPr>
                  <w:tcW w:w="2290" w:type="pct"/>
                  <w:tcBorders>
                    <w:tl2br w:val="nil"/>
                    <w:tr2bl w:val="nil"/>
                  </w:tcBorders>
                  <w:vAlign w:val="center"/>
                </w:tcPr>
                <w:p w14:paraId="654378E8">
                  <w:pPr>
                    <w:pStyle w:val="27"/>
                    <w:spacing w:line="240" w:lineRule="auto"/>
                    <w:rPr>
                      <w:rFonts w:hint="default"/>
                      <w:color w:val="auto"/>
                      <w:highlight w:val="none"/>
                    </w:rPr>
                  </w:pPr>
                  <w:r>
                    <w:rPr>
                      <w:rFonts w:eastAsia="宋体"/>
                      <w:b/>
                      <w:color w:val="auto"/>
                      <w:sz w:val="21"/>
                      <w:highlight w:val="none"/>
                    </w:rPr>
                    <w:t>分析内容</w:t>
                  </w:r>
                </w:p>
              </w:tc>
              <w:tc>
                <w:tcPr>
                  <w:tcW w:w="2020" w:type="pct"/>
                  <w:tcBorders>
                    <w:tl2br w:val="nil"/>
                    <w:tr2bl w:val="nil"/>
                  </w:tcBorders>
                  <w:vAlign w:val="center"/>
                </w:tcPr>
                <w:p w14:paraId="59DD8CC4">
                  <w:pPr>
                    <w:pStyle w:val="27"/>
                    <w:spacing w:line="240" w:lineRule="auto"/>
                    <w:rPr>
                      <w:rFonts w:hint="default"/>
                      <w:color w:val="auto"/>
                      <w:highlight w:val="none"/>
                    </w:rPr>
                  </w:pPr>
                  <w:r>
                    <w:rPr>
                      <w:rFonts w:eastAsia="宋体"/>
                      <w:b/>
                      <w:color w:val="auto"/>
                      <w:sz w:val="21"/>
                      <w:highlight w:val="none"/>
                    </w:rPr>
                    <w:t>本项目情况</w:t>
                  </w:r>
                </w:p>
              </w:tc>
              <w:tc>
                <w:tcPr>
                  <w:tcW w:w="429" w:type="pct"/>
                  <w:tcBorders>
                    <w:tl2br w:val="nil"/>
                    <w:tr2bl w:val="nil"/>
                  </w:tcBorders>
                  <w:vAlign w:val="center"/>
                </w:tcPr>
                <w:p w14:paraId="724798ED">
                  <w:pPr>
                    <w:pStyle w:val="27"/>
                    <w:spacing w:line="240" w:lineRule="auto"/>
                    <w:rPr>
                      <w:rFonts w:hint="default"/>
                      <w:color w:val="auto"/>
                      <w:highlight w:val="none"/>
                    </w:rPr>
                  </w:pPr>
                  <w:r>
                    <w:rPr>
                      <w:rFonts w:eastAsia="宋体"/>
                      <w:b/>
                      <w:color w:val="auto"/>
                      <w:sz w:val="21"/>
                      <w:highlight w:val="none"/>
                    </w:rPr>
                    <w:t>分析结果</w:t>
                  </w:r>
                </w:p>
              </w:tc>
            </w:tr>
            <w:tr w14:paraId="4A12ED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46" w:hRule="atLeast"/>
                <w:jc w:val="center"/>
              </w:trPr>
              <w:tc>
                <w:tcPr>
                  <w:tcW w:w="259" w:type="pct"/>
                  <w:tcBorders>
                    <w:tl2br w:val="nil"/>
                    <w:tr2bl w:val="nil"/>
                  </w:tcBorders>
                  <w:vAlign w:val="center"/>
                </w:tcPr>
                <w:p w14:paraId="0D9DE038">
                  <w:pPr>
                    <w:pStyle w:val="24"/>
                    <w:spacing w:line="240" w:lineRule="auto"/>
                    <w:rPr>
                      <w:color w:val="auto"/>
                      <w:highlight w:val="none"/>
                    </w:rPr>
                  </w:pPr>
                  <w:r>
                    <w:rPr>
                      <w:rFonts w:hint="eastAsia"/>
                      <w:color w:val="auto"/>
                      <w:highlight w:val="none"/>
                    </w:rPr>
                    <w:t>1</w:t>
                  </w:r>
                </w:p>
              </w:tc>
              <w:tc>
                <w:tcPr>
                  <w:tcW w:w="2290" w:type="pct"/>
                  <w:tcBorders>
                    <w:tl2br w:val="nil"/>
                    <w:tr2bl w:val="nil"/>
                  </w:tcBorders>
                  <w:vAlign w:val="center"/>
                </w:tcPr>
                <w:p w14:paraId="1548EB86">
                  <w:pPr>
                    <w:pStyle w:val="24"/>
                    <w:spacing w:line="240" w:lineRule="auto"/>
                    <w:rPr>
                      <w:color w:val="auto"/>
                      <w:highlight w:val="none"/>
                    </w:rPr>
                  </w:pPr>
                  <w:r>
                    <w:rPr>
                      <w:rFonts w:hint="eastAsia"/>
                      <w:color w:val="auto"/>
                      <w:highlight w:val="none"/>
                    </w:rPr>
                    <w:t>坚决遏制高耗能高排放项目盲目发展。严把高耗能高排放项目准入关口，严格落实污染物排放区域削减要求，对不符合规定的项目坚决停批停建。依法依规淘汰落后产能和化解过剩产能。推动高炉－转炉长流程炼钢转型为电炉短流程炼钢。重点区域严禁新增钢铁、焦化、水泥熟料、平板玻璃、电解铝、氧化铝、煤化工产能，合理控制煤制油气产能规模，严控新增炼油产能</w:t>
                  </w:r>
                </w:p>
              </w:tc>
              <w:tc>
                <w:tcPr>
                  <w:tcW w:w="2020" w:type="pct"/>
                  <w:tcBorders>
                    <w:tl2br w:val="nil"/>
                    <w:tr2bl w:val="nil"/>
                  </w:tcBorders>
                  <w:vAlign w:val="center"/>
                </w:tcPr>
                <w:p w14:paraId="10A3F14A">
                  <w:pPr>
                    <w:pStyle w:val="24"/>
                    <w:spacing w:line="240" w:lineRule="auto"/>
                    <w:rPr>
                      <w:color w:val="auto"/>
                      <w:highlight w:val="none"/>
                    </w:rPr>
                  </w:pPr>
                  <w:r>
                    <w:rPr>
                      <w:rFonts w:hint="eastAsia"/>
                      <w:color w:val="auto"/>
                      <w:highlight w:val="none"/>
                    </w:rPr>
                    <w:t>本项目为</w:t>
                  </w:r>
                  <w:r>
                    <w:rPr>
                      <w:rFonts w:hint="eastAsia"/>
                      <w:color w:val="auto"/>
                      <w:szCs w:val="21"/>
                      <w:highlight w:val="none"/>
                    </w:rPr>
                    <w:t>北票发电有限责任公司</w:t>
                  </w:r>
                  <w:r>
                    <w:rPr>
                      <w:rFonts w:hint="eastAsia"/>
                      <w:color w:val="auto"/>
                      <w:highlight w:val="none"/>
                    </w:rPr>
                    <w:t>配套建设的危险废物贮存项目，不属于新增钢铁、焦化、水泥熟料、平板玻璃、电解铝、氧化铝、煤化工产能项目</w:t>
                  </w:r>
                </w:p>
              </w:tc>
              <w:tc>
                <w:tcPr>
                  <w:tcW w:w="429" w:type="pct"/>
                  <w:tcBorders>
                    <w:tl2br w:val="nil"/>
                    <w:tr2bl w:val="nil"/>
                  </w:tcBorders>
                  <w:vAlign w:val="center"/>
                </w:tcPr>
                <w:p w14:paraId="7E00D868">
                  <w:pPr>
                    <w:pStyle w:val="24"/>
                    <w:spacing w:line="240" w:lineRule="auto"/>
                    <w:rPr>
                      <w:color w:val="auto"/>
                      <w:highlight w:val="none"/>
                    </w:rPr>
                  </w:pPr>
                  <w:r>
                    <w:rPr>
                      <w:rFonts w:hint="eastAsia"/>
                      <w:color w:val="auto"/>
                      <w:highlight w:val="none"/>
                    </w:rPr>
                    <w:t>符合</w:t>
                  </w:r>
                </w:p>
              </w:tc>
            </w:tr>
            <w:tr w14:paraId="395CE2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1" w:hRule="atLeast"/>
                <w:jc w:val="center"/>
              </w:trPr>
              <w:tc>
                <w:tcPr>
                  <w:tcW w:w="259" w:type="pct"/>
                  <w:tcBorders>
                    <w:tl2br w:val="nil"/>
                    <w:tr2bl w:val="nil"/>
                  </w:tcBorders>
                  <w:vAlign w:val="center"/>
                </w:tcPr>
                <w:p w14:paraId="02B7D472">
                  <w:pPr>
                    <w:pStyle w:val="24"/>
                    <w:spacing w:line="240" w:lineRule="auto"/>
                    <w:rPr>
                      <w:color w:val="auto"/>
                      <w:highlight w:val="none"/>
                    </w:rPr>
                  </w:pPr>
                  <w:r>
                    <w:rPr>
                      <w:rFonts w:hint="eastAsia"/>
                      <w:color w:val="auto"/>
                      <w:highlight w:val="none"/>
                    </w:rPr>
                    <w:t>2</w:t>
                  </w:r>
                </w:p>
              </w:tc>
              <w:tc>
                <w:tcPr>
                  <w:tcW w:w="2290" w:type="pct"/>
                  <w:tcBorders>
                    <w:tl2br w:val="nil"/>
                    <w:tr2bl w:val="nil"/>
                  </w:tcBorders>
                  <w:vAlign w:val="center"/>
                </w:tcPr>
                <w:p w14:paraId="0D7AADD7">
                  <w:pPr>
                    <w:pStyle w:val="24"/>
                    <w:spacing w:line="240" w:lineRule="auto"/>
                    <w:rPr>
                      <w:color w:val="auto"/>
                      <w:highlight w:val="none"/>
                    </w:rPr>
                  </w:pPr>
                  <w:r>
                    <w:rPr>
                      <w:color w:val="auto"/>
                      <w:highlight w:val="none"/>
                    </w:rPr>
                    <w:t>加强生态环境分区管控。衔接国土空间规划分区和用途管制要求</w:t>
                  </w:r>
                  <w:r>
                    <w:rPr>
                      <w:rFonts w:hint="eastAsia"/>
                      <w:color w:val="auto"/>
                      <w:highlight w:val="none"/>
                    </w:rPr>
                    <w:t>，</w:t>
                  </w:r>
                  <w:r>
                    <w:rPr>
                      <w:color w:val="auto"/>
                      <w:highlight w:val="none"/>
                    </w:rPr>
                    <w:t>将生态保护红线、环境质量底线、资源利用上线的硬约束落实到环境管控单元</w:t>
                  </w:r>
                  <w:r>
                    <w:rPr>
                      <w:rFonts w:hint="eastAsia"/>
                      <w:color w:val="auto"/>
                      <w:highlight w:val="none"/>
                    </w:rPr>
                    <w:t>，</w:t>
                  </w:r>
                  <w:r>
                    <w:rPr>
                      <w:color w:val="auto"/>
                      <w:highlight w:val="none"/>
                    </w:rPr>
                    <w:t>建立差别化的生态环境准入清单</w:t>
                  </w:r>
                  <w:r>
                    <w:rPr>
                      <w:rFonts w:hint="eastAsia"/>
                      <w:color w:val="auto"/>
                      <w:highlight w:val="none"/>
                    </w:rPr>
                    <w:t>，</w:t>
                  </w:r>
                  <w:r>
                    <w:rPr>
                      <w:color w:val="auto"/>
                      <w:highlight w:val="none"/>
                    </w:rPr>
                    <w:t>加强</w:t>
                  </w:r>
                  <w:r>
                    <w:rPr>
                      <w:rFonts w:hint="eastAsia"/>
                      <w:color w:val="auto"/>
                      <w:highlight w:val="none"/>
                    </w:rPr>
                    <w:t>“</w:t>
                  </w:r>
                  <w:r>
                    <w:rPr>
                      <w:color w:val="auto"/>
                      <w:highlight w:val="none"/>
                    </w:rPr>
                    <w:t>三线一单</w:t>
                  </w:r>
                  <w:r>
                    <w:rPr>
                      <w:rFonts w:hint="eastAsia"/>
                      <w:color w:val="auto"/>
                      <w:highlight w:val="none"/>
                    </w:rPr>
                    <w:t>”</w:t>
                  </w:r>
                  <w:r>
                    <w:rPr>
                      <w:color w:val="auto"/>
                      <w:highlight w:val="none"/>
                    </w:rPr>
                    <w:t>成果在政策制定、环境准入、园区管理、执法监管等方面的应用</w:t>
                  </w:r>
                </w:p>
              </w:tc>
              <w:tc>
                <w:tcPr>
                  <w:tcW w:w="2020" w:type="pct"/>
                  <w:tcBorders>
                    <w:tl2br w:val="nil"/>
                    <w:tr2bl w:val="nil"/>
                  </w:tcBorders>
                  <w:vAlign w:val="center"/>
                </w:tcPr>
                <w:p w14:paraId="5D5E6F8E">
                  <w:pPr>
                    <w:pStyle w:val="24"/>
                    <w:spacing w:line="240" w:lineRule="auto"/>
                    <w:rPr>
                      <w:color w:val="auto"/>
                      <w:highlight w:val="none"/>
                    </w:rPr>
                  </w:pPr>
                  <w:r>
                    <w:rPr>
                      <w:color w:val="auto"/>
                      <w:highlight w:val="none"/>
                    </w:rPr>
                    <w:t>本项目属于</w:t>
                  </w:r>
                  <w:r>
                    <w:rPr>
                      <w:rFonts w:hint="eastAsia"/>
                      <w:color w:val="auto"/>
                      <w:highlight w:val="none"/>
                    </w:rPr>
                    <w:t>“重点管控单元”</w:t>
                  </w:r>
                  <w:r>
                    <w:rPr>
                      <w:color w:val="auto"/>
                      <w:highlight w:val="none"/>
                    </w:rPr>
                    <w:t>；环境管控单元编码为：</w:t>
                  </w:r>
                  <w:r>
                    <w:rPr>
                      <w:rFonts w:hint="eastAsia"/>
                      <w:color w:val="auto"/>
                      <w:highlight w:val="none"/>
                    </w:rPr>
                    <w:t>ZH21138120006，</w:t>
                  </w:r>
                  <w:r>
                    <w:rPr>
                      <w:color w:val="auto"/>
                      <w:highlight w:val="none"/>
                    </w:rPr>
                    <w:t>本项目严格落实《朝阳市人民政府关于实施</w:t>
                  </w:r>
                  <w:r>
                    <w:rPr>
                      <w:rFonts w:hint="eastAsia"/>
                      <w:color w:val="auto"/>
                      <w:highlight w:val="none"/>
                    </w:rPr>
                    <w:t>“</w:t>
                  </w:r>
                  <w:r>
                    <w:rPr>
                      <w:color w:val="auto"/>
                      <w:highlight w:val="none"/>
                    </w:rPr>
                    <w:t>三线一单</w:t>
                  </w:r>
                  <w:r>
                    <w:rPr>
                      <w:rFonts w:hint="eastAsia"/>
                      <w:color w:val="auto"/>
                      <w:highlight w:val="none"/>
                    </w:rPr>
                    <w:t>”</w:t>
                  </w:r>
                  <w:r>
                    <w:rPr>
                      <w:color w:val="auto"/>
                      <w:highlight w:val="none"/>
                    </w:rPr>
                    <w:t>生态环境分区管控的意见》要求</w:t>
                  </w:r>
                </w:p>
              </w:tc>
              <w:tc>
                <w:tcPr>
                  <w:tcW w:w="429" w:type="pct"/>
                  <w:tcBorders>
                    <w:tl2br w:val="nil"/>
                    <w:tr2bl w:val="nil"/>
                  </w:tcBorders>
                  <w:vAlign w:val="center"/>
                </w:tcPr>
                <w:p w14:paraId="7D473E96">
                  <w:pPr>
                    <w:pStyle w:val="24"/>
                    <w:spacing w:line="240" w:lineRule="auto"/>
                    <w:rPr>
                      <w:color w:val="auto"/>
                      <w:highlight w:val="none"/>
                    </w:rPr>
                  </w:pPr>
                  <w:r>
                    <w:rPr>
                      <w:rFonts w:hint="eastAsia"/>
                      <w:color w:val="auto"/>
                      <w:highlight w:val="none"/>
                    </w:rPr>
                    <w:t>符合</w:t>
                  </w:r>
                </w:p>
              </w:tc>
            </w:tr>
          </w:tbl>
          <w:p w14:paraId="02EBDA6E">
            <w:pPr>
              <w:pStyle w:val="25"/>
              <w:bidi w:val="0"/>
              <w:rPr>
                <w:rFonts w:cs="Times New Roman"/>
                <w:color w:val="auto"/>
                <w:sz w:val="24"/>
                <w:szCs w:val="24"/>
                <w:highlight w:val="none"/>
              </w:rPr>
            </w:pPr>
            <w:r>
              <w:rPr>
                <w:rFonts w:hint="eastAsia" w:cs="Times New Roman"/>
                <w:color w:val="auto"/>
                <w:sz w:val="24"/>
                <w:szCs w:val="24"/>
                <w:highlight w:val="none"/>
              </w:rPr>
              <w:t>《辽宁省深入打好污染防治攻坚战实施方案》符合性分析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3"/>
              <w:gridCol w:w="3486"/>
              <w:gridCol w:w="3683"/>
              <w:gridCol w:w="648"/>
            </w:tblGrid>
            <w:tr w14:paraId="3F79CA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6" w:type="pct"/>
                  <w:vAlign w:val="center"/>
                </w:tcPr>
                <w:p w14:paraId="3FE8EAFF">
                  <w:pPr>
                    <w:pStyle w:val="27"/>
                    <w:spacing w:line="240" w:lineRule="auto"/>
                    <w:rPr>
                      <w:rFonts w:hint="default"/>
                      <w:color w:val="auto"/>
                      <w:highlight w:val="none"/>
                    </w:rPr>
                  </w:pPr>
                  <w:r>
                    <w:rPr>
                      <w:rFonts w:eastAsia="宋体"/>
                      <w:b/>
                      <w:color w:val="auto"/>
                      <w:sz w:val="21"/>
                      <w:highlight w:val="none"/>
                    </w:rPr>
                    <w:t>序号</w:t>
                  </w:r>
                </w:p>
              </w:tc>
              <w:tc>
                <w:tcPr>
                  <w:tcW w:w="2133" w:type="pct"/>
                  <w:vAlign w:val="center"/>
                </w:tcPr>
                <w:p w14:paraId="4DF101BA">
                  <w:pPr>
                    <w:pStyle w:val="27"/>
                    <w:spacing w:line="240" w:lineRule="auto"/>
                    <w:rPr>
                      <w:rFonts w:hint="default"/>
                      <w:color w:val="auto"/>
                      <w:highlight w:val="none"/>
                    </w:rPr>
                  </w:pPr>
                  <w:r>
                    <w:rPr>
                      <w:rFonts w:eastAsia="宋体"/>
                      <w:b/>
                      <w:color w:val="auto"/>
                      <w:sz w:val="21"/>
                      <w:highlight w:val="none"/>
                    </w:rPr>
                    <w:t>分析内容</w:t>
                  </w:r>
                </w:p>
              </w:tc>
              <w:tc>
                <w:tcPr>
                  <w:tcW w:w="2253" w:type="pct"/>
                  <w:vAlign w:val="center"/>
                </w:tcPr>
                <w:p w14:paraId="17C9E94C">
                  <w:pPr>
                    <w:pStyle w:val="27"/>
                    <w:spacing w:line="240" w:lineRule="auto"/>
                    <w:rPr>
                      <w:rFonts w:hint="default"/>
                      <w:color w:val="auto"/>
                      <w:highlight w:val="none"/>
                    </w:rPr>
                  </w:pPr>
                  <w:r>
                    <w:rPr>
                      <w:rFonts w:eastAsia="宋体"/>
                      <w:b/>
                      <w:color w:val="auto"/>
                      <w:sz w:val="21"/>
                      <w:highlight w:val="none"/>
                    </w:rPr>
                    <w:t>本项目情况</w:t>
                  </w:r>
                </w:p>
              </w:tc>
              <w:tc>
                <w:tcPr>
                  <w:tcW w:w="396" w:type="pct"/>
                  <w:vAlign w:val="center"/>
                </w:tcPr>
                <w:p w14:paraId="64FD7A05">
                  <w:pPr>
                    <w:pStyle w:val="27"/>
                    <w:spacing w:line="240" w:lineRule="auto"/>
                    <w:rPr>
                      <w:rFonts w:hint="default"/>
                      <w:color w:val="auto"/>
                      <w:highlight w:val="none"/>
                    </w:rPr>
                  </w:pPr>
                  <w:r>
                    <w:rPr>
                      <w:rFonts w:eastAsia="宋体"/>
                      <w:b/>
                      <w:color w:val="auto"/>
                      <w:sz w:val="21"/>
                      <w:highlight w:val="none"/>
                    </w:rPr>
                    <w:t>分析结果</w:t>
                  </w:r>
                </w:p>
              </w:tc>
            </w:tr>
            <w:tr w14:paraId="1AA28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6" w:type="pct"/>
                  <w:vAlign w:val="center"/>
                </w:tcPr>
                <w:p w14:paraId="17B48621">
                  <w:pPr>
                    <w:pStyle w:val="24"/>
                    <w:spacing w:line="240" w:lineRule="auto"/>
                    <w:rPr>
                      <w:color w:val="auto"/>
                      <w:highlight w:val="none"/>
                    </w:rPr>
                  </w:pPr>
                  <w:r>
                    <w:rPr>
                      <w:rFonts w:hint="eastAsia"/>
                      <w:color w:val="auto"/>
                      <w:highlight w:val="none"/>
                    </w:rPr>
                    <w:t>1</w:t>
                  </w:r>
                </w:p>
              </w:tc>
              <w:tc>
                <w:tcPr>
                  <w:tcW w:w="2133" w:type="pct"/>
                  <w:vAlign w:val="center"/>
                </w:tcPr>
                <w:p w14:paraId="7EE5629C">
                  <w:pPr>
                    <w:pStyle w:val="24"/>
                    <w:spacing w:line="240" w:lineRule="auto"/>
                    <w:rPr>
                      <w:color w:val="auto"/>
                      <w:highlight w:val="none"/>
                    </w:rPr>
                  </w:pPr>
                  <w:r>
                    <w:rPr>
                      <w:rFonts w:hint="eastAsia"/>
                      <w:color w:val="auto"/>
                      <w:highlight w:val="none"/>
                    </w:rPr>
                    <w:t>坚决遏制高耗能高排放项目盲目发展。对“两高”项目实行清单管理、分类处置、动态监控。严格把好新建、扩建钢铁、水泥熟料、平板玻璃、电解铝等高耗能高排放项目准入关</w:t>
                  </w:r>
                </w:p>
              </w:tc>
              <w:tc>
                <w:tcPr>
                  <w:tcW w:w="2253" w:type="pct"/>
                  <w:vAlign w:val="center"/>
                </w:tcPr>
                <w:p w14:paraId="6D4AA403">
                  <w:pPr>
                    <w:pStyle w:val="24"/>
                    <w:spacing w:line="240" w:lineRule="auto"/>
                    <w:rPr>
                      <w:color w:val="auto"/>
                      <w:highlight w:val="none"/>
                    </w:rPr>
                  </w:pPr>
                  <w:r>
                    <w:rPr>
                      <w:rFonts w:hint="eastAsia"/>
                      <w:color w:val="auto"/>
                      <w:highlight w:val="none"/>
                    </w:rPr>
                    <w:t>本项目为北票发电有限责任公司配套建设的危险废物贮存项目，不属于钢铁、水泥熟料、平板玻璃、电解铝等高耗能高排放项目</w:t>
                  </w:r>
                </w:p>
              </w:tc>
              <w:tc>
                <w:tcPr>
                  <w:tcW w:w="396" w:type="pct"/>
                  <w:vAlign w:val="center"/>
                </w:tcPr>
                <w:p w14:paraId="163B3362">
                  <w:pPr>
                    <w:pStyle w:val="24"/>
                    <w:spacing w:line="240" w:lineRule="auto"/>
                    <w:rPr>
                      <w:color w:val="auto"/>
                      <w:highlight w:val="none"/>
                    </w:rPr>
                  </w:pPr>
                  <w:r>
                    <w:rPr>
                      <w:rFonts w:hint="eastAsia"/>
                      <w:color w:val="auto"/>
                      <w:highlight w:val="none"/>
                    </w:rPr>
                    <w:t>符合</w:t>
                  </w:r>
                </w:p>
              </w:tc>
            </w:tr>
            <w:tr w14:paraId="6D1AC9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6" w:type="pct"/>
                  <w:vAlign w:val="center"/>
                </w:tcPr>
                <w:p w14:paraId="4FF5282A">
                  <w:pPr>
                    <w:pStyle w:val="24"/>
                    <w:spacing w:line="240" w:lineRule="auto"/>
                    <w:rPr>
                      <w:color w:val="auto"/>
                      <w:highlight w:val="none"/>
                    </w:rPr>
                  </w:pPr>
                  <w:r>
                    <w:rPr>
                      <w:rFonts w:hint="eastAsia"/>
                      <w:color w:val="auto"/>
                      <w:highlight w:val="none"/>
                    </w:rPr>
                    <w:t>2</w:t>
                  </w:r>
                </w:p>
              </w:tc>
              <w:tc>
                <w:tcPr>
                  <w:tcW w:w="2133" w:type="pct"/>
                  <w:vAlign w:val="center"/>
                </w:tcPr>
                <w:p w14:paraId="6FB7BFC5">
                  <w:pPr>
                    <w:pStyle w:val="24"/>
                    <w:spacing w:line="240" w:lineRule="auto"/>
                    <w:rPr>
                      <w:color w:val="auto"/>
                      <w:highlight w:val="none"/>
                    </w:rPr>
                  </w:pPr>
                  <w:r>
                    <w:rPr>
                      <w:rFonts w:hint="eastAsia"/>
                      <w:color w:val="auto"/>
                      <w:highlight w:val="none"/>
                    </w:rPr>
                    <w:t>加强生态环境分区管控，严格落实“三线一单”生态环境分区管控要求，优化区域生产力布局</w:t>
                  </w:r>
                </w:p>
              </w:tc>
              <w:tc>
                <w:tcPr>
                  <w:tcW w:w="2253" w:type="pct"/>
                  <w:vAlign w:val="center"/>
                </w:tcPr>
                <w:p w14:paraId="421DA018">
                  <w:pPr>
                    <w:pStyle w:val="24"/>
                    <w:spacing w:line="240" w:lineRule="auto"/>
                    <w:rPr>
                      <w:color w:val="auto"/>
                      <w:highlight w:val="none"/>
                    </w:rPr>
                  </w:pPr>
                  <w:r>
                    <w:rPr>
                      <w:rFonts w:hint="eastAsia"/>
                      <w:color w:val="auto"/>
                      <w:highlight w:val="none"/>
                    </w:rPr>
                    <w:t>本项目已严格落实“三线一单”管控要求，详见表</w:t>
                  </w:r>
                  <w:r>
                    <w:rPr>
                      <w:rFonts w:hint="eastAsia"/>
                      <w:color w:val="auto"/>
                      <w:highlight w:val="none"/>
                      <w:lang w:val="en-US" w:eastAsia="zh-CN"/>
                    </w:rPr>
                    <w:t>14、15</w:t>
                  </w:r>
                  <w:r>
                    <w:rPr>
                      <w:rFonts w:hint="eastAsia"/>
                      <w:color w:val="auto"/>
                      <w:highlight w:val="none"/>
                    </w:rPr>
                    <w:t>分析</w:t>
                  </w:r>
                </w:p>
              </w:tc>
              <w:tc>
                <w:tcPr>
                  <w:tcW w:w="396" w:type="pct"/>
                  <w:vAlign w:val="center"/>
                </w:tcPr>
                <w:p w14:paraId="6E85F7CA">
                  <w:pPr>
                    <w:pStyle w:val="24"/>
                    <w:spacing w:line="240" w:lineRule="auto"/>
                    <w:rPr>
                      <w:color w:val="auto"/>
                      <w:highlight w:val="none"/>
                    </w:rPr>
                  </w:pPr>
                  <w:r>
                    <w:rPr>
                      <w:rFonts w:hint="eastAsia"/>
                      <w:color w:val="auto"/>
                      <w:highlight w:val="none"/>
                    </w:rPr>
                    <w:t>符合</w:t>
                  </w:r>
                </w:p>
              </w:tc>
            </w:tr>
            <w:tr w14:paraId="2F5183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6" w:type="pct"/>
                  <w:vAlign w:val="center"/>
                </w:tcPr>
                <w:p w14:paraId="506CB7B1">
                  <w:pPr>
                    <w:pStyle w:val="24"/>
                    <w:spacing w:line="240" w:lineRule="auto"/>
                    <w:rPr>
                      <w:color w:val="auto"/>
                      <w:highlight w:val="none"/>
                    </w:rPr>
                  </w:pPr>
                  <w:r>
                    <w:rPr>
                      <w:rFonts w:hint="eastAsia"/>
                      <w:color w:val="auto"/>
                      <w:highlight w:val="none"/>
                    </w:rPr>
                    <w:t>3</w:t>
                  </w:r>
                </w:p>
              </w:tc>
              <w:tc>
                <w:tcPr>
                  <w:tcW w:w="2133" w:type="pct"/>
                  <w:vAlign w:val="center"/>
                </w:tcPr>
                <w:p w14:paraId="111C0CF2">
                  <w:pPr>
                    <w:pStyle w:val="24"/>
                    <w:spacing w:line="240" w:lineRule="auto"/>
                    <w:rPr>
                      <w:color w:val="auto"/>
                      <w:highlight w:val="none"/>
                    </w:rPr>
                  </w:pPr>
                  <w:r>
                    <w:rPr>
                      <w:rFonts w:hint="eastAsia"/>
                      <w:color w:val="auto"/>
                      <w:highlight w:val="none"/>
                    </w:rPr>
                    <w:t>严控环境安全风险</w:t>
                  </w:r>
                </w:p>
              </w:tc>
              <w:tc>
                <w:tcPr>
                  <w:tcW w:w="2253" w:type="pct"/>
                  <w:vAlign w:val="center"/>
                </w:tcPr>
                <w:p w14:paraId="371658C7">
                  <w:pPr>
                    <w:pStyle w:val="24"/>
                    <w:spacing w:line="240" w:lineRule="auto"/>
                    <w:rPr>
                      <w:color w:val="auto"/>
                      <w:highlight w:val="none"/>
                    </w:rPr>
                  </w:pPr>
                  <w:r>
                    <w:rPr>
                      <w:rFonts w:hint="eastAsia"/>
                      <w:color w:val="auto"/>
                      <w:highlight w:val="none"/>
                    </w:rPr>
                    <w:t>本项目涉及风险物质为</w:t>
                  </w:r>
                  <w:r>
                    <w:rPr>
                      <w:rFonts w:hint="eastAsia"/>
                      <w:color w:val="auto"/>
                      <w:highlight w:val="none"/>
                      <w:lang w:val="en-US" w:eastAsia="zh-CN"/>
                    </w:rPr>
                    <w:t>油类物质</w:t>
                  </w:r>
                  <w:r>
                    <w:rPr>
                      <w:rFonts w:hint="eastAsia"/>
                      <w:color w:val="auto"/>
                      <w:highlight w:val="none"/>
                    </w:rPr>
                    <w:t>，严格按照环境风险防范措施对其进行管理，并编制突发环境应急预案</w:t>
                  </w:r>
                </w:p>
              </w:tc>
              <w:tc>
                <w:tcPr>
                  <w:tcW w:w="396" w:type="pct"/>
                  <w:vAlign w:val="center"/>
                </w:tcPr>
                <w:p w14:paraId="31EC50C5">
                  <w:pPr>
                    <w:pStyle w:val="24"/>
                    <w:spacing w:line="240" w:lineRule="auto"/>
                    <w:rPr>
                      <w:color w:val="auto"/>
                      <w:highlight w:val="none"/>
                    </w:rPr>
                  </w:pPr>
                  <w:r>
                    <w:rPr>
                      <w:rFonts w:hint="eastAsia"/>
                      <w:color w:val="auto"/>
                      <w:highlight w:val="none"/>
                    </w:rPr>
                    <w:t>符合</w:t>
                  </w:r>
                </w:p>
              </w:tc>
            </w:tr>
          </w:tbl>
          <w:p w14:paraId="06BA3FCC">
            <w:pPr>
              <w:pStyle w:val="25"/>
              <w:bidi w:val="0"/>
              <w:rPr>
                <w:rFonts w:cs="Times New Roman"/>
                <w:color w:val="auto"/>
                <w:sz w:val="24"/>
                <w:szCs w:val="24"/>
                <w:highlight w:val="none"/>
              </w:rPr>
            </w:pPr>
            <w:r>
              <w:rPr>
                <w:rFonts w:hint="eastAsia" w:cs="Times New Roman"/>
                <w:color w:val="auto"/>
                <w:sz w:val="24"/>
                <w:szCs w:val="24"/>
                <w:highlight w:val="none"/>
              </w:rPr>
              <w:t>与《朝阳市深入打好污染防治攻坚战实施方案》符合性分析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2"/>
              <w:gridCol w:w="3822"/>
              <w:gridCol w:w="3176"/>
              <w:gridCol w:w="690"/>
            </w:tblGrid>
            <w:tr w14:paraId="1311B7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4" w:type="pct"/>
                  <w:vAlign w:val="center"/>
                </w:tcPr>
                <w:p w14:paraId="4EA04646">
                  <w:pPr>
                    <w:pStyle w:val="27"/>
                    <w:spacing w:line="240" w:lineRule="auto"/>
                    <w:rPr>
                      <w:rFonts w:hint="default"/>
                      <w:color w:val="auto"/>
                      <w:highlight w:val="none"/>
                    </w:rPr>
                  </w:pPr>
                  <w:r>
                    <w:rPr>
                      <w:rFonts w:eastAsia="宋体"/>
                      <w:b/>
                      <w:color w:val="auto"/>
                      <w:sz w:val="21"/>
                      <w:highlight w:val="none"/>
                    </w:rPr>
                    <w:t>序号</w:t>
                  </w:r>
                </w:p>
              </w:tc>
              <w:tc>
                <w:tcPr>
                  <w:tcW w:w="2339" w:type="pct"/>
                  <w:vAlign w:val="center"/>
                </w:tcPr>
                <w:p w14:paraId="1D494E20">
                  <w:pPr>
                    <w:pStyle w:val="27"/>
                    <w:spacing w:line="240" w:lineRule="auto"/>
                    <w:rPr>
                      <w:rFonts w:hint="default"/>
                      <w:color w:val="auto"/>
                      <w:highlight w:val="none"/>
                    </w:rPr>
                  </w:pPr>
                  <w:r>
                    <w:rPr>
                      <w:rFonts w:eastAsia="宋体"/>
                      <w:b/>
                      <w:color w:val="auto"/>
                      <w:sz w:val="21"/>
                      <w:highlight w:val="none"/>
                    </w:rPr>
                    <w:t>分析内容</w:t>
                  </w:r>
                </w:p>
              </w:tc>
              <w:tc>
                <w:tcPr>
                  <w:tcW w:w="1943" w:type="pct"/>
                  <w:vAlign w:val="center"/>
                </w:tcPr>
                <w:p w14:paraId="7F8226A8">
                  <w:pPr>
                    <w:pStyle w:val="27"/>
                    <w:spacing w:line="240" w:lineRule="auto"/>
                    <w:rPr>
                      <w:rFonts w:hint="default"/>
                      <w:color w:val="auto"/>
                      <w:highlight w:val="none"/>
                    </w:rPr>
                  </w:pPr>
                  <w:r>
                    <w:rPr>
                      <w:rFonts w:eastAsia="宋体"/>
                      <w:b/>
                      <w:color w:val="auto"/>
                      <w:sz w:val="21"/>
                      <w:highlight w:val="none"/>
                    </w:rPr>
                    <w:t>本项目情况</w:t>
                  </w:r>
                </w:p>
              </w:tc>
              <w:tc>
                <w:tcPr>
                  <w:tcW w:w="422" w:type="pct"/>
                  <w:vAlign w:val="center"/>
                </w:tcPr>
                <w:p w14:paraId="049E1ED8">
                  <w:pPr>
                    <w:pStyle w:val="27"/>
                    <w:spacing w:line="240" w:lineRule="auto"/>
                    <w:rPr>
                      <w:rFonts w:hint="default"/>
                      <w:color w:val="auto"/>
                      <w:highlight w:val="none"/>
                    </w:rPr>
                  </w:pPr>
                  <w:r>
                    <w:rPr>
                      <w:rFonts w:eastAsia="宋体"/>
                      <w:b/>
                      <w:color w:val="auto"/>
                      <w:sz w:val="21"/>
                      <w:highlight w:val="none"/>
                    </w:rPr>
                    <w:t>分析结果</w:t>
                  </w:r>
                </w:p>
              </w:tc>
            </w:tr>
            <w:tr w14:paraId="351B79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4" w:type="pct"/>
                  <w:vAlign w:val="center"/>
                </w:tcPr>
                <w:p w14:paraId="18789A74">
                  <w:pPr>
                    <w:pStyle w:val="24"/>
                    <w:spacing w:line="240" w:lineRule="auto"/>
                    <w:rPr>
                      <w:color w:val="auto"/>
                      <w:highlight w:val="none"/>
                    </w:rPr>
                  </w:pPr>
                  <w:r>
                    <w:rPr>
                      <w:rFonts w:hint="eastAsia"/>
                      <w:color w:val="auto"/>
                      <w:highlight w:val="none"/>
                    </w:rPr>
                    <w:t>1</w:t>
                  </w:r>
                </w:p>
              </w:tc>
              <w:tc>
                <w:tcPr>
                  <w:tcW w:w="2339" w:type="pct"/>
                  <w:vAlign w:val="center"/>
                </w:tcPr>
                <w:p w14:paraId="624224C3">
                  <w:pPr>
                    <w:pStyle w:val="24"/>
                    <w:spacing w:line="240" w:lineRule="auto"/>
                    <w:rPr>
                      <w:color w:val="auto"/>
                      <w:highlight w:val="none"/>
                    </w:rPr>
                  </w:pPr>
                  <w:r>
                    <w:rPr>
                      <w:rFonts w:hint="eastAsia"/>
                      <w:color w:val="auto"/>
                      <w:highlight w:val="none"/>
                    </w:rPr>
                    <w:t>坚决遏制高耗能高排放项目盲目发展。严格控制新建“两高”项目，坚决停批停建不符合规定的“两高”项目</w:t>
                  </w:r>
                </w:p>
              </w:tc>
              <w:tc>
                <w:tcPr>
                  <w:tcW w:w="1943" w:type="pct"/>
                  <w:vAlign w:val="center"/>
                </w:tcPr>
                <w:p w14:paraId="0646995B">
                  <w:pPr>
                    <w:pStyle w:val="24"/>
                    <w:spacing w:line="240" w:lineRule="auto"/>
                    <w:rPr>
                      <w:color w:val="auto"/>
                      <w:highlight w:val="none"/>
                    </w:rPr>
                  </w:pPr>
                  <w:r>
                    <w:rPr>
                      <w:rFonts w:hint="eastAsia"/>
                      <w:color w:val="auto"/>
                      <w:highlight w:val="none"/>
                    </w:rPr>
                    <w:t>本项目为</w:t>
                  </w:r>
                  <w:r>
                    <w:rPr>
                      <w:rFonts w:hint="eastAsia"/>
                      <w:color w:val="auto"/>
                      <w:szCs w:val="21"/>
                      <w:highlight w:val="none"/>
                    </w:rPr>
                    <w:t>北票发电有限责任公司</w:t>
                  </w:r>
                  <w:r>
                    <w:rPr>
                      <w:rFonts w:hint="eastAsia"/>
                      <w:color w:val="auto"/>
                      <w:highlight w:val="none"/>
                    </w:rPr>
                    <w:t>配套建设的危险废物贮存项目，不属于钢铁、水泥熟料、平板玻璃、电解铝等高耗能高排放项目</w:t>
                  </w:r>
                </w:p>
              </w:tc>
              <w:tc>
                <w:tcPr>
                  <w:tcW w:w="422" w:type="pct"/>
                  <w:vAlign w:val="center"/>
                </w:tcPr>
                <w:p w14:paraId="0E6A92B0">
                  <w:pPr>
                    <w:pStyle w:val="24"/>
                    <w:spacing w:line="240" w:lineRule="auto"/>
                    <w:rPr>
                      <w:color w:val="auto"/>
                      <w:highlight w:val="none"/>
                    </w:rPr>
                  </w:pPr>
                  <w:r>
                    <w:rPr>
                      <w:rFonts w:hint="eastAsia"/>
                      <w:color w:val="auto"/>
                      <w:highlight w:val="none"/>
                    </w:rPr>
                    <w:t>符合</w:t>
                  </w:r>
                </w:p>
              </w:tc>
            </w:tr>
            <w:tr w14:paraId="2FD11C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4" w:type="pct"/>
                  <w:vAlign w:val="center"/>
                </w:tcPr>
                <w:p w14:paraId="2D37A63A">
                  <w:pPr>
                    <w:pStyle w:val="24"/>
                    <w:spacing w:line="240" w:lineRule="auto"/>
                    <w:rPr>
                      <w:color w:val="auto"/>
                      <w:highlight w:val="none"/>
                    </w:rPr>
                  </w:pPr>
                  <w:r>
                    <w:rPr>
                      <w:rFonts w:hint="eastAsia"/>
                      <w:color w:val="auto"/>
                      <w:highlight w:val="none"/>
                    </w:rPr>
                    <w:t>2</w:t>
                  </w:r>
                </w:p>
              </w:tc>
              <w:tc>
                <w:tcPr>
                  <w:tcW w:w="2339" w:type="pct"/>
                  <w:vAlign w:val="center"/>
                </w:tcPr>
                <w:p w14:paraId="75973C31">
                  <w:pPr>
                    <w:pStyle w:val="24"/>
                    <w:spacing w:line="240" w:lineRule="auto"/>
                    <w:rPr>
                      <w:color w:val="auto"/>
                      <w:highlight w:val="none"/>
                    </w:rPr>
                  </w:pPr>
                  <w:r>
                    <w:rPr>
                      <w:rFonts w:hint="eastAsia"/>
                      <w:color w:val="auto"/>
                      <w:highlight w:val="none"/>
                    </w:rPr>
                    <w:t>加强生态环境分区管控。围绕构建融入京津冀协同发展战略先导区、辽西北承接产业转移示范区发展格局，衔接国土空间规划分区和用途管制要求，推进城市化地区高效集聚发展，促进农产品主产区规模化发展，推动重点生态功能区转型发展，促进农产品主产区规模化发展，推动重点生态功能区转型发展，形成主体功能明显、优势互补、高质量发展的国土空间开发保护新格局，严格落实“三线一单”生态环境分区管控要求，优化区域生产力布局。健全以环评制度为主体的源头预防体系，严格规划环评审查和项目环评准入</w:t>
                  </w:r>
                </w:p>
              </w:tc>
              <w:tc>
                <w:tcPr>
                  <w:tcW w:w="1943" w:type="pct"/>
                  <w:vAlign w:val="center"/>
                </w:tcPr>
                <w:p w14:paraId="6BCF91BD">
                  <w:pPr>
                    <w:pStyle w:val="24"/>
                    <w:spacing w:line="240" w:lineRule="auto"/>
                    <w:rPr>
                      <w:rFonts w:hint="default" w:eastAsiaTheme="minorEastAsia"/>
                      <w:color w:val="auto"/>
                      <w:highlight w:val="none"/>
                      <w:lang w:val="en-US" w:eastAsia="zh-CN"/>
                    </w:rPr>
                  </w:pPr>
                  <w:r>
                    <w:rPr>
                      <w:rFonts w:hint="eastAsia"/>
                      <w:color w:val="auto"/>
                      <w:highlight w:val="none"/>
                    </w:rPr>
                    <w:t>本项目位于</w:t>
                  </w:r>
                  <w:r>
                    <w:rPr>
                      <w:rFonts w:hint="eastAsia"/>
                      <w:color w:val="auto"/>
                      <w:szCs w:val="21"/>
                      <w:highlight w:val="none"/>
                    </w:rPr>
                    <w:t>北票发电有限责任公司</w:t>
                  </w:r>
                  <w:r>
                    <w:rPr>
                      <w:rFonts w:hint="eastAsia"/>
                      <w:color w:val="auto"/>
                      <w:highlight w:val="none"/>
                    </w:rPr>
                    <w:t>厂区内，属于朝阳市北票市重点管控区3，环境管控单元编码为ZH21138120006，项目所在地不属于自然保护区和核心区，不涉及生态保护红线，本项目严格落实《朝阳市生态环境分区管控动态更新方案（2023年）》要求</w:t>
                  </w:r>
                  <w:r>
                    <w:rPr>
                      <w:rFonts w:hint="eastAsia"/>
                      <w:color w:val="auto"/>
                      <w:highlight w:val="none"/>
                      <w:lang w:eastAsia="zh-CN"/>
                    </w:rPr>
                    <w:t>，</w:t>
                  </w:r>
                  <w:r>
                    <w:rPr>
                      <w:rFonts w:hint="eastAsia"/>
                      <w:color w:val="auto"/>
                      <w:highlight w:val="none"/>
                    </w:rPr>
                    <w:t>详见表</w:t>
                  </w:r>
                  <w:r>
                    <w:rPr>
                      <w:rFonts w:hint="eastAsia"/>
                      <w:color w:val="auto"/>
                      <w:highlight w:val="none"/>
                      <w:lang w:val="en-US" w:eastAsia="zh-CN"/>
                    </w:rPr>
                    <w:t>14、15</w:t>
                  </w:r>
                </w:p>
              </w:tc>
              <w:tc>
                <w:tcPr>
                  <w:tcW w:w="422" w:type="pct"/>
                  <w:vAlign w:val="center"/>
                </w:tcPr>
                <w:p w14:paraId="4DB32345">
                  <w:pPr>
                    <w:pStyle w:val="24"/>
                    <w:spacing w:line="240" w:lineRule="auto"/>
                    <w:rPr>
                      <w:color w:val="auto"/>
                      <w:highlight w:val="none"/>
                    </w:rPr>
                  </w:pPr>
                  <w:r>
                    <w:rPr>
                      <w:rFonts w:hint="eastAsia"/>
                      <w:color w:val="auto"/>
                      <w:highlight w:val="none"/>
                    </w:rPr>
                    <w:t>符合</w:t>
                  </w:r>
                </w:p>
              </w:tc>
            </w:tr>
            <w:tr w14:paraId="503DC7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4" w:type="pct"/>
                  <w:vAlign w:val="center"/>
                </w:tcPr>
                <w:p w14:paraId="3654E5D5">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3</w:t>
                  </w:r>
                </w:p>
              </w:tc>
              <w:tc>
                <w:tcPr>
                  <w:tcW w:w="2339" w:type="pct"/>
                  <w:vAlign w:val="center"/>
                </w:tcPr>
                <w:p w14:paraId="693DF283">
                  <w:pPr>
                    <w:pStyle w:val="24"/>
                    <w:spacing w:line="240" w:lineRule="auto"/>
                    <w:rPr>
                      <w:rFonts w:hint="eastAsia"/>
                      <w:color w:val="auto"/>
                      <w:highlight w:val="none"/>
                    </w:rPr>
                  </w:pPr>
                  <w:r>
                    <w:rPr>
                      <w:rFonts w:hint="eastAsia"/>
                      <w:color w:val="auto"/>
                      <w:highlight w:val="none"/>
                    </w:rPr>
                    <w:t>持续打好城市黑臭水体治理攻坚战。按照“控源截污、内源治理、生态修复、活水保质”的总体思路，实施县级城市黑臭水体排查整治行动。全面开展黑臭水排查整治行动。全面开展黑臭水排查，科学制定系统化整治方案。因地制宜对河湖岸线进行生态化改造，恢复和增强河湖水系的自净功能。到2025年，县级城市建成区基本消除黑臭水体</w:t>
                  </w:r>
                </w:p>
              </w:tc>
              <w:tc>
                <w:tcPr>
                  <w:tcW w:w="1943" w:type="pct"/>
                  <w:vAlign w:val="center"/>
                </w:tcPr>
                <w:p w14:paraId="082072B2">
                  <w:pPr>
                    <w:pStyle w:val="24"/>
                    <w:spacing w:line="240" w:lineRule="auto"/>
                    <w:rPr>
                      <w:rFonts w:hint="eastAsia"/>
                      <w:color w:val="auto"/>
                      <w:highlight w:val="none"/>
                    </w:rPr>
                  </w:pPr>
                  <w:r>
                    <w:rPr>
                      <w:rFonts w:hint="eastAsia"/>
                      <w:color w:val="auto"/>
                      <w:highlight w:val="none"/>
                      <w:lang w:eastAsia="zh-CN"/>
                    </w:rPr>
                    <w:t>本</w:t>
                  </w:r>
                  <w:r>
                    <w:rPr>
                      <w:rFonts w:hint="eastAsia"/>
                      <w:color w:val="auto"/>
                      <w:highlight w:val="none"/>
                    </w:rPr>
                    <w:t>项目无生产废水。无新增人员，无新增生活污水</w:t>
                  </w:r>
                </w:p>
              </w:tc>
              <w:tc>
                <w:tcPr>
                  <w:tcW w:w="422" w:type="pct"/>
                  <w:vAlign w:val="center"/>
                </w:tcPr>
                <w:p w14:paraId="727CFFB6">
                  <w:pPr>
                    <w:pStyle w:val="24"/>
                    <w:spacing w:line="240" w:lineRule="auto"/>
                    <w:rPr>
                      <w:rFonts w:hint="eastAsia" w:eastAsiaTheme="minorEastAsia"/>
                      <w:color w:val="auto"/>
                      <w:highlight w:val="none"/>
                      <w:lang w:eastAsia="zh-CN"/>
                    </w:rPr>
                  </w:pPr>
                  <w:r>
                    <w:rPr>
                      <w:rFonts w:hint="eastAsia"/>
                      <w:color w:val="auto"/>
                      <w:highlight w:val="none"/>
                      <w:lang w:eastAsia="zh-CN"/>
                    </w:rPr>
                    <w:t>符合</w:t>
                  </w:r>
                </w:p>
              </w:tc>
            </w:tr>
          </w:tbl>
          <w:p w14:paraId="34CD8E27">
            <w:pPr>
              <w:pStyle w:val="25"/>
              <w:bidi w:val="0"/>
              <w:rPr>
                <w:rFonts w:cs="Times New Roman"/>
                <w:color w:val="auto"/>
                <w:sz w:val="24"/>
                <w:szCs w:val="24"/>
                <w:highlight w:val="none"/>
              </w:rPr>
            </w:pPr>
            <w:r>
              <w:rPr>
                <w:rFonts w:hint="eastAsia" w:cs="Times New Roman"/>
                <w:color w:val="auto"/>
                <w:sz w:val="24"/>
                <w:szCs w:val="24"/>
                <w:highlight w:val="none"/>
              </w:rPr>
              <w:t>与《辽宁省“十四五”生态环境保护规划》符合性分析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6"/>
              <w:gridCol w:w="3606"/>
              <w:gridCol w:w="3425"/>
              <w:gridCol w:w="673"/>
            </w:tblGrid>
            <w:tr w14:paraId="6EF0FB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Align w:val="center"/>
                </w:tcPr>
                <w:p w14:paraId="21EB9031">
                  <w:pPr>
                    <w:pStyle w:val="27"/>
                    <w:spacing w:line="240" w:lineRule="auto"/>
                    <w:rPr>
                      <w:rFonts w:hint="default"/>
                      <w:color w:val="auto"/>
                      <w:highlight w:val="none"/>
                    </w:rPr>
                  </w:pPr>
                  <w:r>
                    <w:rPr>
                      <w:rFonts w:eastAsia="宋体"/>
                      <w:b/>
                      <w:color w:val="auto"/>
                      <w:sz w:val="21"/>
                      <w:highlight w:val="none"/>
                    </w:rPr>
                    <w:t>序号</w:t>
                  </w:r>
                </w:p>
              </w:tc>
              <w:tc>
                <w:tcPr>
                  <w:tcW w:w="2206" w:type="pct"/>
                  <w:vAlign w:val="center"/>
                </w:tcPr>
                <w:p w14:paraId="318E0CBD">
                  <w:pPr>
                    <w:pStyle w:val="27"/>
                    <w:spacing w:line="240" w:lineRule="auto"/>
                    <w:rPr>
                      <w:rFonts w:hint="default"/>
                      <w:color w:val="auto"/>
                      <w:highlight w:val="none"/>
                    </w:rPr>
                  </w:pPr>
                  <w:r>
                    <w:rPr>
                      <w:rFonts w:eastAsia="宋体"/>
                      <w:b/>
                      <w:color w:val="auto"/>
                      <w:sz w:val="21"/>
                      <w:highlight w:val="none"/>
                    </w:rPr>
                    <w:t>分析内容</w:t>
                  </w:r>
                </w:p>
              </w:tc>
              <w:tc>
                <w:tcPr>
                  <w:tcW w:w="2096" w:type="pct"/>
                  <w:vAlign w:val="center"/>
                </w:tcPr>
                <w:p w14:paraId="67D7A4CB">
                  <w:pPr>
                    <w:pStyle w:val="27"/>
                    <w:spacing w:line="240" w:lineRule="auto"/>
                    <w:rPr>
                      <w:rFonts w:hint="default"/>
                      <w:color w:val="auto"/>
                      <w:highlight w:val="none"/>
                    </w:rPr>
                  </w:pPr>
                  <w:r>
                    <w:rPr>
                      <w:rFonts w:eastAsia="宋体"/>
                      <w:b/>
                      <w:color w:val="auto"/>
                      <w:sz w:val="21"/>
                      <w:highlight w:val="none"/>
                    </w:rPr>
                    <w:t>本项目情况</w:t>
                  </w:r>
                </w:p>
              </w:tc>
              <w:tc>
                <w:tcPr>
                  <w:tcW w:w="411" w:type="pct"/>
                  <w:vAlign w:val="center"/>
                </w:tcPr>
                <w:p w14:paraId="4A093423">
                  <w:pPr>
                    <w:pStyle w:val="27"/>
                    <w:spacing w:line="240" w:lineRule="auto"/>
                    <w:rPr>
                      <w:rFonts w:hint="default"/>
                      <w:color w:val="auto"/>
                      <w:highlight w:val="none"/>
                    </w:rPr>
                  </w:pPr>
                  <w:r>
                    <w:rPr>
                      <w:rFonts w:eastAsia="宋体"/>
                      <w:b/>
                      <w:color w:val="auto"/>
                      <w:sz w:val="21"/>
                      <w:highlight w:val="none"/>
                    </w:rPr>
                    <w:t>分析结果</w:t>
                  </w:r>
                </w:p>
              </w:tc>
            </w:tr>
            <w:tr w14:paraId="08BD95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Align w:val="center"/>
                </w:tcPr>
                <w:p w14:paraId="32D48146">
                  <w:pPr>
                    <w:pStyle w:val="24"/>
                    <w:spacing w:line="240" w:lineRule="auto"/>
                    <w:rPr>
                      <w:color w:val="auto"/>
                      <w:highlight w:val="none"/>
                    </w:rPr>
                  </w:pPr>
                  <w:r>
                    <w:rPr>
                      <w:rFonts w:hint="eastAsia"/>
                      <w:color w:val="auto"/>
                      <w:highlight w:val="none"/>
                    </w:rPr>
                    <w:t>1</w:t>
                  </w:r>
                </w:p>
              </w:tc>
              <w:tc>
                <w:tcPr>
                  <w:tcW w:w="2206" w:type="pct"/>
                  <w:vAlign w:val="center"/>
                </w:tcPr>
                <w:p w14:paraId="0552E345">
                  <w:pPr>
                    <w:pStyle w:val="24"/>
                    <w:spacing w:line="240" w:lineRule="auto"/>
                    <w:rPr>
                      <w:color w:val="auto"/>
                      <w:highlight w:val="none"/>
                    </w:rPr>
                  </w:pPr>
                  <w:r>
                    <w:rPr>
                      <w:color w:val="auto"/>
                      <w:highlight w:val="none"/>
                    </w:rPr>
                    <w:t>建立生态环境分区管控机制</w:t>
                  </w:r>
                  <w:r>
                    <w:rPr>
                      <w:rFonts w:hint="eastAsia"/>
                      <w:color w:val="auto"/>
                      <w:highlight w:val="none"/>
                    </w:rPr>
                    <w:t>，</w:t>
                  </w:r>
                  <w:r>
                    <w:rPr>
                      <w:color w:val="auto"/>
                      <w:highlight w:val="none"/>
                    </w:rPr>
                    <w:t>强化“三线一单”生态环境分区管控的约束和政策引领</w:t>
                  </w:r>
                  <w:r>
                    <w:rPr>
                      <w:rFonts w:hint="eastAsia"/>
                      <w:color w:val="auto"/>
                      <w:highlight w:val="none"/>
                    </w:rPr>
                    <w:t>，</w:t>
                  </w:r>
                  <w:r>
                    <w:rPr>
                      <w:color w:val="auto"/>
                      <w:highlight w:val="none"/>
                    </w:rPr>
                    <w:t>应用于相关专项规划编制、产业政策制定、城镇建设、资源开发、建设项目选址、执法监管等方面</w:t>
                  </w:r>
                  <w:r>
                    <w:rPr>
                      <w:rFonts w:hint="eastAsia"/>
                      <w:color w:val="auto"/>
                      <w:highlight w:val="none"/>
                    </w:rPr>
                    <w:t>，</w:t>
                  </w:r>
                  <w:r>
                    <w:rPr>
                      <w:color w:val="auto"/>
                      <w:highlight w:val="none"/>
                    </w:rPr>
                    <w:t>健全完善“三线一单”分区管控、规划环评审查和建设项目环评审批联动机制</w:t>
                  </w:r>
                </w:p>
              </w:tc>
              <w:tc>
                <w:tcPr>
                  <w:tcW w:w="2096" w:type="pct"/>
                  <w:vAlign w:val="center"/>
                </w:tcPr>
                <w:p w14:paraId="6D29E585">
                  <w:pPr>
                    <w:pStyle w:val="24"/>
                    <w:spacing w:line="240" w:lineRule="auto"/>
                    <w:rPr>
                      <w:color w:val="auto"/>
                      <w:highlight w:val="none"/>
                    </w:rPr>
                  </w:pPr>
                  <w:r>
                    <w:rPr>
                      <w:rFonts w:hint="eastAsia"/>
                      <w:color w:val="auto"/>
                      <w:highlight w:val="none"/>
                    </w:rPr>
                    <w:t>项目已落实“三线一单”联动机制，</w:t>
                  </w:r>
                  <w:r>
                    <w:rPr>
                      <w:color w:val="auto"/>
                      <w:highlight w:val="none"/>
                    </w:rPr>
                    <w:t>项目属于</w:t>
                  </w:r>
                  <w:r>
                    <w:rPr>
                      <w:rFonts w:hint="eastAsia"/>
                      <w:color w:val="auto"/>
                      <w:highlight w:val="none"/>
                    </w:rPr>
                    <w:t>“重点管控单元”</w:t>
                  </w:r>
                  <w:r>
                    <w:rPr>
                      <w:color w:val="auto"/>
                      <w:highlight w:val="none"/>
                    </w:rPr>
                    <w:t>；环境管控单元编码为：</w:t>
                  </w:r>
                  <w:r>
                    <w:rPr>
                      <w:rFonts w:hint="eastAsia"/>
                      <w:color w:val="auto"/>
                      <w:highlight w:val="none"/>
                    </w:rPr>
                    <w:t>ZH21138120006，</w:t>
                  </w:r>
                  <w:r>
                    <w:rPr>
                      <w:color w:val="auto"/>
                      <w:highlight w:val="none"/>
                    </w:rPr>
                    <w:t>本项目严格落实</w:t>
                  </w:r>
                  <w:r>
                    <w:rPr>
                      <w:rFonts w:hint="eastAsia"/>
                      <w:color w:val="auto"/>
                      <w:highlight w:val="none"/>
                    </w:rPr>
                    <w:t>《朝阳市生态环境分区管控动态 更新方案(2023年)》的通告（朝环发</w:t>
                  </w:r>
                  <w:r>
                    <w:rPr>
                      <w:rFonts w:hint="eastAsia"/>
                      <w:color w:val="auto"/>
                      <w:highlight w:val="none"/>
                      <w:lang w:eastAsia="zh-CN"/>
                    </w:rPr>
                    <w:t>〔2024〕45号</w:t>
                  </w:r>
                  <w:r>
                    <w:rPr>
                      <w:rFonts w:hint="eastAsia"/>
                      <w:color w:val="auto"/>
                      <w:highlight w:val="none"/>
                    </w:rPr>
                    <w:t>）文件要求</w:t>
                  </w:r>
                </w:p>
              </w:tc>
              <w:tc>
                <w:tcPr>
                  <w:tcW w:w="411" w:type="pct"/>
                  <w:vAlign w:val="center"/>
                </w:tcPr>
                <w:p w14:paraId="637B0AAB">
                  <w:pPr>
                    <w:pStyle w:val="24"/>
                    <w:spacing w:line="240" w:lineRule="auto"/>
                    <w:rPr>
                      <w:color w:val="auto"/>
                      <w:highlight w:val="none"/>
                    </w:rPr>
                  </w:pPr>
                  <w:r>
                    <w:rPr>
                      <w:rFonts w:hint="eastAsia"/>
                      <w:color w:val="auto"/>
                      <w:highlight w:val="none"/>
                    </w:rPr>
                    <w:t>符合</w:t>
                  </w:r>
                </w:p>
              </w:tc>
            </w:tr>
            <w:tr w14:paraId="7E85FB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Align w:val="center"/>
                </w:tcPr>
                <w:p w14:paraId="5DDF1940">
                  <w:pPr>
                    <w:pStyle w:val="24"/>
                    <w:spacing w:line="240" w:lineRule="auto"/>
                    <w:rPr>
                      <w:color w:val="auto"/>
                      <w:highlight w:val="none"/>
                    </w:rPr>
                  </w:pPr>
                  <w:r>
                    <w:rPr>
                      <w:rFonts w:hint="eastAsia"/>
                      <w:color w:val="auto"/>
                      <w:highlight w:val="none"/>
                    </w:rPr>
                    <w:t>2</w:t>
                  </w:r>
                </w:p>
              </w:tc>
              <w:tc>
                <w:tcPr>
                  <w:tcW w:w="2206" w:type="pct"/>
                  <w:vAlign w:val="center"/>
                </w:tcPr>
                <w:p w14:paraId="35AC862B">
                  <w:pPr>
                    <w:pStyle w:val="24"/>
                    <w:spacing w:line="240" w:lineRule="auto"/>
                    <w:rPr>
                      <w:color w:val="auto"/>
                      <w:highlight w:val="none"/>
                    </w:rPr>
                  </w:pPr>
                  <w:r>
                    <w:rPr>
                      <w:color w:val="auto"/>
                      <w:highlight w:val="none"/>
                    </w:rPr>
                    <w:t>全面实行排污许可制</w:t>
                  </w:r>
                  <w:r>
                    <w:rPr>
                      <w:rFonts w:hint="eastAsia"/>
                      <w:color w:val="auto"/>
                      <w:highlight w:val="none"/>
                    </w:rPr>
                    <w:t>，</w:t>
                  </w:r>
                  <w:r>
                    <w:rPr>
                      <w:color w:val="auto"/>
                      <w:highlight w:val="none"/>
                    </w:rPr>
                    <w:t>落实排污许可“一证式”管理</w:t>
                  </w:r>
                  <w:r>
                    <w:rPr>
                      <w:rFonts w:hint="eastAsia"/>
                      <w:color w:val="auto"/>
                      <w:highlight w:val="none"/>
                    </w:rPr>
                    <w:t>，</w:t>
                  </w:r>
                  <w:r>
                    <w:rPr>
                      <w:color w:val="auto"/>
                      <w:highlight w:val="none"/>
                    </w:rPr>
                    <w:t>推进环境影响评价与排污许可融合</w:t>
                  </w:r>
                  <w:r>
                    <w:rPr>
                      <w:rFonts w:hint="eastAsia"/>
                      <w:color w:val="auto"/>
                      <w:highlight w:val="none"/>
                    </w:rPr>
                    <w:t>，</w:t>
                  </w:r>
                  <w:r>
                    <w:rPr>
                      <w:color w:val="auto"/>
                      <w:highlight w:val="none"/>
                    </w:rPr>
                    <w:t>推动总量控制、生态环境统计、生态环境监测、生态环境执法等管理制度衔接</w:t>
                  </w:r>
                  <w:r>
                    <w:rPr>
                      <w:rFonts w:hint="eastAsia"/>
                      <w:color w:val="auto"/>
                      <w:highlight w:val="none"/>
                    </w:rPr>
                    <w:t>，</w:t>
                  </w:r>
                  <w:r>
                    <w:rPr>
                      <w:color w:val="auto"/>
                      <w:highlight w:val="none"/>
                    </w:rPr>
                    <w:t>构建以排污许可制为核心的固定污染源监管制度体系</w:t>
                  </w:r>
                  <w:r>
                    <w:rPr>
                      <w:rFonts w:hint="eastAsia"/>
                      <w:color w:val="auto"/>
                      <w:highlight w:val="none"/>
                    </w:rPr>
                    <w:t>2023</w:t>
                  </w:r>
                  <w:r>
                    <w:rPr>
                      <w:color w:val="auto"/>
                      <w:highlight w:val="none"/>
                    </w:rPr>
                    <w:t>年底前</w:t>
                  </w:r>
                  <w:r>
                    <w:rPr>
                      <w:rFonts w:hint="eastAsia"/>
                      <w:color w:val="auto"/>
                      <w:highlight w:val="none"/>
                    </w:rPr>
                    <w:t>，</w:t>
                  </w:r>
                  <w:r>
                    <w:rPr>
                      <w:color w:val="auto"/>
                      <w:highlight w:val="none"/>
                    </w:rPr>
                    <w:t>实现排污许可证发放企业和登记管理企业复核全覆盖</w:t>
                  </w:r>
                </w:p>
              </w:tc>
              <w:tc>
                <w:tcPr>
                  <w:tcW w:w="2096" w:type="pct"/>
                  <w:vAlign w:val="center"/>
                </w:tcPr>
                <w:p w14:paraId="6FD832B9">
                  <w:pPr>
                    <w:pStyle w:val="24"/>
                    <w:spacing w:line="240" w:lineRule="auto"/>
                    <w:rPr>
                      <w:rFonts w:hint="eastAsia" w:eastAsiaTheme="minorEastAsia"/>
                      <w:color w:val="auto"/>
                      <w:highlight w:val="none"/>
                      <w:lang w:eastAsia="zh-CN"/>
                    </w:rPr>
                  </w:pPr>
                  <w:r>
                    <w:rPr>
                      <w:rFonts w:hint="eastAsia"/>
                      <w:color w:val="auto"/>
                      <w:szCs w:val="21"/>
                      <w:highlight w:val="none"/>
                    </w:rPr>
                    <w:t>北票发电有限责任公司</w:t>
                  </w:r>
                  <w:r>
                    <w:rPr>
                      <w:rFonts w:hint="eastAsia"/>
                      <w:color w:val="auto"/>
                      <w:highlight w:val="none"/>
                    </w:rPr>
                    <w:t>已取得排污许可证，待本项目发生实际排污前变更排污许可</w:t>
                  </w:r>
                  <w:r>
                    <w:rPr>
                      <w:rFonts w:hint="eastAsia"/>
                      <w:color w:val="auto"/>
                      <w:highlight w:val="none"/>
                      <w:lang w:eastAsia="zh-CN"/>
                    </w:rPr>
                    <w:t>证</w:t>
                  </w:r>
                </w:p>
              </w:tc>
              <w:tc>
                <w:tcPr>
                  <w:tcW w:w="411" w:type="pct"/>
                  <w:vAlign w:val="center"/>
                </w:tcPr>
                <w:p w14:paraId="4789829E">
                  <w:pPr>
                    <w:pStyle w:val="24"/>
                    <w:spacing w:line="240" w:lineRule="auto"/>
                    <w:rPr>
                      <w:color w:val="auto"/>
                      <w:highlight w:val="none"/>
                    </w:rPr>
                  </w:pPr>
                  <w:r>
                    <w:rPr>
                      <w:rFonts w:hint="eastAsia"/>
                      <w:color w:val="auto"/>
                      <w:highlight w:val="none"/>
                    </w:rPr>
                    <w:t>符合</w:t>
                  </w:r>
                </w:p>
              </w:tc>
            </w:tr>
            <w:tr w14:paraId="4D7EBB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Align w:val="center"/>
                </w:tcPr>
                <w:p w14:paraId="06C090AB">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3</w:t>
                  </w:r>
                </w:p>
              </w:tc>
              <w:tc>
                <w:tcPr>
                  <w:tcW w:w="2206" w:type="pct"/>
                  <w:vAlign w:val="center"/>
                </w:tcPr>
                <w:p w14:paraId="43719D90">
                  <w:pPr>
                    <w:pStyle w:val="24"/>
                    <w:spacing w:line="240" w:lineRule="auto"/>
                    <w:rPr>
                      <w:color w:val="auto"/>
                      <w:highlight w:val="none"/>
                    </w:rPr>
                  </w:pPr>
                  <w:r>
                    <w:rPr>
                      <w:rFonts w:hint="eastAsia"/>
                      <w:color w:val="auto"/>
                      <w:highlight w:val="none"/>
                    </w:rPr>
                    <w:t>推进城市大气环境质量达标及持续改善。落实城市政府大气污染防治主体责任，推进城市大气环境管理的精细化和科学化。</w:t>
                  </w:r>
                </w:p>
              </w:tc>
              <w:tc>
                <w:tcPr>
                  <w:tcW w:w="2096" w:type="pct"/>
                  <w:vAlign w:val="center"/>
                </w:tcPr>
                <w:p w14:paraId="6A5A4869">
                  <w:pPr>
                    <w:pStyle w:val="24"/>
                    <w:spacing w:line="240" w:lineRule="auto"/>
                    <w:rPr>
                      <w:rFonts w:hint="eastAsia"/>
                      <w:color w:val="auto"/>
                      <w:szCs w:val="21"/>
                      <w:highlight w:val="none"/>
                    </w:rPr>
                  </w:pPr>
                  <w:r>
                    <w:rPr>
                      <w:rFonts w:hint="eastAsia"/>
                      <w:color w:val="auto"/>
                      <w:szCs w:val="21"/>
                      <w:highlight w:val="none"/>
                    </w:rPr>
                    <w:t>本项目所在区域为环境空气质量</w:t>
                  </w:r>
                  <w:r>
                    <w:rPr>
                      <w:rFonts w:hint="eastAsia"/>
                      <w:color w:val="auto"/>
                      <w:szCs w:val="21"/>
                      <w:highlight w:val="none"/>
                      <w:lang w:val="en-US" w:eastAsia="zh-CN"/>
                    </w:rPr>
                    <w:t>2</w:t>
                  </w:r>
                  <w:r>
                    <w:rPr>
                      <w:rFonts w:hint="eastAsia"/>
                      <w:color w:val="auto"/>
                      <w:szCs w:val="21"/>
                      <w:highlight w:val="none"/>
                    </w:rPr>
                    <w:t>类达标区，项目在落实大气污染防治措施后，污染物排放不会对大气环境质量产生影响</w:t>
                  </w:r>
                </w:p>
              </w:tc>
              <w:tc>
                <w:tcPr>
                  <w:tcW w:w="411" w:type="pct"/>
                  <w:vAlign w:val="center"/>
                </w:tcPr>
                <w:p w14:paraId="370FBC53">
                  <w:pPr>
                    <w:pStyle w:val="24"/>
                    <w:spacing w:line="240" w:lineRule="auto"/>
                    <w:rPr>
                      <w:rFonts w:hint="eastAsia" w:eastAsiaTheme="minorEastAsia"/>
                      <w:color w:val="auto"/>
                      <w:highlight w:val="none"/>
                      <w:lang w:eastAsia="zh-CN"/>
                    </w:rPr>
                  </w:pPr>
                  <w:r>
                    <w:rPr>
                      <w:rFonts w:hint="eastAsia"/>
                      <w:color w:val="auto"/>
                      <w:highlight w:val="none"/>
                      <w:lang w:eastAsia="zh-CN"/>
                    </w:rPr>
                    <w:t>符合</w:t>
                  </w:r>
                </w:p>
              </w:tc>
            </w:tr>
            <w:tr w14:paraId="031FA4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Align w:val="center"/>
                </w:tcPr>
                <w:p w14:paraId="45C126AC">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4</w:t>
                  </w:r>
                </w:p>
              </w:tc>
              <w:tc>
                <w:tcPr>
                  <w:tcW w:w="2206" w:type="pct"/>
                  <w:vAlign w:val="center"/>
                </w:tcPr>
                <w:p w14:paraId="0C90B92F">
                  <w:pPr>
                    <w:pStyle w:val="24"/>
                    <w:spacing w:line="240" w:lineRule="auto"/>
                    <w:rPr>
                      <w:color w:val="auto"/>
                      <w:highlight w:val="none"/>
                    </w:rPr>
                  </w:pPr>
                  <w:r>
                    <w:rPr>
                      <w:rFonts w:hint="eastAsia"/>
                      <w:color w:val="auto"/>
                      <w:highlight w:val="none"/>
                    </w:rPr>
                    <w:t>大力推进重点行业VOCs治理。以石化、化工、包装印刷、工业涂装、家具制造及油品储运销等行业为重点，开展源头结构调整、污染深度治理和全过程精细化管理。</w:t>
                  </w:r>
                </w:p>
              </w:tc>
              <w:tc>
                <w:tcPr>
                  <w:tcW w:w="2096" w:type="pct"/>
                  <w:vAlign w:val="center"/>
                </w:tcPr>
                <w:p w14:paraId="18DA8C75">
                  <w:pPr>
                    <w:pStyle w:val="24"/>
                    <w:spacing w:line="240" w:lineRule="auto"/>
                    <w:rPr>
                      <w:rFonts w:hint="eastAsia"/>
                      <w:color w:val="auto"/>
                      <w:szCs w:val="21"/>
                      <w:highlight w:val="none"/>
                    </w:rPr>
                  </w:pPr>
                  <w:r>
                    <w:rPr>
                      <w:rFonts w:hint="eastAsia"/>
                      <w:color w:val="auto"/>
                      <w:szCs w:val="21"/>
                      <w:highlight w:val="none"/>
                    </w:rPr>
                    <w:t>本项目不属于石化、化工、包装印刷、工业涂装、家具制造及油品储运销等重点行业。项目产生的VOCs由符合要求的污染治理设施处理达标后排放</w:t>
                  </w:r>
                </w:p>
              </w:tc>
              <w:tc>
                <w:tcPr>
                  <w:tcW w:w="411" w:type="pct"/>
                  <w:vAlign w:val="center"/>
                </w:tcPr>
                <w:p w14:paraId="02A790EC">
                  <w:pPr>
                    <w:pStyle w:val="24"/>
                    <w:spacing w:line="240" w:lineRule="auto"/>
                    <w:rPr>
                      <w:rFonts w:hint="eastAsia" w:eastAsiaTheme="minorEastAsia"/>
                      <w:color w:val="auto"/>
                      <w:highlight w:val="none"/>
                      <w:lang w:eastAsia="zh-CN"/>
                    </w:rPr>
                  </w:pPr>
                  <w:r>
                    <w:rPr>
                      <w:rFonts w:hint="eastAsia"/>
                      <w:color w:val="auto"/>
                      <w:highlight w:val="none"/>
                      <w:lang w:eastAsia="zh-CN"/>
                    </w:rPr>
                    <w:t>符合</w:t>
                  </w:r>
                </w:p>
              </w:tc>
            </w:tr>
            <w:tr w14:paraId="2EA5F8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5" w:type="pct"/>
                  <w:vAlign w:val="center"/>
                </w:tcPr>
                <w:p w14:paraId="23777784">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5</w:t>
                  </w:r>
                </w:p>
              </w:tc>
              <w:tc>
                <w:tcPr>
                  <w:tcW w:w="2206" w:type="pct"/>
                  <w:vAlign w:val="center"/>
                </w:tcPr>
                <w:p w14:paraId="5AC1EFE1">
                  <w:pPr>
                    <w:pStyle w:val="24"/>
                    <w:spacing w:line="240" w:lineRule="auto"/>
                    <w:rPr>
                      <w:rFonts w:hint="eastAsia"/>
                      <w:color w:val="auto"/>
                      <w:highlight w:val="none"/>
                    </w:rPr>
                  </w:pPr>
                  <w:r>
                    <w:rPr>
                      <w:rFonts w:hint="eastAsia"/>
                      <w:color w:val="auto"/>
                      <w:highlight w:val="none"/>
                    </w:rPr>
                    <w:t>全面排查工业生产、建筑施工、交通运输和社会生活等领域的重点噪声排放源单位，依法严厉查处噪声排放超标扰民行为。</w:t>
                  </w:r>
                </w:p>
              </w:tc>
              <w:tc>
                <w:tcPr>
                  <w:tcW w:w="2096" w:type="pct"/>
                  <w:vAlign w:val="center"/>
                </w:tcPr>
                <w:p w14:paraId="770C8467">
                  <w:pPr>
                    <w:pStyle w:val="24"/>
                    <w:spacing w:line="240" w:lineRule="auto"/>
                    <w:rPr>
                      <w:rFonts w:hint="eastAsia"/>
                      <w:color w:val="auto"/>
                      <w:szCs w:val="21"/>
                      <w:highlight w:val="none"/>
                    </w:rPr>
                  </w:pPr>
                  <w:r>
                    <w:rPr>
                      <w:rFonts w:hint="eastAsia"/>
                      <w:color w:val="auto"/>
                      <w:szCs w:val="21"/>
                      <w:highlight w:val="none"/>
                    </w:rPr>
                    <w:t>本项目施工期、运行期均采取了相应减振降噪措施，可有效避免噪声排放超标现象</w:t>
                  </w:r>
                </w:p>
              </w:tc>
              <w:tc>
                <w:tcPr>
                  <w:tcW w:w="411" w:type="pct"/>
                  <w:vAlign w:val="center"/>
                </w:tcPr>
                <w:p w14:paraId="0ABD4E85">
                  <w:pPr>
                    <w:pStyle w:val="24"/>
                    <w:spacing w:line="240" w:lineRule="auto"/>
                    <w:rPr>
                      <w:rFonts w:hint="eastAsia"/>
                      <w:color w:val="auto"/>
                      <w:highlight w:val="none"/>
                      <w:lang w:eastAsia="zh-CN"/>
                    </w:rPr>
                  </w:pPr>
                  <w:r>
                    <w:rPr>
                      <w:rFonts w:hint="eastAsia"/>
                      <w:color w:val="auto"/>
                      <w:highlight w:val="none"/>
                      <w:lang w:eastAsia="zh-CN"/>
                    </w:rPr>
                    <w:t>符合</w:t>
                  </w:r>
                </w:p>
              </w:tc>
            </w:tr>
          </w:tbl>
          <w:p w14:paraId="778B2993">
            <w:pPr>
              <w:pStyle w:val="25"/>
              <w:bidi w:val="0"/>
              <w:rPr>
                <w:rFonts w:cs="Times New Roman"/>
                <w:color w:val="auto"/>
                <w:sz w:val="24"/>
                <w:szCs w:val="24"/>
                <w:highlight w:val="none"/>
              </w:rPr>
            </w:pPr>
            <w:r>
              <w:rPr>
                <w:rFonts w:hint="eastAsia" w:cs="Times New Roman"/>
                <w:color w:val="auto"/>
                <w:sz w:val="24"/>
                <w:szCs w:val="24"/>
                <w:highlight w:val="none"/>
              </w:rPr>
              <w:t>与《朝阳市“十四五”生态环境保护规划》符合性分析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8"/>
              <w:gridCol w:w="3947"/>
              <w:gridCol w:w="3206"/>
              <w:gridCol w:w="709"/>
            </w:tblGrid>
            <w:tr w14:paraId="13514B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8" w:type="pct"/>
                  <w:vAlign w:val="center"/>
                </w:tcPr>
                <w:p w14:paraId="25A51764">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序号</w:t>
                  </w:r>
                </w:p>
              </w:tc>
              <w:tc>
                <w:tcPr>
                  <w:tcW w:w="2415" w:type="pct"/>
                  <w:vAlign w:val="center"/>
                </w:tcPr>
                <w:p w14:paraId="22B51F52">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分析内容</w:t>
                  </w:r>
                </w:p>
              </w:tc>
              <w:tc>
                <w:tcPr>
                  <w:tcW w:w="1962" w:type="pct"/>
                  <w:vAlign w:val="center"/>
                </w:tcPr>
                <w:p w14:paraId="18E41C7D">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本项目情况</w:t>
                  </w:r>
                </w:p>
              </w:tc>
              <w:tc>
                <w:tcPr>
                  <w:tcW w:w="433" w:type="pct"/>
                  <w:vAlign w:val="center"/>
                </w:tcPr>
                <w:p w14:paraId="2F0896F3">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分析结果</w:t>
                  </w:r>
                </w:p>
              </w:tc>
            </w:tr>
            <w:tr w14:paraId="0DAE5A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8" w:type="pct"/>
                  <w:vAlign w:val="center"/>
                </w:tcPr>
                <w:p w14:paraId="4155A252">
                  <w:pPr>
                    <w:pStyle w:val="24"/>
                    <w:spacing w:line="240" w:lineRule="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1</w:t>
                  </w:r>
                </w:p>
              </w:tc>
              <w:tc>
                <w:tcPr>
                  <w:tcW w:w="2415" w:type="pct"/>
                  <w:vAlign w:val="center"/>
                </w:tcPr>
                <w:p w14:paraId="0450FA52">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深化污染防治工程，巩固大气环境质量改善成效推动铸造、陶瓷等重污染行业实施深度治理，推广全过程封闭生产，减少无组织排放，进一步提高污染物达标排放水平。着重开展工业企业无组织排放排查，建立管理台账，对物料（含废渣）运输、装卸和储存等无组织排放实施有效治理</w:t>
                  </w:r>
                </w:p>
              </w:tc>
              <w:tc>
                <w:tcPr>
                  <w:tcW w:w="1962" w:type="pct"/>
                  <w:vAlign w:val="center"/>
                </w:tcPr>
                <w:p w14:paraId="54C11711">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本项目废气主要是废油类及废油桶产生的无组织挥发性有机物，采用封闭车间+加盖密封贮存方式减少废气产生，同步在贮存点设置排风扇强化通风扩散。废气</w:t>
                  </w:r>
                  <w:r>
                    <w:rPr>
                      <w:rFonts w:hint="eastAsia" w:ascii="Times New Roman" w:hAnsi="Times New Roman" w:eastAsia="宋体" w:cs="Times New Roman"/>
                      <w:color w:val="auto"/>
                      <w:sz w:val="21"/>
                      <w:szCs w:val="21"/>
                      <w:highlight w:val="none"/>
                    </w:rPr>
                    <w:t>污染物的无组织排放都实施了有效治理</w:t>
                  </w:r>
                </w:p>
              </w:tc>
              <w:tc>
                <w:tcPr>
                  <w:tcW w:w="433" w:type="pct"/>
                  <w:vAlign w:val="center"/>
                </w:tcPr>
                <w:p w14:paraId="7D91BDAF">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eastAsia="zh-CN"/>
                    </w:rPr>
                    <w:t>符合</w:t>
                  </w:r>
                </w:p>
              </w:tc>
            </w:tr>
            <w:tr w14:paraId="4B8EEF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8" w:type="pct"/>
                  <w:vAlign w:val="center"/>
                </w:tcPr>
                <w:p w14:paraId="381DA759">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val="en-US" w:eastAsia="zh-CN"/>
                    </w:rPr>
                    <w:t>2</w:t>
                  </w:r>
                </w:p>
              </w:tc>
              <w:tc>
                <w:tcPr>
                  <w:tcW w:w="2415" w:type="pct"/>
                  <w:vAlign w:val="center"/>
                </w:tcPr>
                <w:p w14:paraId="29B5F270">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推进三水共治战略，持续改善水生态环境质量。以水生态建设保护为突破口，强化流域控制单元管理，实行湿地建设、河道综合整治、生态修复（封育）多措并举，推动形成水生态涵养水资源，水资源滋润水环境，水环境健康水生态，统筹改善水生态环境，逐步实现“有河有水，有鱼有草，人水和谐”的目标。</w:t>
                  </w:r>
                </w:p>
              </w:tc>
              <w:tc>
                <w:tcPr>
                  <w:tcW w:w="1962" w:type="pct"/>
                  <w:vAlign w:val="center"/>
                </w:tcPr>
                <w:p w14:paraId="0491F7E3">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项目无生产废水产生及排放；本项目员工为原有职工调配，不新增职工，无新增生活污水</w:t>
                  </w:r>
                </w:p>
              </w:tc>
              <w:tc>
                <w:tcPr>
                  <w:tcW w:w="433" w:type="pct"/>
                  <w:vAlign w:val="center"/>
                </w:tcPr>
                <w:p w14:paraId="74A9F561">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r w14:paraId="5F3549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8" w:type="pct"/>
                  <w:vAlign w:val="center"/>
                </w:tcPr>
                <w:p w14:paraId="4CF475DA">
                  <w:pPr>
                    <w:pStyle w:val="24"/>
                    <w:spacing w:line="240" w:lineRule="auto"/>
                    <w:rPr>
                      <w:rFonts w:ascii="Times New Roman" w:hAnsi="Times New Roman" w:eastAsia="宋体" w:cs="Times New Roman"/>
                      <w:color w:val="auto"/>
                      <w:sz w:val="21"/>
                      <w:szCs w:val="21"/>
                      <w:highlight w:val="none"/>
                    </w:rPr>
                  </w:pPr>
                  <w:r>
                    <w:rPr>
                      <w:rFonts w:hint="eastAsia" w:eastAsia="宋体" w:cs="Times New Roman"/>
                      <w:color w:val="auto"/>
                      <w:sz w:val="21"/>
                      <w:szCs w:val="21"/>
                      <w:highlight w:val="none"/>
                      <w:lang w:val="en-US" w:eastAsia="zh-CN"/>
                    </w:rPr>
                    <w:t>3</w:t>
                  </w:r>
                </w:p>
              </w:tc>
              <w:tc>
                <w:tcPr>
                  <w:tcW w:w="2415" w:type="pct"/>
                  <w:vAlign w:val="center"/>
                </w:tcPr>
                <w:p w14:paraId="3EF45915">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加强土壤污染防治，保障土壤环境安全。建立工业企业地下水影响分级管理体系，加强石化、黑色金属冶炼及压延加工业等排放重金属和其他有毒有害污染物的重点工业行业地下水环境监管，采取防控措施有效降低地下水污染风险。向社会公布地下水污染地块清单，加强信息公开和风险管控，推进地下水污染修复试点工作</w:t>
                  </w:r>
                </w:p>
              </w:tc>
              <w:tc>
                <w:tcPr>
                  <w:tcW w:w="1962" w:type="pct"/>
                  <w:vAlign w:val="center"/>
                </w:tcPr>
                <w:p w14:paraId="02272506">
                  <w:pPr>
                    <w:pStyle w:val="24"/>
                    <w:spacing w:line="240" w:lineRule="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本项目用地现状为工业用地。</w:t>
                  </w:r>
                  <w:r>
                    <w:rPr>
                      <w:rFonts w:hint="eastAsia" w:eastAsia="宋体" w:cs="Times New Roman"/>
                      <w:color w:val="auto"/>
                      <w:sz w:val="21"/>
                      <w:szCs w:val="21"/>
                      <w:highlight w:val="none"/>
                      <w:lang w:eastAsia="zh-CN"/>
                    </w:rPr>
                    <w:t>根据区域环境质量现状监测结果，</w:t>
                  </w:r>
                  <w:r>
                    <w:rPr>
                      <w:rFonts w:hint="eastAsia" w:ascii="Times New Roman" w:hAnsi="Times New Roman" w:eastAsia="宋体" w:cs="Times New Roman"/>
                      <w:color w:val="auto"/>
                      <w:sz w:val="21"/>
                      <w:szCs w:val="21"/>
                      <w:highlight w:val="none"/>
                    </w:rPr>
                    <w:t>项目</w:t>
                  </w:r>
                  <w:r>
                    <w:rPr>
                      <w:rFonts w:hint="eastAsia" w:eastAsia="宋体" w:cs="Times New Roman"/>
                      <w:color w:val="auto"/>
                      <w:sz w:val="21"/>
                      <w:szCs w:val="21"/>
                      <w:highlight w:val="none"/>
                      <w:lang w:eastAsia="zh-CN"/>
                    </w:rPr>
                    <w:t>所在地</w:t>
                  </w:r>
                  <w:r>
                    <w:rPr>
                      <w:rFonts w:hint="eastAsia" w:ascii="Times New Roman" w:hAnsi="Times New Roman" w:eastAsia="宋体" w:cs="Times New Roman"/>
                      <w:color w:val="auto"/>
                      <w:sz w:val="21"/>
                      <w:szCs w:val="21"/>
                      <w:highlight w:val="none"/>
                    </w:rPr>
                    <w:t>无土壤污染。</w:t>
                  </w:r>
                </w:p>
                <w:p w14:paraId="357B2F47">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项目将严格落实“分区防渗”措施，可有效防止土壤和地下水污染</w:t>
                  </w:r>
                </w:p>
              </w:tc>
              <w:tc>
                <w:tcPr>
                  <w:tcW w:w="433" w:type="pct"/>
                  <w:vAlign w:val="center"/>
                </w:tcPr>
                <w:p w14:paraId="5C3500B2">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r w14:paraId="06A117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8" w:type="pct"/>
                  <w:vAlign w:val="center"/>
                </w:tcPr>
                <w:p w14:paraId="2832521E">
                  <w:pPr>
                    <w:pStyle w:val="24"/>
                    <w:spacing w:line="240" w:lineRule="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4</w:t>
                  </w:r>
                </w:p>
              </w:tc>
              <w:tc>
                <w:tcPr>
                  <w:tcW w:w="2415" w:type="pct"/>
                  <w:vAlign w:val="center"/>
                </w:tcPr>
                <w:p w14:paraId="4C63DC97">
                  <w:pPr>
                    <w:pStyle w:val="24"/>
                    <w:spacing w:line="240" w:lineRule="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加强生态环境风险防控，严守生态环境底线。建立以预防为主的环境风险管理机制，健全完善突发环境事件的应急处置机制制度，强化危险废物、工业园区和危化品企业监管，推进“无废城市”建设，防范“京津冀”产业转移污染风险，切实将生态环境风险降到最低。</w:t>
                  </w:r>
                </w:p>
              </w:tc>
              <w:tc>
                <w:tcPr>
                  <w:tcW w:w="1962" w:type="pct"/>
                  <w:vAlign w:val="center"/>
                </w:tcPr>
                <w:p w14:paraId="1E74467D">
                  <w:pPr>
                    <w:pStyle w:val="24"/>
                    <w:spacing w:line="240" w:lineRule="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本项目建立以预防为主的环境风险管理机制，</w:t>
                  </w:r>
                  <w:r>
                    <w:rPr>
                      <w:rFonts w:hint="eastAsia"/>
                      <w:color w:val="auto"/>
                      <w:highlight w:val="none"/>
                    </w:rPr>
                    <w:t>本项目建成后，建设单位应当及时修订突发环境事件应急预案</w:t>
                  </w:r>
                  <w:r>
                    <w:rPr>
                      <w:rFonts w:hint="eastAsia" w:ascii="Times New Roman" w:hAnsi="Times New Roman" w:eastAsia="宋体" w:cs="Times New Roman"/>
                      <w:color w:val="auto"/>
                      <w:sz w:val="21"/>
                      <w:szCs w:val="21"/>
                      <w:highlight w:val="none"/>
                      <w:lang w:eastAsia="zh-CN"/>
                    </w:rPr>
                    <w:t>。本项目</w:t>
                  </w:r>
                  <w:r>
                    <w:rPr>
                      <w:rFonts w:hint="eastAsia" w:ascii="Times New Roman" w:hAnsi="Times New Roman" w:eastAsia="宋体" w:cs="Times New Roman"/>
                      <w:color w:val="auto"/>
                      <w:sz w:val="21"/>
                      <w:szCs w:val="21"/>
                      <w:highlight w:val="none"/>
                    </w:rPr>
                    <w:t>危险废物均加盖密封贮存，在危废点内铺设防腐防渗层，并设置耐酸耐腐蚀的导流沟和集液池截留事故废液。本项目配套符合国家规定的应急救援设施、消防设施等防护措施。危险废物贮存点必须设有明显的禁火标志。切实将生态环境风险降到最低</w:t>
                  </w:r>
                </w:p>
              </w:tc>
              <w:tc>
                <w:tcPr>
                  <w:tcW w:w="433" w:type="pct"/>
                  <w:vAlign w:val="center"/>
                </w:tcPr>
                <w:p w14:paraId="775BBCC1">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eastAsia="zh-CN"/>
                    </w:rPr>
                    <w:t>符合</w:t>
                  </w:r>
                </w:p>
              </w:tc>
            </w:tr>
          </w:tbl>
          <w:p w14:paraId="15B827A5">
            <w:pPr>
              <w:pStyle w:val="25"/>
              <w:bidi w:val="0"/>
              <w:rPr>
                <w:rFonts w:cs="Times New Roman"/>
                <w:color w:val="auto"/>
                <w:sz w:val="24"/>
                <w:szCs w:val="24"/>
                <w:highlight w:val="none"/>
              </w:rPr>
            </w:pPr>
            <w:r>
              <w:rPr>
                <w:rFonts w:hint="eastAsia" w:cs="Times New Roman"/>
                <w:color w:val="auto"/>
                <w:sz w:val="24"/>
                <w:szCs w:val="24"/>
                <w:highlight w:val="none"/>
              </w:rPr>
              <w:t>与《“十四五”噪声污染防治行动计划》符合性分析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0"/>
              <w:gridCol w:w="4395"/>
              <w:gridCol w:w="2753"/>
              <w:gridCol w:w="682"/>
            </w:tblGrid>
            <w:tr w14:paraId="427260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8" w:type="pct"/>
                  <w:vAlign w:val="center"/>
                </w:tcPr>
                <w:p w14:paraId="51D1325E">
                  <w:pPr>
                    <w:pStyle w:val="27"/>
                    <w:spacing w:line="240" w:lineRule="auto"/>
                    <w:rPr>
                      <w:rFonts w:hint="default"/>
                      <w:color w:val="auto"/>
                      <w:highlight w:val="none"/>
                    </w:rPr>
                  </w:pPr>
                  <w:r>
                    <w:rPr>
                      <w:rFonts w:eastAsia="宋体"/>
                      <w:b/>
                      <w:color w:val="auto"/>
                      <w:sz w:val="21"/>
                      <w:highlight w:val="none"/>
                    </w:rPr>
                    <w:t>序号</w:t>
                  </w:r>
                </w:p>
              </w:tc>
              <w:tc>
                <w:tcPr>
                  <w:tcW w:w="2689" w:type="pct"/>
                  <w:vAlign w:val="center"/>
                </w:tcPr>
                <w:p w14:paraId="781083CF">
                  <w:pPr>
                    <w:pStyle w:val="27"/>
                    <w:spacing w:line="240" w:lineRule="auto"/>
                    <w:rPr>
                      <w:rFonts w:hint="default"/>
                      <w:color w:val="auto"/>
                      <w:highlight w:val="none"/>
                    </w:rPr>
                  </w:pPr>
                  <w:r>
                    <w:rPr>
                      <w:rFonts w:eastAsia="宋体"/>
                      <w:b/>
                      <w:color w:val="auto"/>
                      <w:sz w:val="21"/>
                      <w:highlight w:val="none"/>
                    </w:rPr>
                    <w:t>分析内容</w:t>
                  </w:r>
                </w:p>
              </w:tc>
              <w:tc>
                <w:tcPr>
                  <w:tcW w:w="1684" w:type="pct"/>
                  <w:vAlign w:val="center"/>
                </w:tcPr>
                <w:p w14:paraId="137F4ED2">
                  <w:pPr>
                    <w:pStyle w:val="27"/>
                    <w:spacing w:line="240" w:lineRule="auto"/>
                    <w:rPr>
                      <w:rFonts w:hint="default"/>
                      <w:color w:val="auto"/>
                      <w:highlight w:val="none"/>
                    </w:rPr>
                  </w:pPr>
                  <w:r>
                    <w:rPr>
                      <w:rFonts w:eastAsia="宋体"/>
                      <w:b/>
                      <w:color w:val="auto"/>
                      <w:sz w:val="21"/>
                      <w:highlight w:val="none"/>
                    </w:rPr>
                    <w:t>本项目情况</w:t>
                  </w:r>
                </w:p>
              </w:tc>
              <w:tc>
                <w:tcPr>
                  <w:tcW w:w="417" w:type="pct"/>
                  <w:vAlign w:val="center"/>
                </w:tcPr>
                <w:p w14:paraId="528AEB96">
                  <w:pPr>
                    <w:pStyle w:val="27"/>
                    <w:spacing w:line="240" w:lineRule="auto"/>
                    <w:rPr>
                      <w:rFonts w:hint="default"/>
                      <w:color w:val="auto"/>
                      <w:highlight w:val="none"/>
                    </w:rPr>
                  </w:pPr>
                  <w:r>
                    <w:rPr>
                      <w:rFonts w:eastAsia="宋体"/>
                      <w:b/>
                      <w:color w:val="auto"/>
                      <w:sz w:val="21"/>
                      <w:highlight w:val="none"/>
                    </w:rPr>
                    <w:t>分析结果</w:t>
                  </w:r>
                </w:p>
              </w:tc>
            </w:tr>
            <w:tr w14:paraId="15FD5C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8" w:type="pct"/>
                  <w:vAlign w:val="center"/>
                </w:tcPr>
                <w:p w14:paraId="1B3EEFC7">
                  <w:pPr>
                    <w:pStyle w:val="24"/>
                    <w:spacing w:line="240" w:lineRule="auto"/>
                    <w:rPr>
                      <w:color w:val="auto"/>
                      <w:highlight w:val="none"/>
                    </w:rPr>
                  </w:pPr>
                  <w:r>
                    <w:rPr>
                      <w:rFonts w:hint="eastAsia"/>
                      <w:color w:val="auto"/>
                      <w:highlight w:val="none"/>
                    </w:rPr>
                    <w:t>1</w:t>
                  </w:r>
                </w:p>
              </w:tc>
              <w:tc>
                <w:tcPr>
                  <w:tcW w:w="2689" w:type="pct"/>
                  <w:vAlign w:val="center"/>
                </w:tcPr>
                <w:p w14:paraId="6465564A">
                  <w:pPr>
                    <w:pStyle w:val="24"/>
                    <w:spacing w:line="240" w:lineRule="auto"/>
                    <w:rPr>
                      <w:color w:val="auto"/>
                      <w:highlight w:val="none"/>
                    </w:rPr>
                  </w:pPr>
                  <w:r>
                    <w:rPr>
                      <w:color w:val="auto"/>
                      <w:highlight w:val="none"/>
                    </w:rPr>
                    <w:t>严格落实噪声污染防治要求。制定修改相关规划、建设对环境有影响的项目时</w:t>
                  </w:r>
                  <w:r>
                    <w:rPr>
                      <w:rFonts w:hint="eastAsia"/>
                      <w:color w:val="auto"/>
                      <w:highlight w:val="none"/>
                    </w:rPr>
                    <w:t>，</w:t>
                  </w:r>
                  <w:r>
                    <w:rPr>
                      <w:color w:val="auto"/>
                      <w:highlight w:val="none"/>
                    </w:rPr>
                    <w:t>应依法开展环评</w:t>
                  </w:r>
                  <w:r>
                    <w:rPr>
                      <w:rFonts w:hint="eastAsia"/>
                      <w:color w:val="auto"/>
                      <w:highlight w:val="none"/>
                    </w:rPr>
                    <w:t>，</w:t>
                  </w:r>
                  <w:r>
                    <w:rPr>
                      <w:color w:val="auto"/>
                      <w:highlight w:val="none"/>
                    </w:rPr>
                    <w:t>对可能产生噪声与振动的影响进行分析、预测和评估</w:t>
                  </w:r>
                  <w:r>
                    <w:rPr>
                      <w:rFonts w:hint="eastAsia"/>
                      <w:color w:val="auto"/>
                      <w:highlight w:val="none"/>
                    </w:rPr>
                    <w:t>，</w:t>
                  </w:r>
                  <w:r>
                    <w:rPr>
                      <w:color w:val="auto"/>
                      <w:highlight w:val="none"/>
                    </w:rPr>
                    <w:t>积极采取噪声污染防治对策措施。建设项目的噪声污染防治设施应当与主体工程同时设计、同时施工、同时投产使用。督促建设单位依法开展竣工环境保护验收</w:t>
                  </w:r>
                  <w:r>
                    <w:rPr>
                      <w:rFonts w:hint="eastAsia"/>
                      <w:color w:val="auto"/>
                      <w:highlight w:val="none"/>
                    </w:rPr>
                    <w:t>，</w:t>
                  </w:r>
                  <w:r>
                    <w:rPr>
                      <w:color w:val="auto"/>
                      <w:highlight w:val="none"/>
                    </w:rPr>
                    <w:t>加大事中事后监管力度</w:t>
                  </w:r>
                  <w:r>
                    <w:rPr>
                      <w:rFonts w:hint="eastAsia"/>
                      <w:color w:val="auto"/>
                      <w:highlight w:val="none"/>
                    </w:rPr>
                    <w:t>，</w:t>
                  </w:r>
                  <w:r>
                    <w:rPr>
                      <w:color w:val="auto"/>
                      <w:highlight w:val="none"/>
                    </w:rPr>
                    <w:t>确保各项措施落地见效</w:t>
                  </w:r>
                </w:p>
              </w:tc>
              <w:tc>
                <w:tcPr>
                  <w:tcW w:w="1684" w:type="pct"/>
                  <w:vAlign w:val="center"/>
                </w:tcPr>
                <w:p w14:paraId="737BFD7D">
                  <w:pPr>
                    <w:pStyle w:val="24"/>
                    <w:spacing w:line="240" w:lineRule="auto"/>
                    <w:rPr>
                      <w:rFonts w:hint="eastAsia" w:eastAsiaTheme="minorEastAsia"/>
                      <w:color w:val="auto"/>
                      <w:highlight w:val="none"/>
                      <w:lang w:eastAsia="zh-CN"/>
                    </w:rPr>
                  </w:pPr>
                  <w:r>
                    <w:rPr>
                      <w:rFonts w:hint="eastAsia"/>
                      <w:color w:val="auto"/>
                      <w:highlight w:val="none"/>
                    </w:rPr>
                    <w:t>本项目通过选用低噪声设备、基础减振等措施减少噪声排放，本项目通过采取一系列降噪措施可以达</w:t>
                  </w:r>
                  <w:r>
                    <w:rPr>
                      <w:rFonts w:hint="eastAsia"/>
                      <w:color w:val="auto"/>
                      <w:highlight w:val="none"/>
                      <w:lang w:eastAsia="zh-CN"/>
                    </w:rPr>
                    <w:t>标排放</w:t>
                  </w:r>
                </w:p>
              </w:tc>
              <w:tc>
                <w:tcPr>
                  <w:tcW w:w="417" w:type="pct"/>
                  <w:vAlign w:val="center"/>
                </w:tcPr>
                <w:p w14:paraId="106C7E34">
                  <w:pPr>
                    <w:pStyle w:val="24"/>
                    <w:spacing w:line="240" w:lineRule="auto"/>
                    <w:rPr>
                      <w:color w:val="auto"/>
                      <w:highlight w:val="none"/>
                    </w:rPr>
                  </w:pPr>
                  <w:r>
                    <w:rPr>
                      <w:rFonts w:hint="eastAsia"/>
                      <w:color w:val="auto"/>
                      <w:highlight w:val="none"/>
                    </w:rPr>
                    <w:t>符合</w:t>
                  </w:r>
                </w:p>
              </w:tc>
            </w:tr>
            <w:tr w14:paraId="04D114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8" w:type="pct"/>
                  <w:vAlign w:val="center"/>
                </w:tcPr>
                <w:p w14:paraId="6120B874">
                  <w:pPr>
                    <w:pStyle w:val="24"/>
                    <w:spacing w:line="240" w:lineRule="auto"/>
                    <w:rPr>
                      <w:color w:val="auto"/>
                      <w:highlight w:val="none"/>
                    </w:rPr>
                  </w:pPr>
                  <w:r>
                    <w:rPr>
                      <w:rFonts w:hint="eastAsia"/>
                      <w:color w:val="auto"/>
                      <w:highlight w:val="none"/>
                    </w:rPr>
                    <w:t>2</w:t>
                  </w:r>
                </w:p>
              </w:tc>
              <w:tc>
                <w:tcPr>
                  <w:tcW w:w="2689" w:type="pct"/>
                  <w:vAlign w:val="center"/>
                </w:tcPr>
                <w:p w14:paraId="0BB04632">
                  <w:pPr>
                    <w:pStyle w:val="24"/>
                    <w:spacing w:line="240" w:lineRule="auto"/>
                    <w:rPr>
                      <w:color w:val="auto"/>
                      <w:highlight w:val="none"/>
                    </w:rPr>
                  </w:pPr>
                  <w:r>
                    <w:rPr>
                      <w:color w:val="auto"/>
                      <w:highlight w:val="none"/>
                    </w:rPr>
                    <w:t>推进工业噪声实施排污许可和重点排污单位管理。发布工业噪声排污许可证申请与核发技术规范</w:t>
                  </w:r>
                  <w:r>
                    <w:rPr>
                      <w:rFonts w:hint="eastAsia"/>
                      <w:color w:val="auto"/>
                      <w:highlight w:val="none"/>
                    </w:rPr>
                    <w:t>，</w:t>
                  </w:r>
                  <w:r>
                    <w:rPr>
                      <w:color w:val="auto"/>
                      <w:highlight w:val="none"/>
                    </w:rPr>
                    <w:t>依法核发排污许可证或进行排污登记</w:t>
                  </w:r>
                  <w:r>
                    <w:rPr>
                      <w:rFonts w:hint="eastAsia"/>
                      <w:color w:val="auto"/>
                      <w:highlight w:val="none"/>
                    </w:rPr>
                    <w:t>，</w:t>
                  </w:r>
                  <w:r>
                    <w:rPr>
                      <w:color w:val="auto"/>
                      <w:highlight w:val="none"/>
                    </w:rPr>
                    <w:t>并加强监管；实行排污许可管理的单位依证排污</w:t>
                  </w:r>
                  <w:r>
                    <w:rPr>
                      <w:rFonts w:hint="eastAsia"/>
                      <w:color w:val="auto"/>
                      <w:highlight w:val="none"/>
                    </w:rPr>
                    <w:t>，</w:t>
                  </w:r>
                  <w:r>
                    <w:rPr>
                      <w:color w:val="auto"/>
                      <w:highlight w:val="none"/>
                    </w:rPr>
                    <w:t>按照规定开展自行监测并向社会公开</w:t>
                  </w:r>
                </w:p>
              </w:tc>
              <w:tc>
                <w:tcPr>
                  <w:tcW w:w="1684" w:type="pct"/>
                  <w:vAlign w:val="center"/>
                </w:tcPr>
                <w:p w14:paraId="0FD32446">
                  <w:pPr>
                    <w:pStyle w:val="24"/>
                    <w:spacing w:line="240" w:lineRule="auto"/>
                    <w:rPr>
                      <w:color w:val="auto"/>
                      <w:highlight w:val="none"/>
                    </w:rPr>
                  </w:pPr>
                  <w:r>
                    <w:rPr>
                      <w:rFonts w:hint="eastAsia"/>
                      <w:color w:val="auto"/>
                      <w:szCs w:val="21"/>
                      <w:highlight w:val="none"/>
                    </w:rPr>
                    <w:t>北票发电有限责任公司</w:t>
                  </w:r>
                  <w:r>
                    <w:rPr>
                      <w:rFonts w:hint="eastAsia"/>
                      <w:color w:val="auto"/>
                      <w:highlight w:val="none"/>
                    </w:rPr>
                    <w:t>已取得排污许可证，待本项目发生实际排污前变更排污许可</w:t>
                  </w:r>
                  <w:r>
                    <w:rPr>
                      <w:rFonts w:hint="eastAsia"/>
                      <w:color w:val="auto"/>
                      <w:highlight w:val="none"/>
                      <w:lang w:eastAsia="zh-CN"/>
                    </w:rPr>
                    <w:t>证</w:t>
                  </w:r>
                  <w:r>
                    <w:rPr>
                      <w:rFonts w:hint="eastAsia"/>
                      <w:color w:val="auto"/>
                      <w:highlight w:val="none"/>
                    </w:rPr>
                    <w:t>，排污许可证落实噪声排污管理</w:t>
                  </w:r>
                </w:p>
              </w:tc>
              <w:tc>
                <w:tcPr>
                  <w:tcW w:w="417" w:type="pct"/>
                  <w:vAlign w:val="center"/>
                </w:tcPr>
                <w:p w14:paraId="7D3439F5">
                  <w:pPr>
                    <w:pStyle w:val="24"/>
                    <w:spacing w:line="240" w:lineRule="auto"/>
                    <w:rPr>
                      <w:color w:val="auto"/>
                      <w:highlight w:val="none"/>
                    </w:rPr>
                  </w:pPr>
                  <w:r>
                    <w:rPr>
                      <w:rFonts w:hint="eastAsia"/>
                      <w:color w:val="auto"/>
                      <w:highlight w:val="none"/>
                    </w:rPr>
                    <w:t>符合</w:t>
                  </w:r>
                </w:p>
              </w:tc>
            </w:tr>
          </w:tbl>
          <w:p w14:paraId="60CD2DC3">
            <w:pPr>
              <w:bidi w:val="0"/>
              <w:rPr>
                <w:color w:val="auto"/>
                <w:highlight w:val="none"/>
              </w:rPr>
            </w:pPr>
            <w:r>
              <w:rPr>
                <w:color w:val="auto"/>
                <w:highlight w:val="none"/>
              </w:rPr>
              <w:t>综上所述</w:t>
            </w:r>
            <w:r>
              <w:rPr>
                <w:rFonts w:hint="eastAsia"/>
                <w:color w:val="auto"/>
                <w:highlight w:val="none"/>
              </w:rPr>
              <w:t>，</w:t>
            </w:r>
            <w:r>
              <w:rPr>
                <w:color w:val="auto"/>
                <w:highlight w:val="none"/>
              </w:rPr>
              <w:t>本项目</w:t>
            </w:r>
            <w:r>
              <w:rPr>
                <w:rFonts w:hint="eastAsia"/>
                <w:color w:val="auto"/>
                <w:highlight w:val="none"/>
              </w:rPr>
              <w:t>均符合以上政策</w:t>
            </w:r>
            <w:r>
              <w:rPr>
                <w:color w:val="auto"/>
                <w:highlight w:val="none"/>
              </w:rPr>
              <w:t>。</w:t>
            </w:r>
          </w:p>
          <w:p w14:paraId="52935F69">
            <w:pPr>
              <w:bidi w:val="0"/>
              <w:rPr>
                <w:rFonts w:hint="default"/>
                <w:b/>
                <w:bCs/>
                <w:color w:val="auto"/>
                <w:highlight w:val="none"/>
              </w:rPr>
            </w:pPr>
            <w:r>
              <w:rPr>
                <w:b/>
                <w:bCs/>
                <w:color w:val="auto"/>
                <w:highlight w:val="none"/>
              </w:rPr>
              <w:t>4与朝阳市“三线一单”符合性分析</w:t>
            </w:r>
          </w:p>
          <w:p w14:paraId="632C8E60">
            <w:pPr>
              <w:bidi w:val="0"/>
              <w:rPr>
                <w:color w:val="auto"/>
                <w:highlight w:val="none"/>
              </w:rPr>
            </w:pPr>
            <w:r>
              <w:rPr>
                <w:rFonts w:hint="eastAsia"/>
                <w:color w:val="auto"/>
                <w:highlight w:val="none"/>
              </w:rPr>
              <w:t>根据《关于以改善环境质量为核心加强环境影响评价管理的通知》（环环评〔2016〕150号），为适应以改善环境质量为核心的环境管理要求，切实加强环境影响评价管理，落实“生态保护红线、环境质量底线、资源利用上线和生态环境准入清单”（以下简称“三线一单”）约束，建立项目环评审批与规划环评、现有项目环境管理、区域环境质量联动机制，更好地发挥环评制度从源头防范环境污染和生态破坏的作用，加快推进改善环境质量。</w:t>
            </w:r>
          </w:p>
          <w:p w14:paraId="3BD91036">
            <w:pPr>
              <w:bidi w:val="0"/>
              <w:rPr>
                <w:rFonts w:hint="eastAsia"/>
                <w:color w:val="auto"/>
                <w:highlight w:val="none"/>
              </w:rPr>
            </w:pPr>
            <w:r>
              <w:rPr>
                <w:rFonts w:hint="eastAsia"/>
                <w:color w:val="auto"/>
                <w:highlight w:val="none"/>
              </w:rPr>
              <w:t>根据《朝阳市生态环境分区管控动态 更新方案(2023年)》的通告（朝环发</w:t>
            </w:r>
            <w:r>
              <w:rPr>
                <w:rFonts w:hint="eastAsia"/>
                <w:color w:val="auto"/>
                <w:highlight w:val="none"/>
                <w:lang w:eastAsia="zh-CN"/>
              </w:rPr>
              <w:t>〔2024〕45号</w:t>
            </w:r>
            <w:r>
              <w:rPr>
                <w:rFonts w:hint="eastAsia"/>
                <w:color w:val="auto"/>
                <w:highlight w:val="none"/>
              </w:rPr>
              <w:t>）文件，本项目属于“重点管控单元”，环境管控单元编码为：ZH21138120006，</w:t>
            </w:r>
            <w:r>
              <w:rPr>
                <w:rFonts w:hint="eastAsia"/>
                <w:color w:val="auto"/>
                <w:highlight w:val="none"/>
                <w:lang w:eastAsia="zh-CN"/>
              </w:rPr>
              <w:t>项目</w:t>
            </w:r>
            <w:r>
              <w:rPr>
                <w:rFonts w:hint="eastAsia"/>
                <w:color w:val="auto"/>
                <w:highlight w:val="none"/>
              </w:rPr>
              <w:t>与“三线一单”及《朝阳市生态环境分区管控动态更新方案</w:t>
            </w:r>
            <w:r>
              <w:rPr>
                <w:rFonts w:hint="eastAsia"/>
                <w:color w:val="auto"/>
                <w:highlight w:val="none"/>
                <w:lang w:eastAsia="zh-CN"/>
              </w:rPr>
              <w:t>（</w:t>
            </w:r>
            <w:r>
              <w:rPr>
                <w:rFonts w:hint="eastAsia"/>
                <w:color w:val="auto"/>
                <w:highlight w:val="none"/>
              </w:rPr>
              <w:t>2023年</w:t>
            </w:r>
            <w:r>
              <w:rPr>
                <w:rFonts w:hint="eastAsia"/>
                <w:color w:val="auto"/>
                <w:highlight w:val="none"/>
                <w:lang w:eastAsia="zh-CN"/>
              </w:rPr>
              <w:t>）</w:t>
            </w:r>
            <w:r>
              <w:rPr>
                <w:rFonts w:hint="eastAsia"/>
                <w:color w:val="auto"/>
                <w:highlight w:val="none"/>
              </w:rPr>
              <w:t>》符合性分析详见下表。</w:t>
            </w:r>
          </w:p>
          <w:p w14:paraId="015F3BD4">
            <w:pPr>
              <w:pStyle w:val="25"/>
              <w:bidi w:val="0"/>
              <w:rPr>
                <w:rFonts w:cs="Times New Roman"/>
                <w:color w:val="auto"/>
                <w:sz w:val="24"/>
                <w:szCs w:val="24"/>
                <w:highlight w:val="none"/>
              </w:rPr>
            </w:pPr>
            <w:r>
              <w:rPr>
                <w:rFonts w:cs="Times New Roman"/>
                <w:color w:val="auto"/>
                <w:sz w:val="24"/>
                <w:szCs w:val="24"/>
                <w:highlight w:val="none"/>
              </w:rPr>
              <w:t>与</w:t>
            </w:r>
            <w:r>
              <w:rPr>
                <w:rFonts w:hint="eastAsia" w:cs="Times New Roman"/>
                <w:color w:val="auto"/>
                <w:sz w:val="24"/>
                <w:szCs w:val="24"/>
                <w:highlight w:val="none"/>
              </w:rPr>
              <w:t>“</w:t>
            </w:r>
            <w:r>
              <w:rPr>
                <w:rFonts w:cs="Times New Roman"/>
                <w:color w:val="auto"/>
                <w:sz w:val="24"/>
                <w:szCs w:val="24"/>
                <w:highlight w:val="none"/>
              </w:rPr>
              <w:t>三线一单</w:t>
            </w:r>
            <w:r>
              <w:rPr>
                <w:rFonts w:hint="eastAsia" w:cs="Times New Roman"/>
                <w:color w:val="auto"/>
                <w:sz w:val="24"/>
                <w:szCs w:val="24"/>
                <w:highlight w:val="none"/>
              </w:rPr>
              <w:t>”</w:t>
            </w:r>
            <w:r>
              <w:rPr>
                <w:rFonts w:cs="Times New Roman"/>
                <w:color w:val="auto"/>
                <w:sz w:val="24"/>
                <w:szCs w:val="24"/>
                <w:highlight w:val="none"/>
              </w:rPr>
              <w:t>符合性分析</w:t>
            </w:r>
          </w:p>
          <w:tbl>
            <w:tblPr>
              <w:tblStyle w:val="16"/>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6"/>
              <w:gridCol w:w="4581"/>
              <w:gridCol w:w="2488"/>
              <w:gridCol w:w="732"/>
            </w:tblGrid>
            <w:tr w14:paraId="08DA9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4" w:type="pct"/>
                  <w:tcBorders>
                    <w:top w:val="single" w:color="auto" w:sz="12" w:space="0"/>
                    <w:left w:val="nil"/>
                    <w:bottom w:val="single" w:color="auto" w:sz="4" w:space="0"/>
                    <w:right w:val="single" w:color="auto" w:sz="4" w:space="0"/>
                  </w:tcBorders>
                  <w:vAlign w:val="center"/>
                </w:tcPr>
                <w:p w14:paraId="3F0722FE">
                  <w:pPr>
                    <w:pStyle w:val="27"/>
                    <w:spacing w:line="240" w:lineRule="auto"/>
                    <w:rPr>
                      <w:rFonts w:hint="default" w:ascii="Times New Roman" w:hAnsi="Times New Roman" w:eastAsia="宋体" w:cs="Times New Roman"/>
                      <w:color w:val="auto"/>
                      <w:sz w:val="21"/>
                      <w:szCs w:val="21"/>
                      <w:highlight w:val="none"/>
                    </w:rPr>
                  </w:pPr>
                </w:p>
              </w:tc>
              <w:tc>
                <w:tcPr>
                  <w:tcW w:w="2804" w:type="pct"/>
                  <w:tcBorders>
                    <w:top w:val="single" w:color="auto" w:sz="12" w:space="0"/>
                    <w:left w:val="single" w:color="auto" w:sz="4" w:space="0"/>
                    <w:bottom w:val="single" w:color="auto" w:sz="4" w:space="0"/>
                    <w:right w:val="single" w:color="auto" w:sz="4" w:space="0"/>
                  </w:tcBorders>
                  <w:vAlign w:val="center"/>
                </w:tcPr>
                <w:p w14:paraId="1B72CFCB">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要求</w:t>
                  </w:r>
                </w:p>
              </w:tc>
              <w:tc>
                <w:tcPr>
                  <w:tcW w:w="1523" w:type="pct"/>
                  <w:tcBorders>
                    <w:top w:val="single" w:color="auto" w:sz="12" w:space="0"/>
                    <w:left w:val="single" w:color="auto" w:sz="4" w:space="0"/>
                    <w:bottom w:val="single" w:color="auto" w:sz="4" w:space="0"/>
                    <w:right w:val="single" w:color="auto" w:sz="4" w:space="0"/>
                  </w:tcBorders>
                  <w:vAlign w:val="center"/>
                </w:tcPr>
                <w:p w14:paraId="18A4F1A0">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项目具体情况</w:t>
                  </w:r>
                </w:p>
              </w:tc>
              <w:tc>
                <w:tcPr>
                  <w:tcW w:w="448" w:type="pct"/>
                  <w:tcBorders>
                    <w:top w:val="single" w:color="auto" w:sz="12" w:space="0"/>
                    <w:left w:val="single" w:color="auto" w:sz="4" w:space="0"/>
                    <w:bottom w:val="single" w:color="auto" w:sz="4" w:space="0"/>
                    <w:right w:val="nil"/>
                  </w:tcBorders>
                  <w:vAlign w:val="center"/>
                </w:tcPr>
                <w:p w14:paraId="0E12E59F">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分析结果</w:t>
                  </w:r>
                </w:p>
              </w:tc>
            </w:tr>
            <w:tr w14:paraId="0CBC71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4" w:type="pct"/>
                  <w:tcBorders>
                    <w:top w:val="single" w:color="auto" w:sz="4" w:space="0"/>
                    <w:left w:val="nil"/>
                    <w:bottom w:val="single" w:color="auto" w:sz="4" w:space="0"/>
                    <w:right w:val="single" w:color="auto" w:sz="4" w:space="0"/>
                  </w:tcBorders>
                  <w:vAlign w:val="center"/>
                </w:tcPr>
                <w:p w14:paraId="508DDAF3">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生态保护红线</w:t>
                  </w:r>
                </w:p>
              </w:tc>
              <w:tc>
                <w:tcPr>
                  <w:tcW w:w="2804" w:type="pct"/>
                  <w:tcBorders>
                    <w:top w:val="single" w:color="auto" w:sz="4" w:space="0"/>
                    <w:left w:val="single" w:color="auto" w:sz="4" w:space="0"/>
                    <w:bottom w:val="single" w:color="auto" w:sz="4" w:space="0"/>
                    <w:right w:val="single" w:color="auto" w:sz="4" w:space="0"/>
                  </w:tcBorders>
                  <w:vAlign w:val="center"/>
                </w:tcPr>
                <w:p w14:paraId="79FF02F1">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生态保护红线是生态空间范围内具有特殊重要生态功能必须实行强制性严格保护的区域。相关规划环评应将生态空间管控作为重要内容</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规划区域涉及生态保护红线的</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在规划环评结论和审查意见中应落实生态保护红线的管理要求</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提出相应对策措施。除受自然条件限制、确实无法避让的铁路、公路、航道、防洪、管道、干渠、通讯、输变电等重要基础设施项目外</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在生态保护红线范围内</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严控各类开发建设活动</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依法不予审批新建工业项目和矿产开发项目的环评文件</w:t>
                  </w:r>
                </w:p>
              </w:tc>
              <w:tc>
                <w:tcPr>
                  <w:tcW w:w="1523" w:type="pct"/>
                  <w:tcBorders>
                    <w:top w:val="single" w:color="auto" w:sz="4" w:space="0"/>
                    <w:left w:val="single" w:color="auto" w:sz="4" w:space="0"/>
                    <w:bottom w:val="single" w:color="auto" w:sz="4" w:space="0"/>
                    <w:right w:val="single" w:color="auto" w:sz="4" w:space="0"/>
                  </w:tcBorders>
                  <w:vAlign w:val="center"/>
                </w:tcPr>
                <w:p w14:paraId="5628C52B">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本项目位于</w:t>
                  </w:r>
                  <w:r>
                    <w:rPr>
                      <w:rFonts w:hint="eastAsia"/>
                      <w:color w:val="auto"/>
                      <w:szCs w:val="21"/>
                      <w:highlight w:val="none"/>
                    </w:rPr>
                    <w:t>北票发电有限责任公司</w:t>
                  </w:r>
                  <w:r>
                    <w:rPr>
                      <w:rFonts w:hint="eastAsia" w:ascii="Times New Roman" w:hAnsi="Times New Roman" w:eastAsia="宋体" w:cs="Times New Roman"/>
                      <w:color w:val="auto"/>
                      <w:sz w:val="21"/>
                      <w:szCs w:val="21"/>
                      <w:highlight w:val="none"/>
                    </w:rPr>
                    <w:t>厂区内，项目所在地不涉及自然保护区核心区、缓冲区和试验区，不在生态保护红线范围内</w:t>
                  </w:r>
                </w:p>
              </w:tc>
              <w:tc>
                <w:tcPr>
                  <w:tcW w:w="448" w:type="pct"/>
                  <w:tcBorders>
                    <w:top w:val="single" w:color="auto" w:sz="4" w:space="0"/>
                    <w:left w:val="single" w:color="auto" w:sz="4" w:space="0"/>
                    <w:bottom w:val="single" w:color="auto" w:sz="4" w:space="0"/>
                    <w:right w:val="nil"/>
                  </w:tcBorders>
                  <w:vAlign w:val="center"/>
                </w:tcPr>
                <w:p w14:paraId="1CCBA6FF">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符合</w:t>
                  </w:r>
                </w:p>
              </w:tc>
            </w:tr>
            <w:tr w14:paraId="253E1A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4" w:type="pct"/>
                  <w:tcBorders>
                    <w:top w:val="single" w:color="auto" w:sz="4" w:space="0"/>
                    <w:left w:val="nil"/>
                    <w:bottom w:val="single" w:color="auto" w:sz="4" w:space="0"/>
                    <w:right w:val="single" w:color="auto" w:sz="4" w:space="0"/>
                  </w:tcBorders>
                  <w:vAlign w:val="center"/>
                </w:tcPr>
                <w:p w14:paraId="28185070">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环境质量底线</w:t>
                  </w:r>
                </w:p>
              </w:tc>
              <w:tc>
                <w:tcPr>
                  <w:tcW w:w="2804" w:type="pct"/>
                  <w:tcBorders>
                    <w:top w:val="single" w:color="auto" w:sz="4" w:space="0"/>
                    <w:left w:val="single" w:color="auto" w:sz="4" w:space="0"/>
                    <w:bottom w:val="single" w:color="auto" w:sz="4" w:space="0"/>
                    <w:right w:val="single" w:color="auto" w:sz="4" w:space="0"/>
                  </w:tcBorders>
                  <w:vAlign w:val="center"/>
                </w:tcPr>
                <w:p w14:paraId="4E5AB73F">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环境质量底线是国家和地方设置的大气、水和土壤环境质量目标</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也是改善环境质量的基准线。有关规划环评应落实区域环境质量目标管理要求</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提出区域或者行业污染物排放总量管控建议以及优化区域或行业发展布局、结构和规模的对策措施。项目环评应对照区域环境质量目标</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深入分析预测项目建设对环境质量的影响</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强化污染防治措施和污染物排放控制要求</w:t>
                  </w:r>
                </w:p>
              </w:tc>
              <w:tc>
                <w:tcPr>
                  <w:tcW w:w="1523" w:type="pct"/>
                  <w:tcBorders>
                    <w:top w:val="single" w:color="auto" w:sz="4" w:space="0"/>
                    <w:left w:val="single" w:color="auto" w:sz="4" w:space="0"/>
                    <w:bottom w:val="single" w:color="auto" w:sz="4" w:space="0"/>
                    <w:right w:val="single" w:color="auto" w:sz="4" w:space="0"/>
                  </w:tcBorders>
                  <w:vAlign w:val="center"/>
                </w:tcPr>
                <w:p w14:paraId="274587AB">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根据朝阳市生态环境局公布的朝阳市202</w:t>
                  </w:r>
                  <w:r>
                    <w:rPr>
                      <w:rFonts w:hint="eastAsia"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rPr>
                    <w:t>年空气质量状况，202</w:t>
                  </w:r>
                  <w:r>
                    <w:rPr>
                      <w:rFonts w:hint="eastAsia"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rPr>
                    <w:t>年朝阳市PM</w:t>
                  </w:r>
                  <w:r>
                    <w:rPr>
                      <w:rFonts w:hint="eastAsia" w:ascii="Times New Roman" w:hAnsi="Times New Roman" w:eastAsia="宋体" w:cs="Times New Roman"/>
                      <w:color w:val="auto"/>
                      <w:sz w:val="21"/>
                      <w:szCs w:val="21"/>
                      <w:highlight w:val="none"/>
                      <w:vertAlign w:val="subscript"/>
                    </w:rPr>
                    <w:t>10</w:t>
                  </w:r>
                  <w:r>
                    <w:rPr>
                      <w:rFonts w:hint="eastAsia" w:ascii="Times New Roman" w:hAnsi="Times New Roman" w:eastAsia="宋体" w:cs="Times New Roman"/>
                      <w:color w:val="auto"/>
                      <w:sz w:val="21"/>
                      <w:szCs w:val="21"/>
                      <w:highlight w:val="none"/>
                    </w:rPr>
                    <w:t>、PM</w:t>
                  </w:r>
                  <w:r>
                    <w:rPr>
                      <w:rFonts w:hint="eastAsia" w:ascii="Times New Roman" w:hAnsi="Times New Roman" w:eastAsia="宋体" w:cs="Times New Roman"/>
                      <w:color w:val="auto"/>
                      <w:sz w:val="21"/>
                      <w:szCs w:val="21"/>
                      <w:highlight w:val="none"/>
                      <w:vertAlign w:val="subscript"/>
                    </w:rPr>
                    <w:t>2.5</w:t>
                  </w:r>
                  <w:r>
                    <w:rPr>
                      <w:rFonts w:hint="eastAsia" w:ascii="Times New Roman" w:hAnsi="Times New Roman" w:eastAsia="宋体" w:cs="Times New Roman"/>
                      <w:color w:val="auto"/>
                      <w:sz w:val="21"/>
                      <w:szCs w:val="21"/>
                      <w:highlight w:val="none"/>
                    </w:rPr>
                    <w:t>、SO</w:t>
                  </w:r>
                  <w:r>
                    <w:rPr>
                      <w:rFonts w:hint="eastAsia" w:ascii="Times New Roman" w:hAnsi="Times New Roman" w:eastAsia="宋体" w:cs="Times New Roman"/>
                      <w:color w:val="auto"/>
                      <w:sz w:val="21"/>
                      <w:szCs w:val="21"/>
                      <w:highlight w:val="none"/>
                      <w:vertAlign w:val="subscript"/>
                    </w:rPr>
                    <w:t>2</w:t>
                  </w:r>
                  <w:r>
                    <w:rPr>
                      <w:rFonts w:hint="eastAsia" w:ascii="Times New Roman" w:hAnsi="Times New Roman" w:eastAsia="宋体" w:cs="Times New Roman"/>
                      <w:color w:val="auto"/>
                      <w:sz w:val="21"/>
                      <w:szCs w:val="21"/>
                      <w:highlight w:val="none"/>
                    </w:rPr>
                    <w:t>、NO</w:t>
                  </w:r>
                  <w:r>
                    <w:rPr>
                      <w:rFonts w:hint="eastAsia" w:ascii="Times New Roman" w:hAnsi="Times New Roman" w:eastAsia="宋体" w:cs="Times New Roman"/>
                      <w:color w:val="auto"/>
                      <w:sz w:val="21"/>
                      <w:szCs w:val="21"/>
                      <w:highlight w:val="none"/>
                      <w:vertAlign w:val="subscript"/>
                    </w:rPr>
                    <w:t>2</w:t>
                  </w:r>
                  <w:r>
                    <w:rPr>
                      <w:rFonts w:hint="eastAsia" w:ascii="Times New Roman" w:hAnsi="Times New Roman" w:eastAsia="宋体" w:cs="Times New Roman"/>
                      <w:color w:val="auto"/>
                      <w:sz w:val="21"/>
                      <w:szCs w:val="21"/>
                      <w:highlight w:val="none"/>
                    </w:rPr>
                    <w:t>、CO、O</w:t>
                  </w:r>
                  <w:r>
                    <w:rPr>
                      <w:rFonts w:hint="eastAsia" w:ascii="Times New Roman" w:hAnsi="Times New Roman" w:eastAsia="宋体" w:cs="Times New Roman"/>
                      <w:color w:val="auto"/>
                      <w:sz w:val="21"/>
                      <w:szCs w:val="21"/>
                      <w:highlight w:val="none"/>
                      <w:vertAlign w:val="subscript"/>
                    </w:rPr>
                    <w:t>3</w:t>
                  </w:r>
                  <w:r>
                    <w:rPr>
                      <w:rFonts w:hint="eastAsia" w:ascii="Times New Roman" w:hAnsi="Times New Roman" w:eastAsia="宋体" w:cs="Times New Roman"/>
                      <w:color w:val="auto"/>
                      <w:sz w:val="21"/>
                      <w:szCs w:val="21"/>
                      <w:highlight w:val="none"/>
                    </w:rPr>
                    <w:t>年平均值均符合环境空气质量二级标准，且本项目所排放的污染物全部达标排放，不触及区域环境质量底线</w:t>
                  </w:r>
                </w:p>
              </w:tc>
              <w:tc>
                <w:tcPr>
                  <w:tcW w:w="448" w:type="pct"/>
                  <w:tcBorders>
                    <w:top w:val="single" w:color="auto" w:sz="4" w:space="0"/>
                    <w:left w:val="single" w:color="auto" w:sz="4" w:space="0"/>
                    <w:bottom w:val="single" w:color="auto" w:sz="4" w:space="0"/>
                    <w:right w:val="nil"/>
                  </w:tcBorders>
                  <w:vAlign w:val="center"/>
                </w:tcPr>
                <w:p w14:paraId="312EC3F4">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符合</w:t>
                  </w:r>
                </w:p>
              </w:tc>
            </w:tr>
            <w:tr w14:paraId="7CEA75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4" w:type="pct"/>
                  <w:tcBorders>
                    <w:top w:val="single" w:color="auto" w:sz="4" w:space="0"/>
                    <w:left w:val="nil"/>
                    <w:bottom w:val="single" w:color="auto" w:sz="4" w:space="0"/>
                    <w:right w:val="single" w:color="auto" w:sz="4" w:space="0"/>
                  </w:tcBorders>
                  <w:vAlign w:val="center"/>
                </w:tcPr>
                <w:p w14:paraId="52C067FE">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资源利用上线</w:t>
                  </w:r>
                </w:p>
              </w:tc>
              <w:tc>
                <w:tcPr>
                  <w:tcW w:w="2804" w:type="pct"/>
                  <w:tcBorders>
                    <w:top w:val="single" w:color="auto" w:sz="4" w:space="0"/>
                    <w:left w:val="single" w:color="auto" w:sz="4" w:space="0"/>
                    <w:bottom w:val="single" w:color="auto" w:sz="4" w:space="0"/>
                    <w:right w:val="single" w:color="auto" w:sz="4" w:space="0"/>
                  </w:tcBorders>
                  <w:vAlign w:val="center"/>
                </w:tcPr>
                <w:p w14:paraId="716D8B1C">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资源是环境的载体</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资源利用上线是各地区能源、水、土地等资源消耗不得突破的</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天花板</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。相关规划环评应依据有关资源利用上线</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对规划实施以及规划内项目的资源开发利用</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区分不同行业</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从能源资源开发等量或减量替代、开采方式和规模控制、利用效率和保护措施等方面提出建议</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为规划编制和审批决策提供重要依据</w:t>
                  </w:r>
                </w:p>
              </w:tc>
              <w:tc>
                <w:tcPr>
                  <w:tcW w:w="1523" w:type="pct"/>
                  <w:tcBorders>
                    <w:top w:val="single" w:color="auto" w:sz="4" w:space="0"/>
                    <w:left w:val="single" w:color="auto" w:sz="4" w:space="0"/>
                    <w:bottom w:val="single" w:color="auto" w:sz="4" w:space="0"/>
                    <w:right w:val="single" w:color="auto" w:sz="4" w:space="0"/>
                  </w:tcBorders>
                  <w:vAlign w:val="center"/>
                </w:tcPr>
                <w:p w14:paraId="7EE12E33">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本项目资源利用包括土地、电能资源，使用量较小，且从多方面采取合理可行的防治措施，以“节能、降耗、减污”为目标，有效地控制污染。项目的水、气、土等资源利用不会突破区域的资源利用上线</w:t>
                  </w:r>
                </w:p>
              </w:tc>
              <w:tc>
                <w:tcPr>
                  <w:tcW w:w="448" w:type="pct"/>
                  <w:tcBorders>
                    <w:top w:val="single" w:color="auto" w:sz="4" w:space="0"/>
                    <w:left w:val="single" w:color="auto" w:sz="4" w:space="0"/>
                    <w:bottom w:val="single" w:color="auto" w:sz="4" w:space="0"/>
                    <w:right w:val="nil"/>
                  </w:tcBorders>
                  <w:vAlign w:val="center"/>
                </w:tcPr>
                <w:p w14:paraId="04A2AFD3">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符合</w:t>
                  </w:r>
                </w:p>
              </w:tc>
            </w:tr>
            <w:tr w14:paraId="2CD168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4" w:type="pct"/>
                  <w:tcBorders>
                    <w:top w:val="single" w:color="auto" w:sz="4" w:space="0"/>
                    <w:left w:val="nil"/>
                    <w:bottom w:val="single" w:color="auto" w:sz="4" w:space="0"/>
                    <w:right w:val="single" w:color="auto" w:sz="4" w:space="0"/>
                  </w:tcBorders>
                  <w:vAlign w:val="center"/>
                </w:tcPr>
                <w:p w14:paraId="633A7E2F">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环境准入负面清单</w:t>
                  </w:r>
                </w:p>
              </w:tc>
              <w:tc>
                <w:tcPr>
                  <w:tcW w:w="2804" w:type="pct"/>
                  <w:tcBorders>
                    <w:top w:val="single" w:color="auto" w:sz="4" w:space="0"/>
                    <w:left w:val="single" w:color="auto" w:sz="4" w:space="0"/>
                    <w:bottom w:val="single" w:color="auto" w:sz="4" w:space="0"/>
                    <w:right w:val="single" w:color="auto" w:sz="4" w:space="0"/>
                  </w:tcBorders>
                  <w:vAlign w:val="center"/>
                </w:tcPr>
                <w:p w14:paraId="56A527E5">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环境准入负面清单是基于生态保护红线、环境质量底线和资源利用上线</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以清单方式列出的禁止、限制等差别化环境准入条件和要求。要在规划环评清单式管理试点的基础上</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从布局选址、资源利用效率、资源配置方式等方面入手</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制定环境准入负面清单</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充分发挥负面清单对产业发展和项目准入的指导和约束作用</w:t>
                  </w:r>
                </w:p>
              </w:tc>
              <w:tc>
                <w:tcPr>
                  <w:tcW w:w="1523" w:type="pct"/>
                  <w:tcBorders>
                    <w:top w:val="single" w:color="auto" w:sz="4" w:space="0"/>
                    <w:left w:val="single" w:color="auto" w:sz="4" w:space="0"/>
                    <w:bottom w:val="single" w:color="auto" w:sz="4" w:space="0"/>
                    <w:right w:val="single" w:color="auto" w:sz="4" w:space="0"/>
                  </w:tcBorders>
                  <w:vAlign w:val="center"/>
                </w:tcPr>
                <w:p w14:paraId="102F016E">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根据《产业结构调整指导目录（2024年本）》，本项目不属于规定的“鼓励类”“限制类”“淘汰类”行业，即属于“允许类”；本项目不在《市场准入负面清单（202</w:t>
                  </w:r>
                  <w:r>
                    <w:rPr>
                      <w:rFonts w:hint="eastAsia" w:eastAsia="宋体"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rPr>
                    <w:t>版）》中的“禁止准入类”行业</w:t>
                  </w:r>
                  <w:r>
                    <w:rPr>
                      <w:rFonts w:hint="eastAsia" w:ascii="Times New Roman" w:hAnsi="Times New Roman" w:eastAsia="宋体" w:cs="Times New Roman"/>
                      <w:color w:val="auto"/>
                      <w:sz w:val="21"/>
                      <w:szCs w:val="21"/>
                      <w:highlight w:val="none"/>
                      <w:lang w:eastAsia="zh-CN"/>
                    </w:rPr>
                    <w:t>，符合环境准入要求，不属于负面清单内容</w:t>
                  </w:r>
                </w:p>
              </w:tc>
              <w:tc>
                <w:tcPr>
                  <w:tcW w:w="448" w:type="pct"/>
                  <w:tcBorders>
                    <w:top w:val="single" w:color="auto" w:sz="4" w:space="0"/>
                    <w:left w:val="single" w:color="auto" w:sz="4" w:space="0"/>
                    <w:bottom w:val="single" w:color="auto" w:sz="4" w:space="0"/>
                    <w:right w:val="nil"/>
                  </w:tcBorders>
                  <w:vAlign w:val="center"/>
                </w:tcPr>
                <w:p w14:paraId="0CAD92B1">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符合</w:t>
                  </w:r>
                </w:p>
              </w:tc>
            </w:tr>
            <w:tr w14:paraId="10E2D3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op w:val="single" w:color="auto" w:sz="4" w:space="0"/>
                    <w:left w:val="nil"/>
                    <w:bottom w:val="single" w:color="auto" w:sz="4" w:space="0"/>
                    <w:right w:val="nil"/>
                  </w:tcBorders>
                  <w:vAlign w:val="center"/>
                </w:tcPr>
                <w:p w14:paraId="7B51277D">
                  <w:pPr>
                    <w:pStyle w:val="25"/>
                    <w:bidi w:val="0"/>
                    <w:rPr>
                      <w:color w:val="auto"/>
                      <w:highlight w:val="none"/>
                    </w:rPr>
                  </w:pPr>
                  <w:r>
                    <w:rPr>
                      <w:rFonts w:hint="eastAsia" w:cs="Times New Roman"/>
                      <w:color w:val="auto"/>
                      <w:sz w:val="24"/>
                      <w:szCs w:val="24"/>
                      <w:highlight w:val="none"/>
                    </w:rPr>
                    <w:t>管控单元要求（ZH21138120006）</w:t>
                  </w:r>
                </w:p>
              </w:tc>
            </w:tr>
            <w:tr w14:paraId="577E99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4" w:type="pct"/>
                  <w:tcBorders>
                    <w:top w:val="single" w:color="auto" w:sz="4" w:space="0"/>
                    <w:left w:val="nil"/>
                    <w:bottom w:val="single" w:color="auto" w:sz="4" w:space="0"/>
                    <w:right w:val="single" w:color="auto" w:sz="4" w:space="0"/>
                  </w:tcBorders>
                  <w:vAlign w:val="center"/>
                </w:tcPr>
                <w:p w14:paraId="78B5B2EF">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i w:val="0"/>
                      <w:iCs w:val="0"/>
                      <w:caps w:val="0"/>
                      <w:color w:val="auto"/>
                      <w:spacing w:val="0"/>
                      <w:sz w:val="21"/>
                      <w:szCs w:val="21"/>
                      <w:highlight w:val="none"/>
                      <w:shd w:val="clear" w:fill="FFFFFF"/>
                    </w:rPr>
                    <w:t>空间布局约束</w:t>
                  </w:r>
                </w:p>
              </w:tc>
              <w:tc>
                <w:tcPr>
                  <w:tcW w:w="2804" w:type="pct"/>
                  <w:tcBorders>
                    <w:top w:val="single" w:color="auto" w:sz="4" w:space="0"/>
                    <w:left w:val="single" w:color="auto" w:sz="4" w:space="0"/>
                    <w:bottom w:val="single" w:color="auto" w:sz="4" w:space="0"/>
                    <w:right w:val="single" w:color="auto" w:sz="4" w:space="0"/>
                  </w:tcBorders>
                  <w:vAlign w:val="center"/>
                </w:tcPr>
                <w:p w14:paraId="2CC62297">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i w:val="0"/>
                      <w:iCs w:val="0"/>
                      <w:caps w:val="0"/>
                      <w:color w:val="auto"/>
                      <w:spacing w:val="0"/>
                      <w:sz w:val="21"/>
                      <w:szCs w:val="21"/>
                      <w:highlight w:val="none"/>
                      <w:shd w:val="clear" w:fill="FFFFFF"/>
                    </w:rPr>
                    <w:t>1.对禁（限）养区内养殖场户实施搬迁关闭整治工作。2.大气污染严重的工业企业逐步迁出。3.基本农田，实行严格保护，确保其面积不减少、土壤环境质量不下降，除法律规定的重点建设项目选址确实无法避让外，其他任何建设不得占用。</w:t>
                  </w:r>
                </w:p>
              </w:tc>
              <w:tc>
                <w:tcPr>
                  <w:tcW w:w="1523" w:type="pct"/>
                  <w:tcBorders>
                    <w:top w:val="single" w:color="auto" w:sz="4" w:space="0"/>
                    <w:left w:val="single" w:color="auto" w:sz="4" w:space="0"/>
                    <w:bottom w:val="single" w:color="auto" w:sz="4" w:space="0"/>
                    <w:right w:val="single" w:color="auto" w:sz="4" w:space="0"/>
                  </w:tcBorders>
                  <w:vAlign w:val="center"/>
                </w:tcPr>
                <w:p w14:paraId="7A44EC66">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本项目在北票发电有限责任公司厂区内建设，不新增占地</w:t>
                  </w:r>
                  <w:r>
                    <w:rPr>
                      <w:rFonts w:hint="eastAsia"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不占用基本农田</w:t>
                  </w:r>
                  <w:r>
                    <w:rPr>
                      <w:rFonts w:hint="eastAsia" w:ascii="Times New Roman" w:hAnsi="Times New Roman" w:eastAsia="宋体" w:cs="Times New Roman"/>
                      <w:color w:val="auto"/>
                      <w:sz w:val="21"/>
                      <w:szCs w:val="21"/>
                      <w:highlight w:val="none"/>
                      <w:lang w:eastAsia="zh-CN"/>
                    </w:rPr>
                    <w:t>。</w:t>
                  </w:r>
                </w:p>
                <w:p w14:paraId="3BDAEEA3">
                  <w:pPr>
                    <w:pStyle w:val="24"/>
                    <w:spacing w:line="240" w:lineRule="auto"/>
                    <w:rPr>
                      <w:rFonts w:hint="eastAsia"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本项目大气污染物产生量较小，并</w:t>
                  </w:r>
                  <w:r>
                    <w:rPr>
                      <w:rFonts w:hint="eastAsia" w:eastAsia="宋体" w:cs="Times New Roman"/>
                      <w:color w:val="auto"/>
                      <w:sz w:val="21"/>
                      <w:szCs w:val="21"/>
                      <w:highlight w:val="none"/>
                      <w:lang w:eastAsia="zh-CN"/>
                    </w:rPr>
                    <w:t>通过桶装加盖贮存</w:t>
                  </w:r>
                  <w:r>
                    <w:rPr>
                      <w:rFonts w:hint="eastAsia" w:ascii="Times New Roman" w:hAnsi="Times New Roman" w:eastAsia="宋体" w:cs="Times New Roman"/>
                      <w:color w:val="auto"/>
                      <w:sz w:val="21"/>
                      <w:szCs w:val="21"/>
                      <w:highlight w:val="none"/>
                      <w:lang w:eastAsia="zh-CN"/>
                    </w:rPr>
                    <w:t>等措施综合减少污染物排放</w:t>
                  </w:r>
                  <w:r>
                    <w:rPr>
                      <w:rFonts w:hint="eastAsia" w:eastAsia="宋体" w:cs="Times New Roman"/>
                      <w:color w:val="auto"/>
                      <w:sz w:val="21"/>
                      <w:szCs w:val="21"/>
                      <w:highlight w:val="none"/>
                      <w:lang w:eastAsia="zh-CN"/>
                    </w:rPr>
                    <w:t>。</w:t>
                  </w:r>
                </w:p>
                <w:p w14:paraId="3F671DC9">
                  <w:pPr>
                    <w:pStyle w:val="24"/>
                    <w:spacing w:line="240" w:lineRule="auto"/>
                    <w:rPr>
                      <w:rFonts w:hint="eastAsia" w:eastAsia="宋体" w:cs="Times New Roman"/>
                      <w:color w:val="auto"/>
                      <w:sz w:val="21"/>
                      <w:szCs w:val="21"/>
                      <w:highlight w:val="none"/>
                      <w:lang w:eastAsia="zh-CN"/>
                    </w:rPr>
                  </w:pPr>
                  <w:r>
                    <w:rPr>
                      <w:rFonts w:hint="eastAsia" w:eastAsia="宋体" w:cs="Times New Roman"/>
                      <w:color w:val="auto"/>
                      <w:sz w:val="21"/>
                      <w:szCs w:val="21"/>
                      <w:highlight w:val="none"/>
                      <w:lang w:eastAsia="zh-CN"/>
                    </w:rPr>
                    <w:t>本项目各污染物达标排放</w:t>
                  </w:r>
                </w:p>
              </w:tc>
              <w:tc>
                <w:tcPr>
                  <w:tcW w:w="448" w:type="pct"/>
                  <w:tcBorders>
                    <w:top w:val="single" w:color="auto" w:sz="4" w:space="0"/>
                    <w:left w:val="single" w:color="auto" w:sz="4" w:space="0"/>
                    <w:bottom w:val="single" w:color="auto" w:sz="4" w:space="0"/>
                    <w:right w:val="nil"/>
                  </w:tcBorders>
                  <w:vAlign w:val="center"/>
                </w:tcPr>
                <w:p w14:paraId="0E33C9B2">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r w14:paraId="43A80D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4" w:type="pct"/>
                  <w:tcBorders>
                    <w:top w:val="single" w:color="auto" w:sz="4" w:space="0"/>
                    <w:left w:val="nil"/>
                    <w:bottom w:val="single" w:color="auto" w:sz="4" w:space="0"/>
                    <w:right w:val="single" w:color="auto" w:sz="4" w:space="0"/>
                  </w:tcBorders>
                  <w:vAlign w:val="center"/>
                </w:tcPr>
                <w:p w14:paraId="03FFA71A">
                  <w:pPr>
                    <w:pStyle w:val="24"/>
                    <w:spacing w:line="240" w:lineRule="auto"/>
                    <w:rPr>
                      <w:rFonts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污染物排放管控</w:t>
                  </w:r>
                </w:p>
              </w:tc>
              <w:tc>
                <w:tcPr>
                  <w:tcW w:w="2804" w:type="pct"/>
                  <w:tcBorders>
                    <w:top w:val="single" w:color="auto" w:sz="4" w:space="0"/>
                    <w:left w:val="single" w:color="auto" w:sz="4" w:space="0"/>
                    <w:bottom w:val="single" w:color="auto" w:sz="4" w:space="0"/>
                    <w:right w:val="single" w:color="auto" w:sz="4" w:space="0"/>
                  </w:tcBorders>
                  <w:vAlign w:val="center"/>
                </w:tcPr>
                <w:p w14:paraId="0A1807DE">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i w:val="0"/>
                      <w:iCs w:val="0"/>
                      <w:caps w:val="0"/>
                      <w:color w:val="auto"/>
                      <w:spacing w:val="0"/>
                      <w:sz w:val="21"/>
                      <w:szCs w:val="21"/>
                      <w:highlight w:val="none"/>
                      <w:shd w:val="clear" w:fill="FFFFFF"/>
                    </w:rPr>
                    <w:t>1.畜禽养殖场、养殖小区应当按照国家和省有关规定将畜禽粪便、废水进行综合利用或者无害化处理；规模化畜禽养殖场、养殖小区应当配套建设粪便污水贮存、处理、利用设施，推进粪便污水资源化利用；养殖专业户应当建设防雨、防渗、防漏、防外溢的粪便污水收集贮存设施，采用堆肥处理等措施实现粪便污水综合利用。2.从2021年1月1日起，全面执行国家排放标准大气污染物特别排放限值；推进清洁取暖改造，推广使用天然气、液化石油气、太阳能、电能等清洁能源。综合整治扬尘污染。3.加强农业面源污染防治，加大种养业特别是规模化畜禽养殖污染防治力度，引导农民使用生物农药或高效、低毒、低残留农药，对农药包装进行无害化处理；推进畜禽粪污资源化利用。</w:t>
                  </w:r>
                </w:p>
              </w:tc>
              <w:tc>
                <w:tcPr>
                  <w:tcW w:w="1523" w:type="pct"/>
                  <w:tcBorders>
                    <w:top w:val="single" w:color="auto" w:sz="4" w:space="0"/>
                    <w:left w:val="single" w:color="auto" w:sz="4" w:space="0"/>
                    <w:bottom w:val="single" w:color="auto" w:sz="4" w:space="0"/>
                    <w:right w:val="single" w:color="auto" w:sz="4" w:space="0"/>
                  </w:tcBorders>
                  <w:vAlign w:val="center"/>
                </w:tcPr>
                <w:p w14:paraId="720A89A7">
                  <w:pPr>
                    <w:pStyle w:val="24"/>
                    <w:spacing w:line="240" w:lineRule="auto"/>
                    <w:rPr>
                      <w:rFonts w:hint="eastAsia"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本项目</w:t>
                  </w:r>
                  <w:r>
                    <w:rPr>
                      <w:rFonts w:hint="eastAsia" w:ascii="Times New Roman" w:hAnsi="Times New Roman" w:eastAsia="宋体" w:cs="Times New Roman"/>
                      <w:color w:val="auto"/>
                      <w:sz w:val="21"/>
                      <w:szCs w:val="21"/>
                      <w:highlight w:val="none"/>
                      <w:lang w:eastAsia="zh-CN"/>
                    </w:rPr>
                    <w:t>为</w:t>
                  </w:r>
                  <w:r>
                    <w:rPr>
                      <w:rFonts w:hint="eastAsia" w:ascii="Times New Roman" w:hAnsi="Times New Roman" w:eastAsia="宋体" w:cs="Times New Roman"/>
                      <w:color w:val="auto"/>
                      <w:sz w:val="21"/>
                      <w:szCs w:val="21"/>
                      <w:highlight w:val="none"/>
                    </w:rPr>
                    <w:t>北票发电有限责任公司</w:t>
                  </w:r>
                  <w:r>
                    <w:rPr>
                      <w:rFonts w:hint="eastAsia" w:ascii="Times New Roman" w:hAnsi="Times New Roman" w:eastAsia="宋体" w:cs="Times New Roman"/>
                      <w:color w:val="auto"/>
                      <w:sz w:val="21"/>
                      <w:szCs w:val="21"/>
                      <w:highlight w:val="none"/>
                      <w:lang w:eastAsia="zh-CN"/>
                    </w:rPr>
                    <w:t>配套建设危险废物贮存项目，不新增占地</w:t>
                  </w:r>
                  <w:r>
                    <w:rPr>
                      <w:rFonts w:hint="eastAsia" w:eastAsia="宋体" w:cs="Times New Roman"/>
                      <w:color w:val="auto"/>
                      <w:sz w:val="21"/>
                      <w:szCs w:val="21"/>
                      <w:highlight w:val="none"/>
                      <w:lang w:eastAsia="zh-CN"/>
                    </w:rPr>
                    <w:t>。</w:t>
                  </w:r>
                </w:p>
                <w:p w14:paraId="4FBEFEDC">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本项目不涉及</w:t>
                  </w:r>
                  <w:r>
                    <w:rPr>
                      <w:rFonts w:hint="eastAsia" w:ascii="Times New Roman" w:hAnsi="Times New Roman" w:eastAsia="宋体" w:cs="Times New Roman"/>
                      <w:i w:val="0"/>
                      <w:iCs w:val="0"/>
                      <w:caps w:val="0"/>
                      <w:color w:val="auto"/>
                      <w:spacing w:val="0"/>
                      <w:sz w:val="21"/>
                      <w:szCs w:val="21"/>
                      <w:highlight w:val="none"/>
                      <w:shd w:val="clear" w:fill="FFFFFF"/>
                    </w:rPr>
                    <w:t>畜禽养殖</w:t>
                  </w:r>
                  <w:r>
                    <w:rPr>
                      <w:rFonts w:hint="eastAsia" w:eastAsia="宋体" w:cs="Times New Roman"/>
                      <w:i w:val="0"/>
                      <w:iCs w:val="0"/>
                      <w:caps w:val="0"/>
                      <w:color w:val="auto"/>
                      <w:spacing w:val="0"/>
                      <w:sz w:val="21"/>
                      <w:szCs w:val="21"/>
                      <w:highlight w:val="none"/>
                      <w:shd w:val="clear" w:fill="FFFFFF"/>
                      <w:lang w:eastAsia="zh-CN"/>
                    </w:rPr>
                    <w:t>、不涉及</w:t>
                  </w:r>
                  <w:r>
                    <w:rPr>
                      <w:rFonts w:hint="eastAsia" w:ascii="Times New Roman" w:hAnsi="Times New Roman" w:eastAsia="宋体" w:cs="Times New Roman"/>
                      <w:color w:val="auto"/>
                      <w:sz w:val="21"/>
                      <w:szCs w:val="21"/>
                      <w:highlight w:val="none"/>
                      <w:lang w:eastAsia="zh-CN"/>
                    </w:rPr>
                    <w:t>农业面源污染。</w:t>
                  </w:r>
                </w:p>
                <w:p w14:paraId="16985EDA">
                  <w:pPr>
                    <w:pStyle w:val="24"/>
                    <w:spacing w:line="240" w:lineRule="auto"/>
                    <w:rPr>
                      <w:rFonts w:hint="eastAsia"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本项目</w:t>
                  </w:r>
                  <w:r>
                    <w:rPr>
                      <w:rFonts w:hint="eastAsia" w:eastAsia="宋体" w:cs="Times New Roman"/>
                      <w:color w:val="auto"/>
                      <w:sz w:val="21"/>
                      <w:szCs w:val="21"/>
                      <w:highlight w:val="none"/>
                      <w:lang w:eastAsia="zh-CN"/>
                    </w:rPr>
                    <w:t>不涉及非清洁能源使用，</w:t>
                  </w:r>
                  <w:r>
                    <w:rPr>
                      <w:rFonts w:hint="eastAsia" w:ascii="Times New Roman" w:hAnsi="Times New Roman" w:eastAsia="宋体" w:cs="Times New Roman"/>
                      <w:color w:val="auto"/>
                      <w:sz w:val="21"/>
                      <w:szCs w:val="21"/>
                      <w:highlight w:val="none"/>
                      <w:lang w:eastAsia="zh-CN"/>
                    </w:rPr>
                    <w:t>大气污染物产生量较小，并</w:t>
                  </w:r>
                  <w:r>
                    <w:rPr>
                      <w:rFonts w:hint="eastAsia" w:eastAsia="宋体" w:cs="Times New Roman"/>
                      <w:color w:val="auto"/>
                      <w:sz w:val="21"/>
                      <w:szCs w:val="21"/>
                      <w:highlight w:val="none"/>
                      <w:lang w:eastAsia="zh-CN"/>
                    </w:rPr>
                    <w:t>通过桶装加盖贮存</w:t>
                  </w:r>
                  <w:r>
                    <w:rPr>
                      <w:rFonts w:hint="eastAsia" w:ascii="Times New Roman" w:hAnsi="Times New Roman" w:eastAsia="宋体" w:cs="Times New Roman"/>
                      <w:color w:val="auto"/>
                      <w:sz w:val="21"/>
                      <w:szCs w:val="21"/>
                      <w:highlight w:val="none"/>
                      <w:lang w:eastAsia="zh-CN"/>
                    </w:rPr>
                    <w:t>等措施综合减少污染物排放</w:t>
                  </w:r>
                  <w:r>
                    <w:rPr>
                      <w:rFonts w:hint="eastAsia" w:eastAsia="宋体" w:cs="Times New Roman"/>
                      <w:color w:val="auto"/>
                      <w:sz w:val="21"/>
                      <w:szCs w:val="21"/>
                      <w:highlight w:val="none"/>
                      <w:lang w:eastAsia="zh-CN"/>
                    </w:rPr>
                    <w:t>。</w:t>
                  </w:r>
                </w:p>
                <w:p w14:paraId="39168E34">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eastAsia="zh-CN"/>
                    </w:rPr>
                    <w:t>本项目各污染物达标排放</w:t>
                  </w:r>
                </w:p>
              </w:tc>
              <w:tc>
                <w:tcPr>
                  <w:tcW w:w="448" w:type="pct"/>
                  <w:tcBorders>
                    <w:top w:val="single" w:color="auto" w:sz="4" w:space="0"/>
                    <w:left w:val="single" w:color="auto" w:sz="4" w:space="0"/>
                    <w:bottom w:val="single" w:color="auto" w:sz="4" w:space="0"/>
                    <w:right w:val="nil"/>
                  </w:tcBorders>
                  <w:vAlign w:val="center"/>
                </w:tcPr>
                <w:p w14:paraId="52431F49">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r w14:paraId="27F466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4" w:type="pct"/>
                  <w:tcBorders>
                    <w:top w:val="single" w:color="auto" w:sz="4" w:space="0"/>
                    <w:left w:val="nil"/>
                    <w:bottom w:val="single" w:color="auto" w:sz="4" w:space="0"/>
                    <w:right w:val="single" w:color="auto" w:sz="4" w:space="0"/>
                  </w:tcBorders>
                  <w:vAlign w:val="center"/>
                </w:tcPr>
                <w:p w14:paraId="211963B4">
                  <w:pPr>
                    <w:pStyle w:val="24"/>
                    <w:spacing w:line="240" w:lineRule="auto"/>
                    <w:rPr>
                      <w:rFonts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环境风险管控</w:t>
                  </w:r>
                </w:p>
              </w:tc>
              <w:tc>
                <w:tcPr>
                  <w:tcW w:w="2804" w:type="pct"/>
                  <w:tcBorders>
                    <w:top w:val="single" w:color="auto" w:sz="4" w:space="0"/>
                    <w:left w:val="single" w:color="auto" w:sz="4" w:space="0"/>
                    <w:bottom w:val="single" w:color="auto" w:sz="4" w:space="0"/>
                    <w:right w:val="single" w:color="auto" w:sz="4" w:space="0"/>
                  </w:tcBorders>
                  <w:vAlign w:val="center"/>
                </w:tcPr>
                <w:p w14:paraId="112230DC">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i w:val="0"/>
                      <w:iCs w:val="0"/>
                      <w:caps w:val="0"/>
                      <w:color w:val="auto"/>
                      <w:spacing w:val="0"/>
                      <w:sz w:val="21"/>
                      <w:szCs w:val="21"/>
                      <w:highlight w:val="none"/>
                      <w:shd w:val="clear" w:fill="FFFFFF"/>
                    </w:rPr>
                    <w:t>1.加大执法检查力度，推动辖区内化工企业落实安全生产和环境保护主体责任，提升突发环境事件风险防控能力。2.紧邻的居住、科教、医院等环境敏感点的工业用地，禁止新建环境风险潜势等级Ⅳ/Ⅳ+级的建设项目。3.重点加强对烧结、工业炉窑、医疗垃圾和危险废物焚烧有毒有害大气污染物排放企业的监管，按国家有关规定对排放有毒有害大气污染物的排放口和周边环境进行定期监测，建设环境风险预警体系，排查环境安全隐患，评估和防范环境风险。4.优先保护耕地土壤环境，强化乡镇工业污染场地治理，开展土壤污染治理与修复试点工作。</w:t>
                  </w:r>
                </w:p>
              </w:tc>
              <w:tc>
                <w:tcPr>
                  <w:tcW w:w="1523" w:type="pct"/>
                  <w:tcBorders>
                    <w:top w:val="single" w:color="auto" w:sz="4" w:space="0"/>
                    <w:left w:val="single" w:color="auto" w:sz="4" w:space="0"/>
                    <w:bottom w:val="single" w:color="auto" w:sz="4" w:space="0"/>
                    <w:right w:val="single" w:color="auto" w:sz="4" w:space="0"/>
                  </w:tcBorders>
                  <w:vAlign w:val="center"/>
                </w:tcPr>
                <w:p w14:paraId="009EFA1E">
                  <w:pPr>
                    <w:pStyle w:val="24"/>
                    <w:spacing w:line="240" w:lineRule="auto"/>
                    <w:rPr>
                      <w:rFonts w:hint="eastAsia" w:eastAsia="宋体" w:cs="Times New Roman"/>
                      <w:color w:val="auto"/>
                      <w:sz w:val="21"/>
                      <w:szCs w:val="21"/>
                      <w:highlight w:val="none"/>
                      <w:lang w:eastAsia="zh-CN"/>
                    </w:rPr>
                  </w:pPr>
                  <w:r>
                    <w:rPr>
                      <w:rFonts w:hint="eastAsia" w:eastAsia="宋体" w:cs="Times New Roman"/>
                      <w:color w:val="auto"/>
                      <w:sz w:val="21"/>
                      <w:szCs w:val="21"/>
                      <w:highlight w:val="none"/>
                      <w:lang w:eastAsia="zh-CN"/>
                    </w:rPr>
                    <w:t>本项目不属于化工企业。</w:t>
                  </w:r>
                  <w:r>
                    <w:rPr>
                      <w:rFonts w:hint="eastAsia" w:eastAsia="宋体" w:cs="Times New Roman"/>
                      <w:color w:val="auto"/>
                      <w:sz w:val="21"/>
                      <w:szCs w:val="21"/>
                      <w:highlight w:val="none"/>
                      <w:lang w:eastAsia="zh-CN"/>
                    </w:rPr>
                    <w:br w:type="textWrapping"/>
                  </w:r>
                  <w:r>
                    <w:rPr>
                      <w:rFonts w:hint="eastAsia" w:eastAsia="宋体" w:cs="Times New Roman"/>
                      <w:color w:val="auto"/>
                      <w:sz w:val="21"/>
                      <w:szCs w:val="21"/>
                      <w:highlight w:val="none"/>
                      <w:lang w:eastAsia="zh-CN"/>
                    </w:rPr>
                    <w:t>本项目环境风险潜势等级不属于Ⅳ/Ⅳ+级。</w:t>
                  </w:r>
                </w:p>
                <w:p w14:paraId="3B115D8D">
                  <w:pPr>
                    <w:pStyle w:val="24"/>
                    <w:spacing w:line="240" w:lineRule="auto"/>
                    <w:rPr>
                      <w:rFonts w:hint="eastAsia"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本项目大气污染物产生量较小，并</w:t>
                  </w:r>
                  <w:r>
                    <w:rPr>
                      <w:rFonts w:hint="eastAsia" w:eastAsia="宋体" w:cs="Times New Roman"/>
                      <w:color w:val="auto"/>
                      <w:sz w:val="21"/>
                      <w:szCs w:val="21"/>
                      <w:highlight w:val="none"/>
                      <w:lang w:eastAsia="zh-CN"/>
                    </w:rPr>
                    <w:t>通过桶装加盖贮存</w:t>
                  </w:r>
                  <w:r>
                    <w:rPr>
                      <w:rFonts w:hint="eastAsia" w:ascii="Times New Roman" w:hAnsi="Times New Roman" w:eastAsia="宋体" w:cs="Times New Roman"/>
                      <w:color w:val="auto"/>
                      <w:sz w:val="21"/>
                      <w:szCs w:val="21"/>
                      <w:highlight w:val="none"/>
                      <w:lang w:eastAsia="zh-CN"/>
                    </w:rPr>
                    <w:t>等措施综合减少污染物排放</w:t>
                  </w:r>
                  <w:r>
                    <w:rPr>
                      <w:rFonts w:hint="eastAsia" w:eastAsia="宋体" w:cs="Times New Roman"/>
                      <w:color w:val="auto"/>
                      <w:sz w:val="21"/>
                      <w:szCs w:val="21"/>
                      <w:highlight w:val="none"/>
                      <w:lang w:eastAsia="zh-CN"/>
                    </w:rPr>
                    <w:t>。</w:t>
                  </w:r>
                  <w:r>
                    <w:rPr>
                      <w:rFonts w:hint="eastAsia" w:eastAsia="宋体" w:cs="Times New Roman"/>
                      <w:color w:val="auto"/>
                      <w:sz w:val="21"/>
                      <w:szCs w:val="21"/>
                      <w:highlight w:val="none"/>
                      <w:lang w:eastAsia="zh-CN"/>
                    </w:rPr>
                    <w:br w:type="textWrapping"/>
                  </w:r>
                  <w:r>
                    <w:rPr>
                      <w:rFonts w:hint="eastAsia" w:eastAsia="宋体" w:cs="Times New Roman"/>
                      <w:color w:val="auto"/>
                      <w:sz w:val="21"/>
                      <w:szCs w:val="21"/>
                      <w:highlight w:val="none"/>
                      <w:lang w:eastAsia="zh-CN"/>
                    </w:rPr>
                    <w:t>本项目周边无耕地。</w:t>
                  </w:r>
                </w:p>
                <w:p w14:paraId="196180A4">
                  <w:pPr>
                    <w:pStyle w:val="24"/>
                    <w:spacing w:line="240" w:lineRule="auto"/>
                    <w:rPr>
                      <w:rFonts w:ascii="Times New Roman" w:hAnsi="Times New Roman" w:eastAsia="宋体" w:cs="Times New Roman"/>
                      <w:color w:val="auto"/>
                      <w:sz w:val="21"/>
                      <w:szCs w:val="21"/>
                      <w:highlight w:val="none"/>
                    </w:rPr>
                  </w:pPr>
                  <w:r>
                    <w:rPr>
                      <w:rFonts w:hint="eastAsia" w:eastAsia="宋体" w:cs="Times New Roman"/>
                      <w:color w:val="auto"/>
                      <w:sz w:val="21"/>
                      <w:szCs w:val="21"/>
                      <w:highlight w:val="none"/>
                      <w:lang w:eastAsia="zh-CN"/>
                    </w:rPr>
                    <w:t>本项目各污染物达标排放</w:t>
                  </w:r>
                </w:p>
              </w:tc>
              <w:tc>
                <w:tcPr>
                  <w:tcW w:w="448" w:type="pct"/>
                  <w:tcBorders>
                    <w:top w:val="single" w:color="auto" w:sz="4" w:space="0"/>
                    <w:left w:val="single" w:color="auto" w:sz="4" w:space="0"/>
                    <w:bottom w:val="single" w:color="auto" w:sz="4" w:space="0"/>
                    <w:right w:val="nil"/>
                  </w:tcBorders>
                  <w:vAlign w:val="center"/>
                </w:tcPr>
                <w:p w14:paraId="1A6D7385">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r w14:paraId="1ED912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4" w:type="pct"/>
                  <w:tcBorders>
                    <w:top w:val="single" w:color="auto" w:sz="4" w:space="0"/>
                    <w:left w:val="nil"/>
                    <w:bottom w:val="single" w:color="auto" w:sz="12" w:space="0"/>
                    <w:right w:val="single" w:color="auto" w:sz="4" w:space="0"/>
                  </w:tcBorders>
                  <w:vAlign w:val="center"/>
                </w:tcPr>
                <w:p w14:paraId="28D74DF1">
                  <w:pPr>
                    <w:pStyle w:val="24"/>
                    <w:spacing w:line="240" w:lineRule="auto"/>
                    <w:rPr>
                      <w:rFonts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资源开发效率要求</w:t>
                  </w:r>
                </w:p>
              </w:tc>
              <w:tc>
                <w:tcPr>
                  <w:tcW w:w="2804" w:type="pct"/>
                  <w:tcBorders>
                    <w:top w:val="single" w:color="auto" w:sz="4" w:space="0"/>
                    <w:left w:val="single" w:color="auto" w:sz="4" w:space="0"/>
                    <w:bottom w:val="single" w:color="auto" w:sz="12" w:space="0"/>
                    <w:right w:val="single" w:color="auto" w:sz="4" w:space="0"/>
                  </w:tcBorders>
                  <w:vAlign w:val="center"/>
                </w:tcPr>
                <w:p w14:paraId="3EFEA165">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i w:val="0"/>
                      <w:iCs w:val="0"/>
                      <w:caps w:val="0"/>
                      <w:color w:val="auto"/>
                      <w:spacing w:val="0"/>
                      <w:sz w:val="21"/>
                      <w:szCs w:val="21"/>
                      <w:highlight w:val="none"/>
                      <w:shd w:val="clear" w:fill="FFFFFF"/>
                    </w:rPr>
                    <w:t>1.控制煤炭消费总量，严把新上、改扩建耗煤项目立项，对未实行煤炭消费减量替代的耗煤项目一律不予立项。2.实施水资源总量控制，严格计划用水管理；加快推广农业节水技术和措施，提高农田灌溉水资源利用效率，未依法完成水资源论证工作的建设项目，不予批准。</w:t>
                  </w:r>
                </w:p>
              </w:tc>
              <w:tc>
                <w:tcPr>
                  <w:tcW w:w="1523" w:type="pct"/>
                  <w:tcBorders>
                    <w:top w:val="single" w:color="auto" w:sz="4" w:space="0"/>
                    <w:left w:val="single" w:color="auto" w:sz="4" w:space="0"/>
                    <w:bottom w:val="single" w:color="auto" w:sz="12" w:space="0"/>
                    <w:right w:val="single" w:color="auto" w:sz="4" w:space="0"/>
                  </w:tcBorders>
                  <w:vAlign w:val="center"/>
                </w:tcPr>
                <w:p w14:paraId="723072D3">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本项目</w:t>
                  </w:r>
                  <w:r>
                    <w:rPr>
                      <w:rFonts w:hint="eastAsia" w:eastAsia="宋体"/>
                      <w:color w:val="auto"/>
                      <w:szCs w:val="21"/>
                      <w:highlight w:val="none"/>
                      <w:lang w:eastAsia="zh-CN"/>
                    </w:rPr>
                    <w:t>不涉及煤炭消费。</w:t>
                  </w:r>
                  <w:r>
                    <w:rPr>
                      <w:rFonts w:hint="eastAsia" w:eastAsia="宋体"/>
                      <w:color w:val="auto"/>
                      <w:szCs w:val="21"/>
                      <w:highlight w:val="none"/>
                      <w:lang w:eastAsia="zh-CN"/>
                    </w:rPr>
                    <w:br w:type="textWrapping"/>
                  </w:r>
                  <w:r>
                    <w:rPr>
                      <w:rFonts w:hint="eastAsia" w:eastAsia="宋体"/>
                      <w:color w:val="auto"/>
                      <w:szCs w:val="21"/>
                      <w:highlight w:val="none"/>
                      <w:lang w:eastAsia="zh-CN"/>
                    </w:rPr>
                    <w:t>本项目不新增用水量和排水量</w:t>
                  </w:r>
                </w:p>
              </w:tc>
              <w:tc>
                <w:tcPr>
                  <w:tcW w:w="448" w:type="pct"/>
                  <w:tcBorders>
                    <w:top w:val="single" w:color="auto" w:sz="4" w:space="0"/>
                    <w:left w:val="single" w:color="auto" w:sz="4" w:space="0"/>
                    <w:bottom w:val="single" w:color="auto" w:sz="12" w:space="0"/>
                    <w:right w:val="nil"/>
                  </w:tcBorders>
                  <w:vAlign w:val="center"/>
                </w:tcPr>
                <w:p w14:paraId="7653B5A9">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bl>
          <w:p w14:paraId="7059F1D2">
            <w:pPr>
              <w:bidi w:val="0"/>
              <w:rPr>
                <w:rFonts w:hint="default"/>
                <w:b/>
                <w:bCs/>
                <w:color w:val="auto"/>
                <w:highlight w:val="none"/>
              </w:rPr>
            </w:pPr>
            <w:r>
              <w:rPr>
                <w:b/>
                <w:bCs/>
                <w:color w:val="auto"/>
                <w:highlight w:val="none"/>
              </w:rPr>
              <w:t>5其他符合性分析</w:t>
            </w:r>
          </w:p>
          <w:p w14:paraId="5B026F0E">
            <w:pPr>
              <w:bidi w:val="0"/>
              <w:rPr>
                <w:rFonts w:hint="eastAsia"/>
                <w:b/>
                <w:bCs/>
                <w:color w:val="auto"/>
                <w:highlight w:val="none"/>
              </w:rPr>
            </w:pPr>
            <w:r>
              <w:rPr>
                <w:rFonts w:hint="eastAsia"/>
                <w:b/>
                <w:bCs/>
                <w:color w:val="auto"/>
                <w:highlight w:val="none"/>
              </w:rPr>
              <w:t>5.1本项目与《危险废物污染防治技术政策》（环发</w:t>
            </w:r>
            <w:r>
              <w:rPr>
                <w:rFonts w:hint="eastAsia"/>
                <w:b/>
                <w:bCs/>
                <w:color w:val="auto"/>
                <w:highlight w:val="none"/>
                <w:lang w:eastAsia="zh-CN"/>
              </w:rPr>
              <w:t>〔2001〕199号</w:t>
            </w:r>
            <w:r>
              <w:rPr>
                <w:rFonts w:hint="eastAsia"/>
                <w:b/>
                <w:bCs/>
                <w:color w:val="auto"/>
                <w:highlight w:val="none"/>
              </w:rPr>
              <w:t>）符合性分析</w:t>
            </w:r>
          </w:p>
          <w:p w14:paraId="10937F6B">
            <w:pPr>
              <w:bidi w:val="0"/>
              <w:rPr>
                <w:rFonts w:hint="eastAsia"/>
                <w:b/>
                <w:bCs/>
                <w:color w:val="auto"/>
                <w:highlight w:val="none"/>
              </w:rPr>
            </w:pPr>
          </w:p>
          <w:p w14:paraId="381D9E75">
            <w:pPr>
              <w:bidi w:val="0"/>
              <w:rPr>
                <w:rFonts w:hint="eastAsia"/>
                <w:b/>
                <w:bCs/>
                <w:color w:val="auto"/>
                <w:highlight w:val="none"/>
              </w:rPr>
            </w:pPr>
          </w:p>
          <w:p w14:paraId="399B90FA">
            <w:pPr>
              <w:pStyle w:val="25"/>
              <w:bidi w:val="0"/>
              <w:rPr>
                <w:rFonts w:cs="Times New Roman"/>
                <w:color w:val="auto"/>
                <w:sz w:val="24"/>
                <w:szCs w:val="24"/>
                <w:highlight w:val="none"/>
              </w:rPr>
            </w:pPr>
            <w:r>
              <w:rPr>
                <w:rFonts w:cs="Times New Roman"/>
                <w:color w:val="auto"/>
                <w:sz w:val="24"/>
                <w:szCs w:val="24"/>
                <w:highlight w:val="none"/>
              </w:rPr>
              <w:t>与</w:t>
            </w:r>
            <w:r>
              <w:rPr>
                <w:rFonts w:hint="eastAsia" w:cs="Times New Roman"/>
                <w:color w:val="auto"/>
                <w:sz w:val="24"/>
                <w:szCs w:val="24"/>
                <w:highlight w:val="none"/>
              </w:rPr>
              <w:t>《危险废物污染防治技术政策》（环发</w:t>
            </w:r>
            <w:r>
              <w:rPr>
                <w:rFonts w:hint="eastAsia" w:cs="Times New Roman"/>
                <w:color w:val="auto"/>
                <w:sz w:val="24"/>
                <w:szCs w:val="24"/>
                <w:highlight w:val="none"/>
                <w:lang w:eastAsia="zh-CN"/>
              </w:rPr>
              <w:t>〔2001〕199号</w:t>
            </w:r>
            <w:r>
              <w:rPr>
                <w:rFonts w:hint="eastAsia" w:cs="Times New Roman"/>
                <w:color w:val="auto"/>
                <w:sz w:val="24"/>
                <w:szCs w:val="24"/>
                <w:highlight w:val="none"/>
              </w:rPr>
              <w:t>）</w:t>
            </w:r>
            <w:r>
              <w:rPr>
                <w:rFonts w:cs="Times New Roman"/>
                <w:color w:val="auto"/>
                <w:sz w:val="24"/>
                <w:szCs w:val="24"/>
                <w:highlight w:val="none"/>
              </w:rPr>
              <w:t>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5"/>
              <w:gridCol w:w="3822"/>
              <w:gridCol w:w="3245"/>
              <w:gridCol w:w="718"/>
            </w:tblGrid>
            <w:tr w14:paraId="0BFCC5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op w:val="single" w:color="auto" w:sz="12" w:space="0"/>
                    <w:left w:val="nil"/>
                    <w:bottom w:val="single" w:color="auto" w:sz="4" w:space="0"/>
                    <w:right w:val="single" w:color="auto" w:sz="4" w:space="0"/>
                  </w:tcBorders>
                  <w:vAlign w:val="center"/>
                </w:tcPr>
                <w:p w14:paraId="30121D99">
                  <w:pPr>
                    <w:pStyle w:val="27"/>
                    <w:spacing w:line="240" w:lineRule="auto"/>
                    <w:rPr>
                      <w:rFonts w:hint="default"/>
                      <w:color w:val="auto"/>
                      <w:highlight w:val="none"/>
                    </w:rPr>
                  </w:pPr>
                  <w:r>
                    <w:rPr>
                      <w:rFonts w:eastAsia="宋体"/>
                      <w:b/>
                      <w:color w:val="auto"/>
                      <w:sz w:val="21"/>
                      <w:highlight w:val="none"/>
                    </w:rPr>
                    <w:t>序号</w:t>
                  </w:r>
                </w:p>
              </w:tc>
              <w:tc>
                <w:tcPr>
                  <w:tcW w:w="2339" w:type="pct"/>
                  <w:tcBorders>
                    <w:top w:val="single" w:color="auto" w:sz="12" w:space="0"/>
                    <w:left w:val="single" w:color="auto" w:sz="4" w:space="0"/>
                    <w:bottom w:val="single" w:color="auto" w:sz="4" w:space="0"/>
                    <w:right w:val="single" w:color="auto" w:sz="4" w:space="0"/>
                  </w:tcBorders>
                  <w:vAlign w:val="center"/>
                </w:tcPr>
                <w:p w14:paraId="1CED2736">
                  <w:pPr>
                    <w:pStyle w:val="27"/>
                    <w:spacing w:line="240" w:lineRule="auto"/>
                    <w:rPr>
                      <w:rFonts w:hint="default"/>
                      <w:color w:val="auto"/>
                      <w:highlight w:val="none"/>
                    </w:rPr>
                  </w:pPr>
                  <w:r>
                    <w:rPr>
                      <w:rFonts w:eastAsia="宋体"/>
                      <w:b/>
                      <w:color w:val="auto"/>
                      <w:sz w:val="21"/>
                      <w:highlight w:val="none"/>
                    </w:rPr>
                    <w:t>分析内容</w:t>
                  </w:r>
                </w:p>
              </w:tc>
              <w:tc>
                <w:tcPr>
                  <w:tcW w:w="1985" w:type="pct"/>
                  <w:tcBorders>
                    <w:top w:val="single" w:color="auto" w:sz="12" w:space="0"/>
                    <w:left w:val="single" w:color="auto" w:sz="4" w:space="0"/>
                    <w:bottom w:val="single" w:color="auto" w:sz="4" w:space="0"/>
                    <w:right w:val="single" w:color="auto" w:sz="4" w:space="0"/>
                  </w:tcBorders>
                  <w:vAlign w:val="center"/>
                </w:tcPr>
                <w:p w14:paraId="11C81DA6">
                  <w:pPr>
                    <w:pStyle w:val="27"/>
                    <w:spacing w:line="240" w:lineRule="auto"/>
                    <w:rPr>
                      <w:rFonts w:hint="default"/>
                      <w:color w:val="auto"/>
                      <w:highlight w:val="none"/>
                    </w:rPr>
                  </w:pPr>
                  <w:r>
                    <w:rPr>
                      <w:rFonts w:eastAsia="宋体"/>
                      <w:b/>
                      <w:color w:val="auto"/>
                      <w:sz w:val="21"/>
                      <w:highlight w:val="none"/>
                    </w:rPr>
                    <w:t>本项目情况</w:t>
                  </w:r>
                </w:p>
              </w:tc>
              <w:tc>
                <w:tcPr>
                  <w:tcW w:w="439" w:type="pct"/>
                  <w:tcBorders>
                    <w:top w:val="single" w:color="auto" w:sz="12" w:space="0"/>
                    <w:left w:val="single" w:color="auto" w:sz="4" w:space="0"/>
                    <w:bottom w:val="single" w:color="auto" w:sz="4" w:space="0"/>
                    <w:right w:val="nil"/>
                  </w:tcBorders>
                  <w:vAlign w:val="center"/>
                </w:tcPr>
                <w:p w14:paraId="4A9DCCF3">
                  <w:pPr>
                    <w:pStyle w:val="27"/>
                    <w:spacing w:line="240" w:lineRule="auto"/>
                    <w:rPr>
                      <w:rFonts w:hint="default"/>
                      <w:color w:val="auto"/>
                      <w:highlight w:val="none"/>
                    </w:rPr>
                  </w:pPr>
                  <w:r>
                    <w:rPr>
                      <w:rFonts w:eastAsia="宋体"/>
                      <w:b/>
                      <w:color w:val="auto"/>
                      <w:sz w:val="21"/>
                      <w:highlight w:val="none"/>
                    </w:rPr>
                    <w:t>分析结果</w:t>
                  </w:r>
                </w:p>
              </w:tc>
            </w:tr>
            <w:tr w14:paraId="2186E2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op w:val="single" w:color="auto" w:sz="4" w:space="0"/>
                    <w:left w:val="nil"/>
                    <w:bottom w:val="single" w:color="auto" w:sz="4" w:space="0"/>
                    <w:right w:val="single" w:color="auto" w:sz="4" w:space="0"/>
                  </w:tcBorders>
                  <w:vAlign w:val="center"/>
                </w:tcPr>
                <w:p w14:paraId="60266274">
                  <w:pPr>
                    <w:pStyle w:val="24"/>
                    <w:spacing w:line="240" w:lineRule="auto"/>
                    <w:rPr>
                      <w:color w:val="auto"/>
                      <w:highlight w:val="none"/>
                    </w:rPr>
                  </w:pPr>
                  <w:r>
                    <w:rPr>
                      <w:rFonts w:hint="eastAsia"/>
                      <w:color w:val="auto"/>
                      <w:highlight w:val="none"/>
                    </w:rPr>
                    <w:t>1</w:t>
                  </w:r>
                </w:p>
              </w:tc>
              <w:tc>
                <w:tcPr>
                  <w:tcW w:w="2339" w:type="pct"/>
                  <w:tcBorders>
                    <w:top w:val="single" w:color="auto" w:sz="4" w:space="0"/>
                    <w:left w:val="single" w:color="auto" w:sz="4" w:space="0"/>
                    <w:bottom w:val="single" w:color="auto" w:sz="4" w:space="0"/>
                    <w:right w:val="single" w:color="auto" w:sz="4" w:space="0"/>
                  </w:tcBorders>
                  <w:vAlign w:val="center"/>
                </w:tcPr>
                <w:p w14:paraId="50A5D00C">
                  <w:pPr>
                    <w:pStyle w:val="24"/>
                    <w:spacing w:line="240" w:lineRule="auto"/>
                    <w:rPr>
                      <w:color w:val="auto"/>
                      <w:highlight w:val="none"/>
                    </w:rPr>
                  </w:pPr>
                  <w:r>
                    <w:rPr>
                      <w:rFonts w:hint="eastAsia"/>
                      <w:color w:val="auto"/>
                      <w:highlight w:val="none"/>
                    </w:rPr>
                    <w:t>危险废物要根据其成分，用符合国家标准的专门容器分类收集</w:t>
                  </w:r>
                </w:p>
              </w:tc>
              <w:tc>
                <w:tcPr>
                  <w:tcW w:w="1985" w:type="pct"/>
                  <w:tcBorders>
                    <w:top w:val="single" w:color="auto" w:sz="4" w:space="0"/>
                    <w:left w:val="single" w:color="auto" w:sz="4" w:space="0"/>
                    <w:bottom w:val="single" w:color="auto" w:sz="4" w:space="0"/>
                    <w:right w:val="single" w:color="auto" w:sz="4" w:space="0"/>
                  </w:tcBorders>
                  <w:vAlign w:val="center"/>
                </w:tcPr>
                <w:p w14:paraId="46B9289B">
                  <w:pPr>
                    <w:pStyle w:val="24"/>
                    <w:spacing w:line="240" w:lineRule="auto"/>
                    <w:rPr>
                      <w:color w:val="auto"/>
                      <w:highlight w:val="none"/>
                    </w:rPr>
                  </w:pPr>
                  <w:r>
                    <w:rPr>
                      <w:rFonts w:hint="eastAsia"/>
                      <w:color w:val="auto"/>
                      <w:highlight w:val="none"/>
                    </w:rPr>
                    <w:t>本项目危险废物均通过专门的容器进行分类收集</w:t>
                  </w:r>
                </w:p>
              </w:tc>
              <w:tc>
                <w:tcPr>
                  <w:tcW w:w="439" w:type="pct"/>
                  <w:tcBorders>
                    <w:top w:val="single" w:color="auto" w:sz="4" w:space="0"/>
                    <w:left w:val="single" w:color="auto" w:sz="4" w:space="0"/>
                    <w:bottom w:val="single" w:color="auto" w:sz="4" w:space="0"/>
                    <w:right w:val="nil"/>
                  </w:tcBorders>
                  <w:vAlign w:val="center"/>
                </w:tcPr>
                <w:p w14:paraId="3D1CE6E3">
                  <w:pPr>
                    <w:pStyle w:val="24"/>
                    <w:spacing w:line="240" w:lineRule="auto"/>
                    <w:rPr>
                      <w:color w:val="auto"/>
                      <w:highlight w:val="none"/>
                    </w:rPr>
                  </w:pPr>
                  <w:r>
                    <w:rPr>
                      <w:rFonts w:hint="eastAsia"/>
                      <w:color w:val="auto"/>
                      <w:highlight w:val="none"/>
                    </w:rPr>
                    <w:t>符合</w:t>
                  </w:r>
                </w:p>
              </w:tc>
            </w:tr>
            <w:tr w14:paraId="1EA242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op w:val="single" w:color="auto" w:sz="4" w:space="0"/>
                    <w:left w:val="nil"/>
                    <w:bottom w:val="single" w:color="auto" w:sz="4" w:space="0"/>
                    <w:right w:val="single" w:color="auto" w:sz="4" w:space="0"/>
                  </w:tcBorders>
                  <w:vAlign w:val="center"/>
                </w:tcPr>
                <w:p w14:paraId="493F28C2">
                  <w:pPr>
                    <w:pStyle w:val="24"/>
                    <w:spacing w:line="240" w:lineRule="auto"/>
                    <w:rPr>
                      <w:color w:val="auto"/>
                      <w:highlight w:val="none"/>
                    </w:rPr>
                  </w:pPr>
                  <w:r>
                    <w:rPr>
                      <w:rFonts w:hint="eastAsia"/>
                      <w:color w:val="auto"/>
                      <w:highlight w:val="none"/>
                    </w:rPr>
                    <w:t>2</w:t>
                  </w:r>
                </w:p>
              </w:tc>
              <w:tc>
                <w:tcPr>
                  <w:tcW w:w="2339" w:type="pct"/>
                  <w:tcBorders>
                    <w:top w:val="single" w:color="auto" w:sz="4" w:space="0"/>
                    <w:left w:val="single" w:color="auto" w:sz="4" w:space="0"/>
                    <w:bottom w:val="single" w:color="auto" w:sz="4" w:space="0"/>
                    <w:right w:val="single" w:color="auto" w:sz="4" w:space="0"/>
                  </w:tcBorders>
                  <w:vAlign w:val="center"/>
                </w:tcPr>
                <w:p w14:paraId="586E9CC8">
                  <w:pPr>
                    <w:pStyle w:val="24"/>
                    <w:spacing w:line="240" w:lineRule="auto"/>
                    <w:rPr>
                      <w:color w:val="auto"/>
                      <w:highlight w:val="none"/>
                    </w:rPr>
                  </w:pPr>
                  <w:r>
                    <w:rPr>
                      <w:rFonts w:hint="eastAsia"/>
                      <w:color w:val="auto"/>
                      <w:highlight w:val="none"/>
                    </w:rPr>
                    <w:t>装运危险废物的容器应根据危险废物的不同特性而设计，不易破损、变形、老化，能有效地防止渗漏、扩散。装有危险废物的容器必须贴有标签，在标签上详细标明危险废物的名称、重量、成分、特性以及发生泄漏、扩散污染事故时的应急措施和补救方法</w:t>
                  </w:r>
                </w:p>
              </w:tc>
              <w:tc>
                <w:tcPr>
                  <w:tcW w:w="1985" w:type="pct"/>
                  <w:tcBorders>
                    <w:top w:val="single" w:color="auto" w:sz="4" w:space="0"/>
                    <w:left w:val="single" w:color="auto" w:sz="4" w:space="0"/>
                    <w:bottom w:val="single" w:color="auto" w:sz="4" w:space="0"/>
                    <w:right w:val="single" w:color="auto" w:sz="4" w:space="0"/>
                  </w:tcBorders>
                  <w:vAlign w:val="center"/>
                </w:tcPr>
                <w:p w14:paraId="307F7491">
                  <w:pPr>
                    <w:pStyle w:val="24"/>
                    <w:spacing w:line="240" w:lineRule="auto"/>
                    <w:rPr>
                      <w:color w:val="auto"/>
                      <w:highlight w:val="none"/>
                    </w:rPr>
                  </w:pPr>
                  <w:r>
                    <w:rPr>
                      <w:rFonts w:hint="eastAsia"/>
                      <w:color w:val="auto"/>
                      <w:highlight w:val="none"/>
                    </w:rPr>
                    <w:t>本项目装运危险废物的容器根据危险废物</w:t>
                  </w:r>
                  <w:r>
                    <w:rPr>
                      <w:rFonts w:hint="eastAsia"/>
                      <w:color w:val="auto"/>
                      <w:highlight w:val="none"/>
                      <w:lang w:eastAsia="zh-CN"/>
                    </w:rPr>
                    <w:t>特性</w:t>
                  </w:r>
                  <w:r>
                    <w:rPr>
                      <w:rFonts w:hint="eastAsia"/>
                      <w:color w:val="auto"/>
                      <w:highlight w:val="none"/>
                    </w:rPr>
                    <w:t>配备</w:t>
                  </w:r>
                  <w:r>
                    <w:rPr>
                      <w:rFonts w:hint="eastAsia"/>
                      <w:color w:val="auto"/>
                      <w:highlight w:val="none"/>
                      <w:lang w:eastAsia="zh-CN"/>
                    </w:rPr>
                    <w:t>相应</w:t>
                  </w:r>
                  <w:r>
                    <w:rPr>
                      <w:rFonts w:hint="eastAsia"/>
                      <w:color w:val="auto"/>
                      <w:highlight w:val="none"/>
                    </w:rPr>
                    <w:t>容器，并贴有标签，在标签上详细标明危险废物的名称</w:t>
                  </w:r>
                  <w:r>
                    <w:rPr>
                      <w:rFonts w:hint="eastAsia"/>
                      <w:color w:val="auto"/>
                      <w:highlight w:val="none"/>
                      <w:lang w:eastAsia="zh-CN"/>
                    </w:rPr>
                    <w:t>等信息。并设置了</w:t>
                  </w:r>
                  <w:r>
                    <w:rPr>
                      <w:rFonts w:hint="eastAsia"/>
                      <w:color w:val="auto"/>
                      <w:highlight w:val="none"/>
                    </w:rPr>
                    <w:t>发生泄漏、扩散污染事故时的应急措施和补救方法</w:t>
                  </w:r>
                </w:p>
              </w:tc>
              <w:tc>
                <w:tcPr>
                  <w:tcW w:w="439" w:type="pct"/>
                  <w:tcBorders>
                    <w:top w:val="single" w:color="auto" w:sz="4" w:space="0"/>
                    <w:left w:val="single" w:color="auto" w:sz="4" w:space="0"/>
                    <w:bottom w:val="single" w:color="auto" w:sz="4" w:space="0"/>
                    <w:right w:val="nil"/>
                  </w:tcBorders>
                  <w:vAlign w:val="center"/>
                </w:tcPr>
                <w:p w14:paraId="279E2A5B">
                  <w:pPr>
                    <w:pStyle w:val="24"/>
                    <w:spacing w:line="240" w:lineRule="auto"/>
                    <w:rPr>
                      <w:color w:val="auto"/>
                      <w:highlight w:val="none"/>
                    </w:rPr>
                  </w:pPr>
                  <w:r>
                    <w:rPr>
                      <w:rFonts w:hint="eastAsia"/>
                      <w:color w:val="auto"/>
                      <w:highlight w:val="none"/>
                    </w:rPr>
                    <w:t>符合</w:t>
                  </w:r>
                </w:p>
              </w:tc>
            </w:tr>
            <w:tr w14:paraId="779079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op w:val="single" w:color="auto" w:sz="4" w:space="0"/>
                    <w:left w:val="nil"/>
                    <w:bottom w:val="single" w:color="auto" w:sz="4" w:space="0"/>
                    <w:right w:val="single" w:color="auto" w:sz="4" w:space="0"/>
                  </w:tcBorders>
                  <w:vAlign w:val="center"/>
                </w:tcPr>
                <w:p w14:paraId="391A650E">
                  <w:pPr>
                    <w:pStyle w:val="24"/>
                    <w:spacing w:line="240" w:lineRule="auto"/>
                    <w:rPr>
                      <w:color w:val="auto"/>
                      <w:highlight w:val="none"/>
                    </w:rPr>
                  </w:pPr>
                  <w:r>
                    <w:rPr>
                      <w:rFonts w:hint="eastAsia"/>
                      <w:color w:val="auto"/>
                      <w:highlight w:val="none"/>
                    </w:rPr>
                    <w:t>3</w:t>
                  </w:r>
                </w:p>
              </w:tc>
              <w:tc>
                <w:tcPr>
                  <w:tcW w:w="2339" w:type="pct"/>
                  <w:tcBorders>
                    <w:top w:val="single" w:color="auto" w:sz="4" w:space="0"/>
                    <w:left w:val="single" w:color="auto" w:sz="4" w:space="0"/>
                    <w:bottom w:val="single" w:color="auto" w:sz="4" w:space="0"/>
                    <w:right w:val="single" w:color="auto" w:sz="4" w:space="0"/>
                  </w:tcBorders>
                  <w:vAlign w:val="center"/>
                </w:tcPr>
                <w:p w14:paraId="4DD28043">
                  <w:pPr>
                    <w:pStyle w:val="24"/>
                    <w:spacing w:line="240" w:lineRule="auto"/>
                    <w:rPr>
                      <w:color w:val="auto"/>
                      <w:highlight w:val="none"/>
                    </w:rPr>
                  </w:pPr>
                  <w:r>
                    <w:rPr>
                      <w:rFonts w:hint="eastAsia"/>
                      <w:color w:val="auto"/>
                      <w:highlight w:val="none"/>
                    </w:rPr>
                    <w:t>对已产生的危险废物，若暂时不能回收利用或进行处理处置的，其产生单位须建设专门的危险废物贮存设施进行贮存，并设立危险废物标志，或委托具有专门危险废物贮存设施的单位进行贮存，贮存期限不得超过国家规定</w:t>
                  </w:r>
                </w:p>
              </w:tc>
              <w:tc>
                <w:tcPr>
                  <w:tcW w:w="1985" w:type="pct"/>
                  <w:tcBorders>
                    <w:top w:val="single" w:color="auto" w:sz="4" w:space="0"/>
                    <w:left w:val="single" w:color="auto" w:sz="4" w:space="0"/>
                    <w:bottom w:val="single" w:color="auto" w:sz="4" w:space="0"/>
                    <w:right w:val="single" w:color="auto" w:sz="4" w:space="0"/>
                  </w:tcBorders>
                  <w:vAlign w:val="center"/>
                </w:tcPr>
                <w:p w14:paraId="1DA8B63C">
                  <w:pPr>
                    <w:pStyle w:val="24"/>
                    <w:spacing w:line="240" w:lineRule="auto"/>
                    <w:rPr>
                      <w:color w:val="auto"/>
                      <w:highlight w:val="none"/>
                    </w:rPr>
                  </w:pPr>
                  <w:r>
                    <w:rPr>
                      <w:rFonts w:hint="eastAsia"/>
                      <w:color w:val="auto"/>
                      <w:szCs w:val="21"/>
                      <w:highlight w:val="none"/>
                    </w:rPr>
                    <w:t>北票发电有限责任公司</w:t>
                  </w:r>
                  <w:r>
                    <w:rPr>
                      <w:rFonts w:hint="eastAsia"/>
                      <w:color w:val="auto"/>
                      <w:szCs w:val="21"/>
                      <w:highlight w:val="none"/>
                      <w:lang w:eastAsia="zh-CN"/>
                    </w:rPr>
                    <w:t>厂区内所</w:t>
                  </w:r>
                  <w:r>
                    <w:rPr>
                      <w:rFonts w:hint="eastAsia"/>
                      <w:color w:val="auto"/>
                      <w:highlight w:val="none"/>
                    </w:rPr>
                    <w:t>产生的危险废物均及时收集至本项目</w:t>
                  </w:r>
                  <w:r>
                    <w:rPr>
                      <w:rFonts w:hint="eastAsia"/>
                      <w:color w:val="auto"/>
                      <w:highlight w:val="none"/>
                      <w:lang w:eastAsia="zh-CN"/>
                    </w:rPr>
                    <w:t>危险废物贮存点</w:t>
                  </w:r>
                  <w:r>
                    <w:rPr>
                      <w:rFonts w:hint="eastAsia"/>
                      <w:color w:val="auto"/>
                      <w:highlight w:val="none"/>
                    </w:rPr>
                    <w:t>内</w:t>
                  </w:r>
                  <w:r>
                    <w:rPr>
                      <w:rFonts w:hint="eastAsia"/>
                      <w:color w:val="auto"/>
                      <w:highlight w:val="none"/>
                      <w:lang w:eastAsia="zh-CN"/>
                    </w:rPr>
                    <w:t>暂时</w:t>
                  </w:r>
                  <w:r>
                    <w:rPr>
                      <w:rFonts w:hint="eastAsia"/>
                      <w:color w:val="auto"/>
                      <w:highlight w:val="none"/>
                    </w:rPr>
                    <w:t>贮存</w:t>
                  </w:r>
                </w:p>
              </w:tc>
              <w:tc>
                <w:tcPr>
                  <w:tcW w:w="439" w:type="pct"/>
                  <w:tcBorders>
                    <w:top w:val="single" w:color="auto" w:sz="4" w:space="0"/>
                    <w:left w:val="single" w:color="auto" w:sz="4" w:space="0"/>
                    <w:bottom w:val="single" w:color="auto" w:sz="4" w:space="0"/>
                    <w:right w:val="nil"/>
                  </w:tcBorders>
                  <w:vAlign w:val="center"/>
                </w:tcPr>
                <w:p w14:paraId="59D7A10A">
                  <w:pPr>
                    <w:pStyle w:val="24"/>
                    <w:spacing w:line="240" w:lineRule="auto"/>
                    <w:rPr>
                      <w:color w:val="auto"/>
                      <w:highlight w:val="none"/>
                    </w:rPr>
                  </w:pPr>
                  <w:r>
                    <w:rPr>
                      <w:rFonts w:hint="eastAsia"/>
                      <w:color w:val="auto"/>
                      <w:highlight w:val="none"/>
                    </w:rPr>
                    <w:t>符合</w:t>
                  </w:r>
                </w:p>
              </w:tc>
            </w:tr>
            <w:tr w14:paraId="3E3E51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op w:val="single" w:color="auto" w:sz="4" w:space="0"/>
                    <w:left w:val="nil"/>
                    <w:bottom w:val="single" w:color="auto" w:sz="4" w:space="0"/>
                    <w:right w:val="single" w:color="auto" w:sz="4" w:space="0"/>
                  </w:tcBorders>
                  <w:vAlign w:val="center"/>
                </w:tcPr>
                <w:p w14:paraId="4101B64E">
                  <w:pPr>
                    <w:pStyle w:val="24"/>
                    <w:spacing w:line="240" w:lineRule="auto"/>
                    <w:rPr>
                      <w:color w:val="auto"/>
                      <w:highlight w:val="none"/>
                    </w:rPr>
                  </w:pPr>
                  <w:r>
                    <w:rPr>
                      <w:rFonts w:hint="eastAsia"/>
                      <w:color w:val="auto"/>
                      <w:highlight w:val="none"/>
                    </w:rPr>
                    <w:t>4</w:t>
                  </w:r>
                </w:p>
              </w:tc>
              <w:tc>
                <w:tcPr>
                  <w:tcW w:w="2339" w:type="pct"/>
                  <w:tcBorders>
                    <w:top w:val="single" w:color="auto" w:sz="4" w:space="0"/>
                    <w:left w:val="single" w:color="auto" w:sz="4" w:space="0"/>
                    <w:bottom w:val="single" w:color="auto" w:sz="4" w:space="0"/>
                    <w:right w:val="single" w:color="auto" w:sz="4" w:space="0"/>
                  </w:tcBorders>
                  <w:vAlign w:val="center"/>
                </w:tcPr>
                <w:p w14:paraId="7537DC2E">
                  <w:pPr>
                    <w:pStyle w:val="24"/>
                    <w:spacing w:line="240" w:lineRule="auto"/>
                    <w:rPr>
                      <w:color w:val="auto"/>
                      <w:highlight w:val="none"/>
                    </w:rPr>
                  </w:pPr>
                  <w:r>
                    <w:rPr>
                      <w:rFonts w:hint="eastAsia"/>
                      <w:color w:val="auto"/>
                      <w:highlight w:val="none"/>
                    </w:rPr>
                    <w:t>应建有堵截泄漏的裙脚，地面与裙脚要用坚固防渗的材料建造。应有隔离设施、报警装置和防风、防晒、防雨设施</w:t>
                  </w:r>
                </w:p>
              </w:tc>
              <w:tc>
                <w:tcPr>
                  <w:tcW w:w="1985" w:type="pct"/>
                  <w:tcBorders>
                    <w:top w:val="single" w:color="auto" w:sz="4" w:space="0"/>
                    <w:left w:val="single" w:color="auto" w:sz="4" w:space="0"/>
                    <w:bottom w:val="single" w:color="auto" w:sz="4" w:space="0"/>
                    <w:right w:val="single" w:color="auto" w:sz="4" w:space="0"/>
                  </w:tcBorders>
                  <w:vAlign w:val="center"/>
                </w:tcPr>
                <w:p w14:paraId="762F51A2">
                  <w:pPr>
                    <w:pStyle w:val="24"/>
                    <w:spacing w:line="240" w:lineRule="auto"/>
                    <w:rPr>
                      <w:color w:val="auto"/>
                      <w:highlight w:val="none"/>
                    </w:rPr>
                  </w:pPr>
                  <w:r>
                    <w:rPr>
                      <w:rFonts w:hint="eastAsia"/>
                      <w:color w:val="auto"/>
                      <w:highlight w:val="none"/>
                    </w:rPr>
                    <w:t>本项目</w:t>
                  </w:r>
                  <w:r>
                    <w:rPr>
                      <w:rFonts w:hint="eastAsia"/>
                      <w:color w:val="auto"/>
                      <w:highlight w:val="none"/>
                      <w:lang w:eastAsia="zh-CN"/>
                    </w:rPr>
                    <w:t>危险废物贮存点</w:t>
                  </w:r>
                  <w:r>
                    <w:rPr>
                      <w:rFonts w:hint="eastAsia"/>
                      <w:color w:val="auto"/>
                      <w:highlight w:val="none"/>
                    </w:rPr>
                    <w:t>建设导流</w:t>
                  </w:r>
                  <w:r>
                    <w:rPr>
                      <w:rFonts w:hint="eastAsia"/>
                      <w:color w:val="auto"/>
                      <w:highlight w:val="none"/>
                      <w:lang w:eastAsia="zh-CN"/>
                    </w:rPr>
                    <w:t>沟</w:t>
                  </w:r>
                  <w:r>
                    <w:rPr>
                      <w:rFonts w:hint="eastAsia"/>
                      <w:color w:val="auto"/>
                      <w:highlight w:val="none"/>
                    </w:rPr>
                    <w:t>，可有效截流泄漏液体，地面与导流</w:t>
                  </w:r>
                  <w:r>
                    <w:rPr>
                      <w:rFonts w:hint="eastAsia"/>
                      <w:color w:val="auto"/>
                      <w:highlight w:val="none"/>
                      <w:lang w:eastAsia="zh-CN"/>
                    </w:rPr>
                    <w:t>沟</w:t>
                  </w:r>
                  <w:r>
                    <w:rPr>
                      <w:rFonts w:hint="eastAsia"/>
                      <w:color w:val="auto"/>
                      <w:highlight w:val="none"/>
                    </w:rPr>
                    <w:t>等均进行</w:t>
                  </w:r>
                  <w:r>
                    <w:rPr>
                      <w:rFonts w:hint="eastAsia"/>
                      <w:color w:val="auto"/>
                      <w:highlight w:val="none"/>
                      <w:lang w:eastAsia="zh-CN"/>
                    </w:rPr>
                    <w:t>加固</w:t>
                  </w:r>
                  <w:r>
                    <w:rPr>
                      <w:rFonts w:hint="eastAsia"/>
                      <w:color w:val="auto"/>
                      <w:highlight w:val="none"/>
                    </w:rPr>
                    <w:t>防渗的材料，</w:t>
                  </w:r>
                  <w:r>
                    <w:rPr>
                      <w:rFonts w:hint="eastAsia"/>
                      <w:color w:val="auto"/>
                      <w:highlight w:val="none"/>
                      <w:lang w:eastAsia="zh-CN"/>
                    </w:rPr>
                    <w:t>危险废物贮存点</w:t>
                  </w:r>
                  <w:r>
                    <w:rPr>
                      <w:rFonts w:hint="eastAsia"/>
                      <w:color w:val="auto"/>
                      <w:highlight w:val="none"/>
                    </w:rPr>
                    <w:t>内设置隔离设施、报警装置，可达到防风、防晒、防雨要求</w:t>
                  </w:r>
                </w:p>
              </w:tc>
              <w:tc>
                <w:tcPr>
                  <w:tcW w:w="439" w:type="pct"/>
                  <w:tcBorders>
                    <w:top w:val="single" w:color="auto" w:sz="4" w:space="0"/>
                    <w:left w:val="single" w:color="auto" w:sz="4" w:space="0"/>
                    <w:bottom w:val="single" w:color="auto" w:sz="4" w:space="0"/>
                    <w:right w:val="nil"/>
                  </w:tcBorders>
                  <w:vAlign w:val="center"/>
                </w:tcPr>
                <w:p w14:paraId="131C37B2">
                  <w:pPr>
                    <w:pStyle w:val="24"/>
                    <w:spacing w:line="240" w:lineRule="auto"/>
                    <w:rPr>
                      <w:color w:val="auto"/>
                      <w:highlight w:val="none"/>
                    </w:rPr>
                  </w:pPr>
                  <w:r>
                    <w:rPr>
                      <w:rFonts w:hint="eastAsia"/>
                      <w:color w:val="auto"/>
                      <w:highlight w:val="none"/>
                    </w:rPr>
                    <w:t>符合</w:t>
                  </w:r>
                </w:p>
              </w:tc>
            </w:tr>
            <w:tr w14:paraId="39310E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op w:val="single" w:color="auto" w:sz="4" w:space="0"/>
                    <w:left w:val="nil"/>
                    <w:bottom w:val="single" w:color="auto" w:sz="4" w:space="0"/>
                    <w:right w:val="single" w:color="auto" w:sz="4" w:space="0"/>
                  </w:tcBorders>
                  <w:vAlign w:val="center"/>
                </w:tcPr>
                <w:p w14:paraId="612AC205">
                  <w:pPr>
                    <w:pStyle w:val="24"/>
                    <w:spacing w:line="240" w:lineRule="auto"/>
                    <w:rPr>
                      <w:color w:val="auto"/>
                      <w:highlight w:val="none"/>
                    </w:rPr>
                  </w:pPr>
                  <w:r>
                    <w:rPr>
                      <w:rFonts w:hint="eastAsia"/>
                      <w:color w:val="auto"/>
                      <w:highlight w:val="none"/>
                    </w:rPr>
                    <w:t>5</w:t>
                  </w:r>
                </w:p>
              </w:tc>
              <w:tc>
                <w:tcPr>
                  <w:tcW w:w="2339" w:type="pct"/>
                  <w:tcBorders>
                    <w:top w:val="single" w:color="auto" w:sz="4" w:space="0"/>
                    <w:left w:val="single" w:color="auto" w:sz="4" w:space="0"/>
                    <w:bottom w:val="single" w:color="auto" w:sz="4" w:space="0"/>
                    <w:right w:val="single" w:color="auto" w:sz="4" w:space="0"/>
                  </w:tcBorders>
                  <w:vAlign w:val="center"/>
                </w:tcPr>
                <w:p w14:paraId="3E258E8E">
                  <w:pPr>
                    <w:pStyle w:val="24"/>
                    <w:spacing w:line="240" w:lineRule="auto"/>
                    <w:rPr>
                      <w:color w:val="auto"/>
                      <w:highlight w:val="none"/>
                    </w:rPr>
                  </w:pPr>
                  <w:r>
                    <w:rPr>
                      <w:rFonts w:hint="eastAsia"/>
                      <w:color w:val="auto"/>
                      <w:highlight w:val="none"/>
                    </w:rPr>
                    <w:t>基础防渗层为粘土层的，其厚度应在1米以上，渗透系数应小于1.0×10</w:t>
                  </w:r>
                  <w:r>
                    <w:rPr>
                      <w:rFonts w:hint="eastAsia"/>
                      <w:color w:val="auto"/>
                      <w:highlight w:val="none"/>
                      <w:vertAlign w:val="superscript"/>
                    </w:rPr>
                    <w:t>－7</w:t>
                  </w:r>
                  <w:r>
                    <w:rPr>
                      <w:rFonts w:hint="eastAsia"/>
                      <w:color w:val="auto"/>
                      <w:highlight w:val="none"/>
                    </w:rPr>
                    <w:t>厘米/秒；基础防渗层也可用厚度在2毫米以上的高密度聚乙烯或其他人工防渗材料组成，渗透系数应小于1.0×10</w:t>
                  </w:r>
                  <w:r>
                    <w:rPr>
                      <w:rFonts w:hint="eastAsia"/>
                      <w:color w:val="auto"/>
                      <w:highlight w:val="none"/>
                      <w:vertAlign w:val="superscript"/>
                    </w:rPr>
                    <w:t>－10</w:t>
                  </w:r>
                  <w:r>
                    <w:rPr>
                      <w:rFonts w:hint="eastAsia"/>
                      <w:color w:val="auto"/>
                      <w:highlight w:val="none"/>
                    </w:rPr>
                    <w:t>厘米/秒</w:t>
                  </w:r>
                </w:p>
              </w:tc>
              <w:tc>
                <w:tcPr>
                  <w:tcW w:w="1985" w:type="pct"/>
                  <w:tcBorders>
                    <w:top w:val="single" w:color="auto" w:sz="4" w:space="0"/>
                    <w:left w:val="single" w:color="auto" w:sz="4" w:space="0"/>
                    <w:bottom w:val="single" w:color="auto" w:sz="4" w:space="0"/>
                    <w:right w:val="single" w:color="auto" w:sz="4" w:space="0"/>
                  </w:tcBorders>
                  <w:vAlign w:val="center"/>
                </w:tcPr>
                <w:p w14:paraId="1C7FAB9D">
                  <w:pPr>
                    <w:pStyle w:val="24"/>
                    <w:spacing w:line="240" w:lineRule="auto"/>
                    <w:rPr>
                      <w:color w:val="auto"/>
                      <w:highlight w:val="none"/>
                    </w:rPr>
                  </w:pPr>
                  <w:r>
                    <w:rPr>
                      <w:rFonts w:hint="eastAsia"/>
                      <w:color w:val="auto"/>
                      <w:highlight w:val="none"/>
                    </w:rPr>
                    <w:t>本项目防渗层满足基础防渗层为粘土层的，其厚度应在1米以上，渗透系数应小于1.0×10</w:t>
                  </w:r>
                  <w:r>
                    <w:rPr>
                      <w:rFonts w:hint="eastAsia"/>
                      <w:color w:val="auto"/>
                      <w:highlight w:val="none"/>
                      <w:vertAlign w:val="superscript"/>
                    </w:rPr>
                    <w:t>－7</w:t>
                  </w:r>
                  <w:r>
                    <w:rPr>
                      <w:rFonts w:hint="eastAsia"/>
                      <w:color w:val="auto"/>
                      <w:highlight w:val="none"/>
                    </w:rPr>
                    <w:t>厘米/秒；基础防渗层也可用厚度在2毫米以上的高密度聚乙烯或其他人工防渗材料组成，渗透系数应小于1.0×10</w:t>
                  </w:r>
                  <w:r>
                    <w:rPr>
                      <w:rFonts w:hint="eastAsia"/>
                      <w:color w:val="auto"/>
                      <w:highlight w:val="none"/>
                      <w:vertAlign w:val="superscript"/>
                    </w:rPr>
                    <w:t>－10</w:t>
                  </w:r>
                  <w:r>
                    <w:rPr>
                      <w:rFonts w:hint="eastAsia"/>
                      <w:color w:val="auto"/>
                      <w:highlight w:val="none"/>
                    </w:rPr>
                    <w:t>厘米/秒</w:t>
                  </w:r>
                </w:p>
              </w:tc>
              <w:tc>
                <w:tcPr>
                  <w:tcW w:w="439" w:type="pct"/>
                  <w:tcBorders>
                    <w:top w:val="single" w:color="auto" w:sz="4" w:space="0"/>
                    <w:left w:val="single" w:color="auto" w:sz="4" w:space="0"/>
                    <w:bottom w:val="single" w:color="auto" w:sz="4" w:space="0"/>
                    <w:right w:val="nil"/>
                  </w:tcBorders>
                  <w:vAlign w:val="center"/>
                </w:tcPr>
                <w:p w14:paraId="1491909B">
                  <w:pPr>
                    <w:pStyle w:val="24"/>
                    <w:spacing w:line="240" w:lineRule="auto"/>
                    <w:rPr>
                      <w:color w:val="auto"/>
                      <w:highlight w:val="none"/>
                    </w:rPr>
                  </w:pPr>
                  <w:r>
                    <w:rPr>
                      <w:rFonts w:hint="eastAsia"/>
                      <w:color w:val="auto"/>
                      <w:highlight w:val="none"/>
                    </w:rPr>
                    <w:t>符合</w:t>
                  </w:r>
                </w:p>
              </w:tc>
            </w:tr>
            <w:tr w14:paraId="0EAB4E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op w:val="single" w:color="auto" w:sz="4" w:space="0"/>
                    <w:left w:val="nil"/>
                    <w:bottom w:val="single" w:color="auto" w:sz="4" w:space="0"/>
                    <w:right w:val="single" w:color="auto" w:sz="4" w:space="0"/>
                  </w:tcBorders>
                  <w:vAlign w:val="center"/>
                </w:tcPr>
                <w:p w14:paraId="7F0B524E">
                  <w:pPr>
                    <w:pStyle w:val="24"/>
                    <w:spacing w:line="240" w:lineRule="auto"/>
                    <w:rPr>
                      <w:color w:val="auto"/>
                      <w:highlight w:val="none"/>
                    </w:rPr>
                  </w:pPr>
                  <w:r>
                    <w:rPr>
                      <w:rFonts w:hint="eastAsia"/>
                      <w:color w:val="auto"/>
                      <w:highlight w:val="none"/>
                    </w:rPr>
                    <w:t>6</w:t>
                  </w:r>
                </w:p>
              </w:tc>
              <w:tc>
                <w:tcPr>
                  <w:tcW w:w="2339" w:type="pct"/>
                  <w:tcBorders>
                    <w:top w:val="single" w:color="auto" w:sz="4" w:space="0"/>
                    <w:left w:val="single" w:color="auto" w:sz="4" w:space="0"/>
                    <w:bottom w:val="single" w:color="auto" w:sz="4" w:space="0"/>
                    <w:right w:val="single" w:color="auto" w:sz="4" w:space="0"/>
                  </w:tcBorders>
                  <w:vAlign w:val="center"/>
                </w:tcPr>
                <w:p w14:paraId="28303164">
                  <w:pPr>
                    <w:pStyle w:val="24"/>
                    <w:spacing w:line="240" w:lineRule="auto"/>
                    <w:rPr>
                      <w:color w:val="auto"/>
                      <w:highlight w:val="none"/>
                    </w:rPr>
                  </w:pPr>
                  <w:r>
                    <w:rPr>
                      <w:rFonts w:hint="eastAsia"/>
                      <w:color w:val="auto"/>
                      <w:highlight w:val="none"/>
                    </w:rPr>
                    <w:t>须有泄漏液体收集装置及气体导出口和气体净化装置</w:t>
                  </w:r>
                </w:p>
              </w:tc>
              <w:tc>
                <w:tcPr>
                  <w:tcW w:w="1985" w:type="pct"/>
                  <w:tcBorders>
                    <w:top w:val="single" w:color="auto" w:sz="4" w:space="0"/>
                    <w:left w:val="single" w:color="auto" w:sz="4" w:space="0"/>
                    <w:bottom w:val="single" w:color="auto" w:sz="4" w:space="0"/>
                    <w:right w:val="single" w:color="auto" w:sz="4" w:space="0"/>
                  </w:tcBorders>
                  <w:vAlign w:val="center"/>
                </w:tcPr>
                <w:p w14:paraId="0ADDE465">
                  <w:pPr>
                    <w:pStyle w:val="24"/>
                    <w:spacing w:line="240" w:lineRule="auto"/>
                    <w:rPr>
                      <w:rFonts w:hint="eastAsia" w:eastAsiaTheme="minorEastAsia"/>
                      <w:color w:val="auto"/>
                      <w:highlight w:val="none"/>
                      <w:lang w:eastAsia="zh-CN"/>
                    </w:rPr>
                  </w:pPr>
                  <w:r>
                    <w:rPr>
                      <w:rFonts w:hint="eastAsia"/>
                      <w:color w:val="auto"/>
                      <w:highlight w:val="none"/>
                    </w:rPr>
                    <w:t>本项目</w:t>
                  </w:r>
                  <w:r>
                    <w:rPr>
                      <w:rFonts w:hint="eastAsia"/>
                      <w:color w:val="auto"/>
                      <w:highlight w:val="none"/>
                      <w:lang w:eastAsia="zh-CN"/>
                    </w:rPr>
                    <w:t>危险废物贮存点</w:t>
                  </w:r>
                  <w:r>
                    <w:rPr>
                      <w:rFonts w:hint="eastAsia"/>
                      <w:color w:val="auto"/>
                      <w:highlight w:val="none"/>
                    </w:rPr>
                    <w:t>内配备集液池，贮存过程中产生的废气通过</w:t>
                  </w:r>
                  <w:r>
                    <w:rPr>
                      <w:rFonts w:hint="eastAsia"/>
                      <w:color w:val="auto"/>
                      <w:highlight w:val="none"/>
                      <w:lang w:eastAsia="zh-CN"/>
                    </w:rPr>
                    <w:t>加盖</w:t>
                  </w:r>
                  <w:r>
                    <w:rPr>
                      <w:rFonts w:hint="eastAsia"/>
                      <w:color w:val="auto"/>
                      <w:highlight w:val="none"/>
                    </w:rPr>
                    <w:t>贮存等措施实现防挥发</w:t>
                  </w:r>
                </w:p>
              </w:tc>
              <w:tc>
                <w:tcPr>
                  <w:tcW w:w="439" w:type="pct"/>
                  <w:tcBorders>
                    <w:top w:val="single" w:color="auto" w:sz="4" w:space="0"/>
                    <w:left w:val="single" w:color="auto" w:sz="4" w:space="0"/>
                    <w:bottom w:val="single" w:color="auto" w:sz="4" w:space="0"/>
                    <w:right w:val="nil"/>
                  </w:tcBorders>
                  <w:vAlign w:val="center"/>
                </w:tcPr>
                <w:p w14:paraId="53ECD820">
                  <w:pPr>
                    <w:pStyle w:val="24"/>
                    <w:spacing w:line="240" w:lineRule="auto"/>
                    <w:rPr>
                      <w:color w:val="auto"/>
                      <w:highlight w:val="none"/>
                    </w:rPr>
                  </w:pPr>
                  <w:r>
                    <w:rPr>
                      <w:rFonts w:hint="eastAsia"/>
                      <w:color w:val="auto"/>
                      <w:highlight w:val="none"/>
                    </w:rPr>
                    <w:t>符合</w:t>
                  </w:r>
                </w:p>
              </w:tc>
            </w:tr>
            <w:tr w14:paraId="768F97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op w:val="single" w:color="auto" w:sz="4" w:space="0"/>
                    <w:left w:val="nil"/>
                    <w:bottom w:val="single" w:color="auto" w:sz="4" w:space="0"/>
                    <w:right w:val="single" w:color="auto" w:sz="4" w:space="0"/>
                  </w:tcBorders>
                  <w:vAlign w:val="center"/>
                </w:tcPr>
                <w:p w14:paraId="3D51E5A5">
                  <w:pPr>
                    <w:pStyle w:val="24"/>
                    <w:spacing w:line="240" w:lineRule="auto"/>
                    <w:rPr>
                      <w:color w:val="auto"/>
                      <w:highlight w:val="none"/>
                    </w:rPr>
                  </w:pPr>
                  <w:r>
                    <w:rPr>
                      <w:rFonts w:hint="eastAsia"/>
                      <w:color w:val="auto"/>
                      <w:highlight w:val="none"/>
                    </w:rPr>
                    <w:t>7</w:t>
                  </w:r>
                </w:p>
              </w:tc>
              <w:tc>
                <w:tcPr>
                  <w:tcW w:w="2339" w:type="pct"/>
                  <w:tcBorders>
                    <w:top w:val="single" w:color="auto" w:sz="4" w:space="0"/>
                    <w:left w:val="single" w:color="auto" w:sz="4" w:space="0"/>
                    <w:bottom w:val="single" w:color="auto" w:sz="4" w:space="0"/>
                    <w:right w:val="single" w:color="auto" w:sz="4" w:space="0"/>
                  </w:tcBorders>
                  <w:vAlign w:val="center"/>
                </w:tcPr>
                <w:p w14:paraId="1B806B69">
                  <w:pPr>
                    <w:pStyle w:val="24"/>
                    <w:spacing w:line="240" w:lineRule="auto"/>
                    <w:rPr>
                      <w:color w:val="auto"/>
                      <w:highlight w:val="none"/>
                    </w:rPr>
                  </w:pPr>
                  <w:r>
                    <w:rPr>
                      <w:rFonts w:hint="eastAsia"/>
                      <w:color w:val="auto"/>
                      <w:highlight w:val="none"/>
                    </w:rPr>
                    <w:t>用于存放液体、半固体危险废物的地方，还须有耐腐蚀的硬化地面，地面无裂隙</w:t>
                  </w:r>
                </w:p>
              </w:tc>
              <w:tc>
                <w:tcPr>
                  <w:tcW w:w="1985" w:type="pct"/>
                  <w:tcBorders>
                    <w:top w:val="single" w:color="auto" w:sz="4" w:space="0"/>
                    <w:left w:val="single" w:color="auto" w:sz="4" w:space="0"/>
                    <w:bottom w:val="single" w:color="auto" w:sz="4" w:space="0"/>
                    <w:right w:val="single" w:color="auto" w:sz="4" w:space="0"/>
                  </w:tcBorders>
                  <w:vAlign w:val="center"/>
                </w:tcPr>
                <w:p w14:paraId="0818FC56">
                  <w:pPr>
                    <w:pStyle w:val="24"/>
                    <w:spacing w:line="240" w:lineRule="auto"/>
                    <w:rPr>
                      <w:color w:val="auto"/>
                      <w:highlight w:val="none"/>
                    </w:rPr>
                  </w:pPr>
                  <w:r>
                    <w:rPr>
                      <w:rFonts w:hint="eastAsia"/>
                      <w:color w:val="auto"/>
                      <w:highlight w:val="none"/>
                    </w:rPr>
                    <w:t>本项目地面均进行防腐防渗硬化</w:t>
                  </w:r>
                </w:p>
              </w:tc>
              <w:tc>
                <w:tcPr>
                  <w:tcW w:w="439" w:type="pct"/>
                  <w:tcBorders>
                    <w:top w:val="single" w:color="auto" w:sz="4" w:space="0"/>
                    <w:left w:val="single" w:color="auto" w:sz="4" w:space="0"/>
                    <w:bottom w:val="single" w:color="auto" w:sz="4" w:space="0"/>
                    <w:right w:val="nil"/>
                  </w:tcBorders>
                  <w:vAlign w:val="center"/>
                </w:tcPr>
                <w:p w14:paraId="78B87B7E">
                  <w:pPr>
                    <w:pStyle w:val="24"/>
                    <w:spacing w:line="240" w:lineRule="auto"/>
                    <w:rPr>
                      <w:color w:val="auto"/>
                      <w:highlight w:val="none"/>
                    </w:rPr>
                  </w:pPr>
                  <w:r>
                    <w:rPr>
                      <w:rFonts w:hint="eastAsia"/>
                      <w:color w:val="auto"/>
                      <w:highlight w:val="none"/>
                    </w:rPr>
                    <w:t>符合</w:t>
                  </w:r>
                </w:p>
              </w:tc>
            </w:tr>
            <w:tr w14:paraId="28BC5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op w:val="single" w:color="auto" w:sz="4" w:space="0"/>
                    <w:left w:val="nil"/>
                    <w:bottom w:val="single" w:color="auto" w:sz="4" w:space="0"/>
                    <w:right w:val="single" w:color="auto" w:sz="4" w:space="0"/>
                  </w:tcBorders>
                  <w:vAlign w:val="center"/>
                </w:tcPr>
                <w:p w14:paraId="2A2D6FF8">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8</w:t>
                  </w:r>
                </w:p>
              </w:tc>
              <w:tc>
                <w:tcPr>
                  <w:tcW w:w="3822" w:type="dxa"/>
                  <w:tcBorders>
                    <w:top w:val="single" w:color="auto" w:sz="4" w:space="0"/>
                    <w:left w:val="single" w:color="auto" w:sz="4" w:space="0"/>
                    <w:bottom w:val="single" w:color="auto" w:sz="4" w:space="0"/>
                    <w:right w:val="single" w:color="auto" w:sz="4" w:space="0"/>
                  </w:tcBorders>
                  <w:vAlign w:val="center"/>
                </w:tcPr>
                <w:p w14:paraId="32EA1963">
                  <w:pPr>
                    <w:pStyle w:val="24"/>
                    <w:spacing w:line="240" w:lineRule="auto"/>
                    <w:ind w:firstLine="0" w:firstLineChars="0"/>
                    <w:rPr>
                      <w:rFonts w:hint="eastAsia"/>
                      <w:color w:val="auto"/>
                      <w:highlight w:val="none"/>
                    </w:rPr>
                  </w:pPr>
                  <w:r>
                    <w:rPr>
                      <w:rFonts w:hint="eastAsia"/>
                      <w:color w:val="auto"/>
                      <w:highlight w:val="none"/>
                    </w:rPr>
                    <w:t>不相容的危险废物堆放区必须有隔离间隔断</w:t>
                  </w:r>
                </w:p>
              </w:tc>
              <w:tc>
                <w:tcPr>
                  <w:tcW w:w="3245" w:type="dxa"/>
                  <w:tcBorders>
                    <w:top w:val="single" w:color="auto" w:sz="4" w:space="0"/>
                    <w:left w:val="single" w:color="auto" w:sz="4" w:space="0"/>
                    <w:bottom w:val="single" w:color="auto" w:sz="4" w:space="0"/>
                    <w:right w:val="single" w:color="auto" w:sz="4" w:space="0"/>
                  </w:tcBorders>
                  <w:vAlign w:val="center"/>
                </w:tcPr>
                <w:p w14:paraId="1440E460">
                  <w:pPr>
                    <w:pStyle w:val="24"/>
                    <w:spacing w:line="240" w:lineRule="auto"/>
                    <w:ind w:firstLine="0" w:firstLineChars="0"/>
                    <w:rPr>
                      <w:rFonts w:hint="eastAsia"/>
                      <w:color w:val="auto"/>
                      <w:highlight w:val="none"/>
                    </w:rPr>
                  </w:pPr>
                  <w:r>
                    <w:rPr>
                      <w:rFonts w:hint="eastAsia"/>
                      <w:color w:val="auto"/>
                      <w:highlight w:val="none"/>
                      <w:lang w:eastAsia="zh-CN"/>
                    </w:rPr>
                    <w:t>本项目根据危险废物性质及相容性，对不同种类的危险废物通过建设挡墙间隔进行分区管理</w:t>
                  </w:r>
                </w:p>
              </w:tc>
              <w:tc>
                <w:tcPr>
                  <w:tcW w:w="439" w:type="pct"/>
                  <w:tcBorders>
                    <w:top w:val="single" w:color="auto" w:sz="4" w:space="0"/>
                    <w:left w:val="single" w:color="auto" w:sz="4" w:space="0"/>
                    <w:bottom w:val="single" w:color="auto" w:sz="4" w:space="0"/>
                    <w:right w:val="nil"/>
                  </w:tcBorders>
                  <w:vAlign w:val="center"/>
                </w:tcPr>
                <w:p w14:paraId="271906CB">
                  <w:pPr>
                    <w:pStyle w:val="24"/>
                    <w:spacing w:line="240" w:lineRule="auto"/>
                    <w:rPr>
                      <w:rFonts w:hint="eastAsia" w:eastAsiaTheme="minorEastAsia"/>
                      <w:color w:val="auto"/>
                      <w:highlight w:val="none"/>
                      <w:lang w:eastAsia="zh-CN"/>
                    </w:rPr>
                  </w:pPr>
                  <w:r>
                    <w:rPr>
                      <w:rFonts w:hint="eastAsia"/>
                      <w:color w:val="auto"/>
                      <w:highlight w:val="none"/>
                      <w:lang w:eastAsia="zh-CN"/>
                    </w:rPr>
                    <w:t>符合</w:t>
                  </w:r>
                </w:p>
              </w:tc>
            </w:tr>
            <w:tr w14:paraId="3F8563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op w:val="single" w:color="auto" w:sz="4" w:space="0"/>
                    <w:left w:val="nil"/>
                    <w:bottom w:val="single" w:color="auto" w:sz="4" w:space="0"/>
                    <w:right w:val="single" w:color="auto" w:sz="4" w:space="0"/>
                  </w:tcBorders>
                  <w:vAlign w:val="center"/>
                </w:tcPr>
                <w:p w14:paraId="5AF8C505">
                  <w:pPr>
                    <w:pStyle w:val="24"/>
                    <w:spacing w:line="240" w:lineRule="auto"/>
                    <w:rPr>
                      <w:rFonts w:hint="eastAsia" w:eastAsiaTheme="minorEastAsia"/>
                      <w:color w:val="auto"/>
                      <w:highlight w:val="none"/>
                      <w:lang w:eastAsia="zh-CN"/>
                    </w:rPr>
                  </w:pPr>
                  <w:r>
                    <w:rPr>
                      <w:rFonts w:hint="eastAsia"/>
                      <w:color w:val="auto"/>
                      <w:highlight w:val="none"/>
                      <w:lang w:val="en-US" w:eastAsia="zh-CN"/>
                    </w:rPr>
                    <w:t>9</w:t>
                  </w:r>
                </w:p>
              </w:tc>
              <w:tc>
                <w:tcPr>
                  <w:tcW w:w="2339" w:type="pct"/>
                  <w:tcBorders>
                    <w:top w:val="single" w:color="auto" w:sz="4" w:space="0"/>
                    <w:left w:val="single" w:color="auto" w:sz="4" w:space="0"/>
                    <w:bottom w:val="single" w:color="auto" w:sz="4" w:space="0"/>
                    <w:right w:val="single" w:color="auto" w:sz="4" w:space="0"/>
                  </w:tcBorders>
                  <w:vAlign w:val="center"/>
                </w:tcPr>
                <w:p w14:paraId="57A256BC">
                  <w:pPr>
                    <w:pStyle w:val="24"/>
                    <w:spacing w:line="240" w:lineRule="auto"/>
                    <w:rPr>
                      <w:color w:val="auto"/>
                      <w:highlight w:val="none"/>
                    </w:rPr>
                  </w:pPr>
                  <w:r>
                    <w:rPr>
                      <w:rFonts w:hint="eastAsia"/>
                      <w:color w:val="auto"/>
                      <w:highlight w:val="none"/>
                    </w:rPr>
                    <w:t>贮存易燃易爆的危险废物的场所应配备消防设备，贮存剧毒危险废物的场所必须有专人24小时看管</w:t>
                  </w:r>
                </w:p>
              </w:tc>
              <w:tc>
                <w:tcPr>
                  <w:tcW w:w="1985" w:type="pct"/>
                  <w:tcBorders>
                    <w:top w:val="single" w:color="auto" w:sz="4" w:space="0"/>
                    <w:left w:val="single" w:color="auto" w:sz="4" w:space="0"/>
                    <w:bottom w:val="single" w:color="auto" w:sz="4" w:space="0"/>
                    <w:right w:val="single" w:color="auto" w:sz="4" w:space="0"/>
                  </w:tcBorders>
                  <w:vAlign w:val="center"/>
                </w:tcPr>
                <w:p w14:paraId="38ED8689">
                  <w:pPr>
                    <w:pStyle w:val="24"/>
                    <w:spacing w:line="240" w:lineRule="auto"/>
                    <w:rPr>
                      <w:rFonts w:hint="eastAsia" w:eastAsiaTheme="minorEastAsia"/>
                      <w:color w:val="auto"/>
                      <w:highlight w:val="none"/>
                      <w:lang w:eastAsia="zh-CN"/>
                    </w:rPr>
                  </w:pPr>
                  <w:r>
                    <w:rPr>
                      <w:rFonts w:hint="eastAsia"/>
                      <w:color w:val="auto"/>
                      <w:highlight w:val="none"/>
                    </w:rPr>
                    <w:t>本项目</w:t>
                  </w:r>
                  <w:r>
                    <w:rPr>
                      <w:rFonts w:hint="eastAsia"/>
                      <w:color w:val="auto"/>
                      <w:highlight w:val="none"/>
                      <w:lang w:eastAsia="zh-CN"/>
                    </w:rPr>
                    <w:t>配备消防设施，不贮存剧毒危险废物</w:t>
                  </w:r>
                </w:p>
              </w:tc>
              <w:tc>
                <w:tcPr>
                  <w:tcW w:w="439" w:type="pct"/>
                  <w:tcBorders>
                    <w:top w:val="single" w:color="auto" w:sz="4" w:space="0"/>
                    <w:left w:val="single" w:color="auto" w:sz="4" w:space="0"/>
                    <w:bottom w:val="single" w:color="auto" w:sz="4" w:space="0"/>
                    <w:right w:val="nil"/>
                  </w:tcBorders>
                  <w:vAlign w:val="center"/>
                </w:tcPr>
                <w:p w14:paraId="0DB2209C">
                  <w:pPr>
                    <w:pStyle w:val="24"/>
                    <w:spacing w:line="240" w:lineRule="auto"/>
                    <w:rPr>
                      <w:color w:val="auto"/>
                      <w:highlight w:val="none"/>
                    </w:rPr>
                  </w:pPr>
                  <w:r>
                    <w:rPr>
                      <w:rFonts w:hint="eastAsia"/>
                      <w:color w:val="auto"/>
                      <w:highlight w:val="none"/>
                    </w:rPr>
                    <w:t>符合</w:t>
                  </w:r>
                </w:p>
              </w:tc>
            </w:tr>
            <w:tr w14:paraId="41EC78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op w:val="single" w:color="auto" w:sz="4" w:space="0"/>
                    <w:left w:val="nil"/>
                    <w:bottom w:val="single" w:color="auto" w:sz="4" w:space="0"/>
                    <w:right w:val="single" w:color="auto" w:sz="4" w:space="0"/>
                  </w:tcBorders>
                  <w:vAlign w:val="center"/>
                </w:tcPr>
                <w:p w14:paraId="076B889D">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10</w:t>
                  </w:r>
                </w:p>
              </w:tc>
              <w:tc>
                <w:tcPr>
                  <w:tcW w:w="2339" w:type="pct"/>
                  <w:tcBorders>
                    <w:top w:val="single" w:color="auto" w:sz="4" w:space="0"/>
                    <w:left w:val="single" w:color="auto" w:sz="4" w:space="0"/>
                    <w:bottom w:val="single" w:color="auto" w:sz="4" w:space="0"/>
                    <w:right w:val="single" w:color="auto" w:sz="4" w:space="0"/>
                  </w:tcBorders>
                  <w:vAlign w:val="center"/>
                </w:tcPr>
                <w:p w14:paraId="72A55CED">
                  <w:pPr>
                    <w:pStyle w:val="24"/>
                    <w:spacing w:line="240" w:lineRule="auto"/>
                    <w:rPr>
                      <w:color w:val="auto"/>
                      <w:highlight w:val="none"/>
                    </w:rPr>
                  </w:pPr>
                  <w:r>
                    <w:rPr>
                      <w:rFonts w:hint="eastAsia"/>
                      <w:color w:val="auto"/>
                      <w:highlight w:val="none"/>
                    </w:rPr>
                    <w:t>危险废物的贮存设施的选址与设计、运行与管理、安全防护、环境监测及应急措施以及关闭等须遵循《危险废物贮存污染控制标准》的规定</w:t>
                  </w:r>
                </w:p>
              </w:tc>
              <w:tc>
                <w:tcPr>
                  <w:tcW w:w="1985" w:type="pct"/>
                  <w:tcBorders>
                    <w:top w:val="single" w:color="auto" w:sz="4" w:space="0"/>
                    <w:left w:val="single" w:color="auto" w:sz="4" w:space="0"/>
                    <w:bottom w:val="single" w:color="auto" w:sz="4" w:space="0"/>
                    <w:right w:val="single" w:color="auto" w:sz="4" w:space="0"/>
                  </w:tcBorders>
                  <w:vAlign w:val="center"/>
                </w:tcPr>
                <w:p w14:paraId="06B905D6">
                  <w:pPr>
                    <w:pStyle w:val="24"/>
                    <w:spacing w:line="240" w:lineRule="auto"/>
                    <w:rPr>
                      <w:color w:val="auto"/>
                      <w:highlight w:val="none"/>
                    </w:rPr>
                  </w:pPr>
                  <w:r>
                    <w:rPr>
                      <w:rFonts w:hint="eastAsia"/>
                      <w:color w:val="auto"/>
                      <w:highlight w:val="none"/>
                    </w:rPr>
                    <w:t>本项目</w:t>
                  </w:r>
                  <w:r>
                    <w:rPr>
                      <w:rFonts w:hint="eastAsia"/>
                      <w:color w:val="auto"/>
                      <w:highlight w:val="none"/>
                      <w:lang w:eastAsia="zh-CN"/>
                    </w:rPr>
                    <w:t>危险废物贮存点</w:t>
                  </w:r>
                  <w:r>
                    <w:rPr>
                      <w:rFonts w:hint="eastAsia"/>
                      <w:color w:val="auto"/>
                      <w:highlight w:val="none"/>
                    </w:rPr>
                    <w:t>的选址与设计、运行与管理、安全防护、环境监测及应急措施以及关闭等遵循现行《危险废物贮存污染控制标准》（GB18597-2023）的规定</w:t>
                  </w:r>
                </w:p>
              </w:tc>
              <w:tc>
                <w:tcPr>
                  <w:tcW w:w="439" w:type="pct"/>
                  <w:tcBorders>
                    <w:top w:val="single" w:color="auto" w:sz="4" w:space="0"/>
                    <w:left w:val="single" w:color="auto" w:sz="4" w:space="0"/>
                    <w:bottom w:val="single" w:color="auto" w:sz="4" w:space="0"/>
                    <w:right w:val="nil"/>
                  </w:tcBorders>
                  <w:vAlign w:val="center"/>
                </w:tcPr>
                <w:p w14:paraId="000AD6FE">
                  <w:pPr>
                    <w:pStyle w:val="24"/>
                    <w:spacing w:line="240" w:lineRule="auto"/>
                    <w:rPr>
                      <w:color w:val="auto"/>
                      <w:highlight w:val="none"/>
                    </w:rPr>
                  </w:pPr>
                  <w:r>
                    <w:rPr>
                      <w:rFonts w:hint="eastAsia"/>
                      <w:color w:val="auto"/>
                      <w:highlight w:val="none"/>
                    </w:rPr>
                    <w:t>符合</w:t>
                  </w:r>
                </w:p>
              </w:tc>
            </w:tr>
          </w:tbl>
          <w:p w14:paraId="2A345D96">
            <w:pPr>
              <w:bidi w:val="0"/>
              <w:rPr>
                <w:color w:val="auto"/>
                <w:highlight w:val="none"/>
              </w:rPr>
            </w:pPr>
            <w:r>
              <w:rPr>
                <w:rFonts w:hint="eastAsia"/>
                <w:color w:val="auto"/>
                <w:highlight w:val="none"/>
              </w:rPr>
              <w:t>本项目符合《危险废物污染防治技术政策》（环发</w:t>
            </w:r>
            <w:r>
              <w:rPr>
                <w:rFonts w:hint="eastAsia"/>
                <w:color w:val="auto"/>
                <w:highlight w:val="none"/>
                <w:lang w:eastAsia="zh-CN"/>
              </w:rPr>
              <w:t>〔2001〕199号</w:t>
            </w:r>
            <w:r>
              <w:rPr>
                <w:rFonts w:hint="eastAsia"/>
                <w:color w:val="auto"/>
                <w:highlight w:val="none"/>
              </w:rPr>
              <w:t>）中相关内容要求。</w:t>
            </w:r>
          </w:p>
          <w:p w14:paraId="1D689527">
            <w:pPr>
              <w:bidi w:val="0"/>
              <w:rPr>
                <w:b/>
                <w:bCs/>
                <w:color w:val="auto"/>
                <w:highlight w:val="none"/>
              </w:rPr>
            </w:pPr>
            <w:r>
              <w:rPr>
                <w:rFonts w:hint="eastAsia"/>
                <w:b/>
                <w:bCs/>
                <w:color w:val="auto"/>
                <w:highlight w:val="none"/>
              </w:rPr>
              <w:t>5.2本项目与《危险废物收集 贮存 运输技术规范》（HJ2025-2012）符合性分析</w:t>
            </w:r>
          </w:p>
          <w:p w14:paraId="5E3A6B43">
            <w:pPr>
              <w:pStyle w:val="25"/>
              <w:bidi w:val="0"/>
              <w:rPr>
                <w:rFonts w:cs="Times New Roman"/>
                <w:color w:val="auto"/>
                <w:sz w:val="24"/>
                <w:szCs w:val="24"/>
                <w:highlight w:val="none"/>
              </w:rPr>
            </w:pPr>
            <w:r>
              <w:rPr>
                <w:rFonts w:cs="Times New Roman"/>
                <w:color w:val="auto"/>
                <w:sz w:val="24"/>
                <w:szCs w:val="24"/>
                <w:highlight w:val="none"/>
              </w:rPr>
              <w:t>与</w:t>
            </w:r>
            <w:r>
              <w:rPr>
                <w:rFonts w:hint="eastAsia" w:cs="Times New Roman"/>
                <w:color w:val="auto"/>
                <w:sz w:val="24"/>
                <w:szCs w:val="24"/>
                <w:highlight w:val="none"/>
              </w:rPr>
              <w:t>《危险废物收集 贮存 运输技术规范》（HJ2025-2012）</w:t>
            </w:r>
            <w:r>
              <w:rPr>
                <w:rFonts w:cs="Times New Roman"/>
                <w:color w:val="auto"/>
                <w:sz w:val="24"/>
                <w:szCs w:val="24"/>
                <w:highlight w:val="none"/>
              </w:rPr>
              <w:t>符合性分析</w:t>
            </w:r>
          </w:p>
          <w:tbl>
            <w:tblPr>
              <w:tblStyle w:val="16"/>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6"/>
              <w:gridCol w:w="4050"/>
              <w:gridCol w:w="3082"/>
              <w:gridCol w:w="669"/>
            </w:tblGrid>
            <w:tr w14:paraId="573E20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tcBorders>
                    <w:tl2br w:val="nil"/>
                    <w:tr2bl w:val="nil"/>
                  </w:tcBorders>
                  <w:vAlign w:val="center"/>
                </w:tcPr>
                <w:p w14:paraId="4E71FDA9">
                  <w:pPr>
                    <w:pStyle w:val="27"/>
                    <w:spacing w:line="240" w:lineRule="auto"/>
                    <w:rPr>
                      <w:rFonts w:hint="default"/>
                      <w:b/>
                      <w:bCs w:val="0"/>
                      <w:color w:val="auto"/>
                      <w:highlight w:val="none"/>
                    </w:rPr>
                  </w:pPr>
                  <w:r>
                    <w:rPr>
                      <w:rFonts w:eastAsia="宋体"/>
                      <w:b/>
                      <w:bCs w:val="0"/>
                      <w:color w:val="auto"/>
                      <w:sz w:val="21"/>
                      <w:highlight w:val="none"/>
                    </w:rPr>
                    <w:t>类别</w:t>
                  </w:r>
                </w:p>
              </w:tc>
              <w:tc>
                <w:tcPr>
                  <w:tcW w:w="4050" w:type="dxa"/>
                  <w:tcBorders>
                    <w:tl2br w:val="nil"/>
                    <w:tr2bl w:val="nil"/>
                  </w:tcBorders>
                  <w:vAlign w:val="center"/>
                </w:tcPr>
                <w:p w14:paraId="4456843D">
                  <w:pPr>
                    <w:pStyle w:val="27"/>
                    <w:spacing w:line="240" w:lineRule="auto"/>
                    <w:rPr>
                      <w:rFonts w:hint="default"/>
                      <w:color w:val="auto"/>
                      <w:highlight w:val="none"/>
                    </w:rPr>
                  </w:pPr>
                  <w:r>
                    <w:rPr>
                      <w:rFonts w:eastAsia="宋体"/>
                      <w:b/>
                      <w:color w:val="auto"/>
                      <w:sz w:val="21"/>
                      <w:highlight w:val="none"/>
                    </w:rPr>
                    <w:t>分析内容</w:t>
                  </w:r>
                </w:p>
              </w:tc>
              <w:tc>
                <w:tcPr>
                  <w:tcW w:w="3082" w:type="dxa"/>
                  <w:tcBorders>
                    <w:tl2br w:val="nil"/>
                    <w:tr2bl w:val="nil"/>
                  </w:tcBorders>
                  <w:vAlign w:val="center"/>
                </w:tcPr>
                <w:p w14:paraId="1A720CEF">
                  <w:pPr>
                    <w:pStyle w:val="27"/>
                    <w:spacing w:line="240" w:lineRule="auto"/>
                    <w:rPr>
                      <w:rFonts w:hint="default"/>
                      <w:color w:val="auto"/>
                      <w:highlight w:val="none"/>
                    </w:rPr>
                  </w:pPr>
                  <w:r>
                    <w:rPr>
                      <w:rFonts w:eastAsia="宋体"/>
                      <w:b/>
                      <w:color w:val="auto"/>
                      <w:sz w:val="21"/>
                      <w:highlight w:val="none"/>
                    </w:rPr>
                    <w:t>本项目情况</w:t>
                  </w:r>
                </w:p>
              </w:tc>
              <w:tc>
                <w:tcPr>
                  <w:tcW w:w="669" w:type="dxa"/>
                  <w:tcBorders>
                    <w:tl2br w:val="nil"/>
                    <w:tr2bl w:val="nil"/>
                  </w:tcBorders>
                  <w:vAlign w:val="center"/>
                </w:tcPr>
                <w:p w14:paraId="08A56CDD">
                  <w:pPr>
                    <w:pStyle w:val="27"/>
                    <w:spacing w:line="240" w:lineRule="auto"/>
                    <w:rPr>
                      <w:rFonts w:hint="default"/>
                      <w:color w:val="auto"/>
                      <w:highlight w:val="none"/>
                    </w:rPr>
                  </w:pPr>
                  <w:r>
                    <w:rPr>
                      <w:rFonts w:eastAsia="宋体"/>
                      <w:b/>
                      <w:color w:val="auto"/>
                      <w:sz w:val="21"/>
                      <w:highlight w:val="none"/>
                    </w:rPr>
                    <w:t>分析结果</w:t>
                  </w:r>
                </w:p>
              </w:tc>
            </w:tr>
            <w:tr w14:paraId="3C104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restart"/>
                  <w:tcBorders>
                    <w:tl2br w:val="nil"/>
                    <w:tr2bl w:val="nil"/>
                  </w:tcBorders>
                  <w:vAlign w:val="center"/>
                </w:tcPr>
                <w:p w14:paraId="4DB2E5C8">
                  <w:pPr>
                    <w:pStyle w:val="24"/>
                    <w:spacing w:line="240" w:lineRule="auto"/>
                    <w:rPr>
                      <w:b/>
                      <w:bCs w:val="0"/>
                      <w:color w:val="auto"/>
                      <w:highlight w:val="none"/>
                    </w:rPr>
                  </w:pPr>
                  <w:r>
                    <w:rPr>
                      <w:rFonts w:hint="eastAsia"/>
                      <w:b/>
                      <w:bCs w:val="0"/>
                      <w:color w:val="auto"/>
                      <w:highlight w:val="none"/>
                    </w:rPr>
                    <w:t>一般要求</w:t>
                  </w:r>
                </w:p>
              </w:tc>
              <w:tc>
                <w:tcPr>
                  <w:tcW w:w="4050" w:type="dxa"/>
                  <w:tcBorders>
                    <w:tl2br w:val="nil"/>
                    <w:tr2bl w:val="nil"/>
                  </w:tcBorders>
                  <w:vAlign w:val="center"/>
                </w:tcPr>
                <w:p w14:paraId="7BC26B55">
                  <w:pPr>
                    <w:pStyle w:val="24"/>
                    <w:spacing w:line="240" w:lineRule="auto"/>
                    <w:rPr>
                      <w:color w:val="auto"/>
                      <w:highlight w:val="none"/>
                    </w:rPr>
                  </w:pPr>
                  <w:r>
                    <w:rPr>
                      <w:rFonts w:hint="eastAsia"/>
                      <w:color w:val="auto"/>
                      <w:highlight w:val="none"/>
                    </w:rPr>
                    <w:t>从事危险废物收集、贮存、运输经营活动的单位应具有危险废物经营许可证。在收集、贮存、运输危险废物时，应根据危险废物收集、贮存、处置经营许可证核发的有关规定建立相应的规章制度和污染防治措施，包括危险废物分析管理制度、安全管理制度、污染防治措施等；危险废物产生单位内部自行从事的危险废物收集、贮存、运输活动应遵照国家相关管理规定，建立健全规章制度及操作流程，确保该过程的安全、可靠</w:t>
                  </w:r>
                </w:p>
              </w:tc>
              <w:tc>
                <w:tcPr>
                  <w:tcW w:w="3082" w:type="dxa"/>
                  <w:tcBorders>
                    <w:tl2br w:val="nil"/>
                    <w:tr2bl w:val="nil"/>
                  </w:tcBorders>
                  <w:vAlign w:val="center"/>
                </w:tcPr>
                <w:p w14:paraId="780D4E7E">
                  <w:pPr>
                    <w:pStyle w:val="24"/>
                    <w:spacing w:line="240" w:lineRule="auto"/>
                    <w:rPr>
                      <w:color w:val="auto"/>
                      <w:highlight w:val="none"/>
                    </w:rPr>
                  </w:pPr>
                  <w:r>
                    <w:rPr>
                      <w:rFonts w:hint="eastAsia"/>
                      <w:color w:val="auto"/>
                      <w:highlight w:val="none"/>
                    </w:rPr>
                    <w:t>本项目属于危险废物产生单位内部自行从事的危险废物贮存活动，参照《危险废物收集 贮存 运输技术规范》（HJ2025-2012）等相关文件执行</w:t>
                  </w:r>
                </w:p>
              </w:tc>
              <w:tc>
                <w:tcPr>
                  <w:tcW w:w="669" w:type="dxa"/>
                  <w:tcBorders>
                    <w:tl2br w:val="nil"/>
                    <w:tr2bl w:val="nil"/>
                  </w:tcBorders>
                  <w:vAlign w:val="center"/>
                </w:tcPr>
                <w:p w14:paraId="3FEEE0F3">
                  <w:pPr>
                    <w:pStyle w:val="24"/>
                    <w:spacing w:line="240" w:lineRule="auto"/>
                    <w:rPr>
                      <w:color w:val="auto"/>
                      <w:highlight w:val="none"/>
                    </w:rPr>
                  </w:pPr>
                  <w:r>
                    <w:rPr>
                      <w:rFonts w:hint="eastAsia"/>
                      <w:color w:val="auto"/>
                      <w:highlight w:val="none"/>
                    </w:rPr>
                    <w:t>符合</w:t>
                  </w:r>
                </w:p>
              </w:tc>
            </w:tr>
            <w:tr w14:paraId="30777F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continue"/>
                  <w:tcBorders>
                    <w:tl2br w:val="nil"/>
                    <w:tr2bl w:val="nil"/>
                  </w:tcBorders>
                  <w:vAlign w:val="center"/>
                </w:tcPr>
                <w:p w14:paraId="075269FE">
                  <w:pPr>
                    <w:pStyle w:val="24"/>
                    <w:spacing w:line="240" w:lineRule="auto"/>
                    <w:rPr>
                      <w:b/>
                      <w:bCs w:val="0"/>
                      <w:color w:val="auto"/>
                      <w:highlight w:val="none"/>
                    </w:rPr>
                  </w:pPr>
                </w:p>
              </w:tc>
              <w:tc>
                <w:tcPr>
                  <w:tcW w:w="4050" w:type="dxa"/>
                  <w:tcBorders>
                    <w:tl2br w:val="nil"/>
                    <w:tr2bl w:val="nil"/>
                  </w:tcBorders>
                  <w:vAlign w:val="center"/>
                </w:tcPr>
                <w:p w14:paraId="16075C84">
                  <w:pPr>
                    <w:pStyle w:val="24"/>
                    <w:spacing w:line="240" w:lineRule="auto"/>
                    <w:rPr>
                      <w:color w:val="auto"/>
                      <w:highlight w:val="none"/>
                    </w:rPr>
                  </w:pPr>
                  <w:r>
                    <w:rPr>
                      <w:rFonts w:hint="eastAsia"/>
                      <w:color w:val="auto"/>
                      <w:highlight w:val="none"/>
                    </w:rPr>
                    <w:t>危险废物转移过程应按《危险废物转移联单管理办法》执行</w:t>
                  </w:r>
                </w:p>
              </w:tc>
              <w:tc>
                <w:tcPr>
                  <w:tcW w:w="3082" w:type="dxa"/>
                  <w:tcBorders>
                    <w:tl2br w:val="nil"/>
                    <w:tr2bl w:val="nil"/>
                  </w:tcBorders>
                  <w:vAlign w:val="center"/>
                </w:tcPr>
                <w:p w14:paraId="260EA63C">
                  <w:pPr>
                    <w:pStyle w:val="24"/>
                    <w:spacing w:line="240" w:lineRule="auto"/>
                    <w:rPr>
                      <w:color w:val="auto"/>
                      <w:highlight w:val="none"/>
                    </w:rPr>
                  </w:pPr>
                  <w:r>
                    <w:rPr>
                      <w:rFonts w:hint="eastAsia"/>
                      <w:color w:val="auto"/>
                      <w:highlight w:val="none"/>
                    </w:rPr>
                    <w:t>本项目危险废物定期交由有危废处置资质单位进行处理，危险废物转移过程按现行《危险废物转移管理办法》（部令第23号）执行</w:t>
                  </w:r>
                </w:p>
              </w:tc>
              <w:tc>
                <w:tcPr>
                  <w:tcW w:w="669" w:type="dxa"/>
                  <w:tcBorders>
                    <w:tl2br w:val="nil"/>
                    <w:tr2bl w:val="nil"/>
                  </w:tcBorders>
                  <w:vAlign w:val="center"/>
                </w:tcPr>
                <w:p w14:paraId="01300AED">
                  <w:pPr>
                    <w:pStyle w:val="24"/>
                    <w:spacing w:line="240" w:lineRule="auto"/>
                    <w:rPr>
                      <w:color w:val="auto"/>
                      <w:highlight w:val="none"/>
                    </w:rPr>
                  </w:pPr>
                  <w:r>
                    <w:rPr>
                      <w:rFonts w:hint="eastAsia"/>
                      <w:color w:val="auto"/>
                      <w:highlight w:val="none"/>
                    </w:rPr>
                    <w:t>符合</w:t>
                  </w:r>
                </w:p>
              </w:tc>
            </w:tr>
            <w:tr w14:paraId="655003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continue"/>
                  <w:tcBorders>
                    <w:tl2br w:val="nil"/>
                    <w:tr2bl w:val="nil"/>
                  </w:tcBorders>
                  <w:vAlign w:val="center"/>
                </w:tcPr>
                <w:p w14:paraId="1923D277">
                  <w:pPr>
                    <w:pStyle w:val="24"/>
                    <w:spacing w:line="240" w:lineRule="auto"/>
                    <w:rPr>
                      <w:b/>
                      <w:bCs w:val="0"/>
                      <w:color w:val="auto"/>
                      <w:highlight w:val="none"/>
                    </w:rPr>
                  </w:pPr>
                </w:p>
              </w:tc>
              <w:tc>
                <w:tcPr>
                  <w:tcW w:w="4050" w:type="dxa"/>
                  <w:tcBorders>
                    <w:tl2br w:val="nil"/>
                    <w:tr2bl w:val="nil"/>
                  </w:tcBorders>
                  <w:vAlign w:val="center"/>
                </w:tcPr>
                <w:p w14:paraId="046D61B2">
                  <w:pPr>
                    <w:pStyle w:val="24"/>
                    <w:spacing w:line="240" w:lineRule="auto"/>
                    <w:rPr>
                      <w:color w:val="auto"/>
                      <w:highlight w:val="none"/>
                    </w:rPr>
                  </w:pPr>
                  <w:r>
                    <w:rPr>
                      <w:rFonts w:hint="eastAsia"/>
                      <w:color w:val="auto"/>
                      <w:highlight w:val="none"/>
                    </w:rPr>
                    <w:t>危险废物收集、贮存、运输单位应建立规范的管理和技术人员培训制度，定期针对管理和技术人员进行培训</w:t>
                  </w:r>
                </w:p>
              </w:tc>
              <w:tc>
                <w:tcPr>
                  <w:tcW w:w="3082" w:type="dxa"/>
                  <w:tcBorders>
                    <w:tl2br w:val="nil"/>
                    <w:tr2bl w:val="nil"/>
                  </w:tcBorders>
                  <w:vAlign w:val="center"/>
                </w:tcPr>
                <w:p w14:paraId="5EA82D05">
                  <w:pPr>
                    <w:pStyle w:val="24"/>
                    <w:spacing w:line="240" w:lineRule="auto"/>
                    <w:rPr>
                      <w:color w:val="auto"/>
                      <w:highlight w:val="none"/>
                    </w:rPr>
                  </w:pPr>
                  <w:r>
                    <w:rPr>
                      <w:rFonts w:hint="eastAsia"/>
                      <w:color w:val="auto"/>
                      <w:highlight w:val="none"/>
                    </w:rPr>
                    <w:t>建立危险废物收集、贮存、运输管理和技术人员培训制度，定期</w:t>
                  </w:r>
                  <w:r>
                    <w:rPr>
                      <w:rFonts w:hint="eastAsia"/>
                      <w:color w:val="auto"/>
                      <w:highlight w:val="none"/>
                      <w:lang w:eastAsia="zh-CN"/>
                    </w:rPr>
                    <w:t>对</w:t>
                  </w:r>
                  <w:r>
                    <w:rPr>
                      <w:rFonts w:hint="eastAsia"/>
                      <w:color w:val="auto"/>
                      <w:highlight w:val="none"/>
                    </w:rPr>
                    <w:t>管理和技术人员进行培训</w:t>
                  </w:r>
                </w:p>
              </w:tc>
              <w:tc>
                <w:tcPr>
                  <w:tcW w:w="669" w:type="dxa"/>
                  <w:tcBorders>
                    <w:tl2br w:val="nil"/>
                    <w:tr2bl w:val="nil"/>
                  </w:tcBorders>
                  <w:vAlign w:val="center"/>
                </w:tcPr>
                <w:p w14:paraId="64521619">
                  <w:pPr>
                    <w:pStyle w:val="24"/>
                    <w:spacing w:line="240" w:lineRule="auto"/>
                    <w:rPr>
                      <w:color w:val="auto"/>
                      <w:highlight w:val="none"/>
                    </w:rPr>
                  </w:pPr>
                  <w:r>
                    <w:rPr>
                      <w:rFonts w:hint="eastAsia"/>
                      <w:color w:val="auto"/>
                      <w:highlight w:val="none"/>
                    </w:rPr>
                    <w:t>符合</w:t>
                  </w:r>
                </w:p>
              </w:tc>
            </w:tr>
            <w:tr w14:paraId="298FB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continue"/>
                  <w:tcBorders>
                    <w:tl2br w:val="nil"/>
                    <w:tr2bl w:val="nil"/>
                  </w:tcBorders>
                  <w:vAlign w:val="center"/>
                </w:tcPr>
                <w:p w14:paraId="29A81AC5">
                  <w:pPr>
                    <w:pStyle w:val="24"/>
                    <w:spacing w:line="240" w:lineRule="auto"/>
                    <w:rPr>
                      <w:b/>
                      <w:bCs w:val="0"/>
                      <w:color w:val="auto"/>
                      <w:highlight w:val="none"/>
                    </w:rPr>
                  </w:pPr>
                </w:p>
              </w:tc>
              <w:tc>
                <w:tcPr>
                  <w:tcW w:w="4050" w:type="dxa"/>
                  <w:tcBorders>
                    <w:tl2br w:val="nil"/>
                    <w:tr2bl w:val="nil"/>
                  </w:tcBorders>
                  <w:vAlign w:val="center"/>
                </w:tcPr>
                <w:p w14:paraId="623EA18F">
                  <w:pPr>
                    <w:pStyle w:val="24"/>
                    <w:spacing w:line="240" w:lineRule="auto"/>
                    <w:rPr>
                      <w:color w:val="auto"/>
                      <w:highlight w:val="none"/>
                    </w:rPr>
                  </w:pPr>
                  <w:r>
                    <w:rPr>
                      <w:rFonts w:hint="eastAsia"/>
                      <w:color w:val="auto"/>
                      <w:highlight w:val="none"/>
                    </w:rPr>
                    <w:t>危险废物收集、贮存、运输单位应编制应急预案</w:t>
                  </w:r>
                </w:p>
              </w:tc>
              <w:tc>
                <w:tcPr>
                  <w:tcW w:w="3082" w:type="dxa"/>
                  <w:tcBorders>
                    <w:tl2br w:val="nil"/>
                    <w:tr2bl w:val="nil"/>
                  </w:tcBorders>
                  <w:vAlign w:val="center"/>
                </w:tcPr>
                <w:p w14:paraId="081B8F2D">
                  <w:pPr>
                    <w:pStyle w:val="24"/>
                    <w:spacing w:line="240" w:lineRule="auto"/>
                    <w:rPr>
                      <w:color w:val="auto"/>
                      <w:highlight w:val="none"/>
                    </w:rPr>
                  </w:pPr>
                  <w:r>
                    <w:rPr>
                      <w:rFonts w:hint="eastAsia"/>
                      <w:color w:val="auto"/>
                      <w:highlight w:val="none"/>
                    </w:rPr>
                    <w:t>本项目在运行后按照《危险废物经营单位编制应急预案指南》的要求制定环境应急预案</w:t>
                  </w:r>
                </w:p>
              </w:tc>
              <w:tc>
                <w:tcPr>
                  <w:tcW w:w="669" w:type="dxa"/>
                  <w:tcBorders>
                    <w:tl2br w:val="nil"/>
                    <w:tr2bl w:val="nil"/>
                  </w:tcBorders>
                  <w:vAlign w:val="center"/>
                </w:tcPr>
                <w:p w14:paraId="39727562">
                  <w:pPr>
                    <w:pStyle w:val="24"/>
                    <w:spacing w:line="240" w:lineRule="auto"/>
                    <w:rPr>
                      <w:color w:val="auto"/>
                      <w:highlight w:val="none"/>
                    </w:rPr>
                  </w:pPr>
                  <w:r>
                    <w:rPr>
                      <w:rFonts w:hint="eastAsia"/>
                      <w:color w:val="auto"/>
                      <w:highlight w:val="none"/>
                    </w:rPr>
                    <w:t>符合</w:t>
                  </w:r>
                </w:p>
              </w:tc>
            </w:tr>
            <w:tr w14:paraId="49965B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continue"/>
                  <w:tcBorders>
                    <w:tl2br w:val="nil"/>
                    <w:tr2bl w:val="nil"/>
                  </w:tcBorders>
                  <w:vAlign w:val="center"/>
                </w:tcPr>
                <w:p w14:paraId="1343465E">
                  <w:pPr>
                    <w:pStyle w:val="24"/>
                    <w:spacing w:line="240" w:lineRule="auto"/>
                    <w:rPr>
                      <w:b/>
                      <w:bCs w:val="0"/>
                      <w:color w:val="auto"/>
                      <w:highlight w:val="none"/>
                    </w:rPr>
                  </w:pPr>
                </w:p>
              </w:tc>
              <w:tc>
                <w:tcPr>
                  <w:tcW w:w="4050" w:type="dxa"/>
                  <w:tcBorders>
                    <w:tl2br w:val="nil"/>
                    <w:tr2bl w:val="nil"/>
                  </w:tcBorders>
                  <w:vAlign w:val="center"/>
                </w:tcPr>
                <w:p w14:paraId="33410C80">
                  <w:pPr>
                    <w:pStyle w:val="24"/>
                    <w:spacing w:line="240" w:lineRule="auto"/>
                    <w:rPr>
                      <w:color w:val="auto"/>
                      <w:highlight w:val="none"/>
                    </w:rPr>
                  </w:pPr>
                  <w:r>
                    <w:rPr>
                      <w:rFonts w:hint="eastAsia"/>
                      <w:color w:val="auto"/>
                      <w:highlight w:val="none"/>
                    </w:rPr>
                    <w:t>危险废物收集、贮存、运输时应按腐蚀性、毒性、易燃性、反应性和感染性等危险特性对危险废物进行分类、包装并设置相应的标志及标签</w:t>
                  </w:r>
                </w:p>
              </w:tc>
              <w:tc>
                <w:tcPr>
                  <w:tcW w:w="3082" w:type="dxa"/>
                  <w:tcBorders>
                    <w:tl2br w:val="nil"/>
                    <w:tr2bl w:val="nil"/>
                  </w:tcBorders>
                  <w:vAlign w:val="center"/>
                </w:tcPr>
                <w:p w14:paraId="020EFA60">
                  <w:pPr>
                    <w:pStyle w:val="24"/>
                    <w:spacing w:line="240" w:lineRule="auto"/>
                    <w:rPr>
                      <w:color w:val="auto"/>
                      <w:highlight w:val="none"/>
                    </w:rPr>
                  </w:pPr>
                  <w:r>
                    <w:rPr>
                      <w:rFonts w:hint="eastAsia"/>
                      <w:color w:val="auto"/>
                      <w:highlight w:val="none"/>
                    </w:rPr>
                    <w:t>本项目贮存场所、容器和包装物均按《危险废物识别标志设置技术规范》（HJ1276-2022）要求设置危险废物贮存场所标志、危险废物贮存分区标志和危险废物标签等危险废物识别标志</w:t>
                  </w:r>
                </w:p>
              </w:tc>
              <w:tc>
                <w:tcPr>
                  <w:tcW w:w="669" w:type="dxa"/>
                  <w:tcBorders>
                    <w:tl2br w:val="nil"/>
                    <w:tr2bl w:val="nil"/>
                  </w:tcBorders>
                  <w:vAlign w:val="center"/>
                </w:tcPr>
                <w:p w14:paraId="509ED2D3">
                  <w:pPr>
                    <w:pStyle w:val="24"/>
                    <w:spacing w:line="240" w:lineRule="auto"/>
                    <w:rPr>
                      <w:color w:val="auto"/>
                      <w:highlight w:val="none"/>
                    </w:rPr>
                  </w:pPr>
                  <w:r>
                    <w:rPr>
                      <w:rFonts w:hint="eastAsia"/>
                      <w:color w:val="auto"/>
                      <w:highlight w:val="none"/>
                    </w:rPr>
                    <w:t>符合</w:t>
                  </w:r>
                </w:p>
              </w:tc>
            </w:tr>
            <w:tr w14:paraId="3AFA79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continue"/>
                  <w:tcBorders>
                    <w:tl2br w:val="nil"/>
                    <w:tr2bl w:val="nil"/>
                  </w:tcBorders>
                  <w:vAlign w:val="center"/>
                </w:tcPr>
                <w:p w14:paraId="077FEC5F">
                  <w:pPr>
                    <w:pStyle w:val="24"/>
                    <w:spacing w:line="240" w:lineRule="auto"/>
                    <w:rPr>
                      <w:b/>
                      <w:bCs w:val="0"/>
                      <w:color w:val="auto"/>
                      <w:highlight w:val="none"/>
                    </w:rPr>
                  </w:pPr>
                </w:p>
              </w:tc>
              <w:tc>
                <w:tcPr>
                  <w:tcW w:w="4050" w:type="dxa"/>
                  <w:tcBorders>
                    <w:tl2br w:val="nil"/>
                    <w:tr2bl w:val="nil"/>
                  </w:tcBorders>
                  <w:vAlign w:val="center"/>
                </w:tcPr>
                <w:p w14:paraId="19A6F405">
                  <w:pPr>
                    <w:pStyle w:val="24"/>
                    <w:spacing w:line="240" w:lineRule="auto"/>
                    <w:ind w:firstLine="0" w:firstLineChars="0"/>
                    <w:rPr>
                      <w:rFonts w:hint="eastAsia"/>
                      <w:color w:val="auto"/>
                      <w:highlight w:val="none"/>
                    </w:rPr>
                  </w:pPr>
                  <w:r>
                    <w:rPr>
                      <w:rFonts w:hint="eastAsia"/>
                      <w:color w:val="auto"/>
                      <w:highlight w:val="none"/>
                    </w:rPr>
                    <w:t>废铅酸蓄电池的收集、贮存和运输应按HJ519执行</w:t>
                  </w:r>
                </w:p>
              </w:tc>
              <w:tc>
                <w:tcPr>
                  <w:tcW w:w="3082" w:type="dxa"/>
                  <w:tcBorders>
                    <w:tl2br w:val="nil"/>
                    <w:tr2bl w:val="nil"/>
                  </w:tcBorders>
                  <w:vAlign w:val="center"/>
                </w:tcPr>
                <w:p w14:paraId="2ADE15C7">
                  <w:pPr>
                    <w:pStyle w:val="24"/>
                    <w:spacing w:line="240" w:lineRule="auto"/>
                    <w:ind w:firstLine="0" w:firstLineChars="0"/>
                    <w:rPr>
                      <w:rFonts w:hint="eastAsia"/>
                      <w:color w:val="auto"/>
                      <w:highlight w:val="none"/>
                    </w:rPr>
                  </w:pPr>
                  <w:r>
                    <w:rPr>
                      <w:rFonts w:hint="eastAsia"/>
                      <w:color w:val="auto"/>
                      <w:highlight w:val="none"/>
                    </w:rPr>
                    <w:t>本项目废旧铅蓄电池的收集、贮存和转运参照《废旧铅蓄电池处理污染控制技术规范》（HJ519-2020）</w:t>
                  </w:r>
                </w:p>
              </w:tc>
              <w:tc>
                <w:tcPr>
                  <w:tcW w:w="669" w:type="dxa"/>
                  <w:tcBorders>
                    <w:tl2br w:val="nil"/>
                    <w:tr2bl w:val="nil"/>
                  </w:tcBorders>
                  <w:vAlign w:val="center"/>
                </w:tcPr>
                <w:p w14:paraId="6F26231A">
                  <w:pPr>
                    <w:pStyle w:val="24"/>
                    <w:spacing w:line="240" w:lineRule="auto"/>
                    <w:rPr>
                      <w:rFonts w:hint="eastAsia" w:eastAsiaTheme="minorEastAsia"/>
                      <w:color w:val="auto"/>
                      <w:highlight w:val="none"/>
                      <w:lang w:eastAsia="zh-CN"/>
                    </w:rPr>
                  </w:pPr>
                  <w:r>
                    <w:rPr>
                      <w:rFonts w:hint="eastAsia"/>
                      <w:color w:val="auto"/>
                      <w:highlight w:val="none"/>
                      <w:lang w:eastAsia="zh-CN"/>
                    </w:rPr>
                    <w:t>符合</w:t>
                  </w:r>
                </w:p>
              </w:tc>
            </w:tr>
            <w:tr w14:paraId="100E1A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restart"/>
                  <w:tcBorders>
                    <w:tl2br w:val="nil"/>
                    <w:tr2bl w:val="nil"/>
                  </w:tcBorders>
                  <w:vAlign w:val="center"/>
                </w:tcPr>
                <w:p w14:paraId="628BD5A7">
                  <w:pPr>
                    <w:pStyle w:val="24"/>
                    <w:spacing w:line="240" w:lineRule="auto"/>
                    <w:rPr>
                      <w:b/>
                      <w:bCs w:val="0"/>
                      <w:color w:val="auto"/>
                      <w:highlight w:val="none"/>
                    </w:rPr>
                  </w:pPr>
                  <w:r>
                    <w:rPr>
                      <w:rFonts w:hint="eastAsia"/>
                      <w:b/>
                      <w:bCs w:val="0"/>
                      <w:color w:val="auto"/>
                      <w:highlight w:val="none"/>
                    </w:rPr>
                    <w:t>危险废物的收集</w:t>
                  </w:r>
                </w:p>
              </w:tc>
              <w:tc>
                <w:tcPr>
                  <w:tcW w:w="4050" w:type="dxa"/>
                  <w:tcBorders>
                    <w:tl2br w:val="nil"/>
                    <w:tr2bl w:val="nil"/>
                  </w:tcBorders>
                  <w:vAlign w:val="center"/>
                </w:tcPr>
                <w:p w14:paraId="3A197F57">
                  <w:pPr>
                    <w:pStyle w:val="24"/>
                    <w:spacing w:line="240" w:lineRule="auto"/>
                    <w:rPr>
                      <w:color w:val="auto"/>
                      <w:highlight w:val="none"/>
                    </w:rPr>
                  </w:pPr>
                  <w:r>
                    <w:rPr>
                      <w:rFonts w:hint="eastAsia"/>
                      <w:color w:val="auto"/>
                      <w:highlight w:val="none"/>
                    </w:rPr>
                    <w:t>危险废物的收集应根据危险废物产生的工艺特征、排放周期、危险废物特性、废物管理计划等因素制定收集计划</w:t>
                  </w:r>
                </w:p>
              </w:tc>
              <w:tc>
                <w:tcPr>
                  <w:tcW w:w="3082" w:type="dxa"/>
                  <w:tcBorders>
                    <w:tl2br w:val="nil"/>
                    <w:tr2bl w:val="nil"/>
                  </w:tcBorders>
                  <w:vAlign w:val="center"/>
                </w:tcPr>
                <w:p w14:paraId="50459C18">
                  <w:pPr>
                    <w:pStyle w:val="24"/>
                    <w:spacing w:line="240" w:lineRule="auto"/>
                    <w:rPr>
                      <w:color w:val="auto"/>
                      <w:highlight w:val="none"/>
                    </w:rPr>
                  </w:pPr>
                  <w:r>
                    <w:rPr>
                      <w:rFonts w:hint="eastAsia"/>
                      <w:color w:val="auto"/>
                      <w:highlight w:val="none"/>
                    </w:rPr>
                    <w:t>本项目在生产运营前进行收集计划，并根据制约因素实时调整，保证危险废物的收集符合操作要求</w:t>
                  </w:r>
                </w:p>
              </w:tc>
              <w:tc>
                <w:tcPr>
                  <w:tcW w:w="669" w:type="dxa"/>
                  <w:tcBorders>
                    <w:tl2br w:val="nil"/>
                    <w:tr2bl w:val="nil"/>
                  </w:tcBorders>
                  <w:vAlign w:val="center"/>
                </w:tcPr>
                <w:p w14:paraId="29A8DA94">
                  <w:pPr>
                    <w:pStyle w:val="24"/>
                    <w:spacing w:line="240" w:lineRule="auto"/>
                    <w:rPr>
                      <w:color w:val="auto"/>
                      <w:highlight w:val="none"/>
                    </w:rPr>
                  </w:pPr>
                  <w:r>
                    <w:rPr>
                      <w:rFonts w:hint="eastAsia"/>
                      <w:color w:val="auto"/>
                      <w:highlight w:val="none"/>
                    </w:rPr>
                    <w:t>符合</w:t>
                  </w:r>
                </w:p>
              </w:tc>
            </w:tr>
            <w:tr w14:paraId="302200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continue"/>
                  <w:tcBorders>
                    <w:tl2br w:val="nil"/>
                    <w:tr2bl w:val="nil"/>
                  </w:tcBorders>
                  <w:vAlign w:val="center"/>
                </w:tcPr>
                <w:p w14:paraId="61D31C43">
                  <w:pPr>
                    <w:pStyle w:val="24"/>
                    <w:spacing w:line="240" w:lineRule="auto"/>
                    <w:rPr>
                      <w:b/>
                      <w:bCs w:val="0"/>
                      <w:color w:val="auto"/>
                      <w:highlight w:val="none"/>
                    </w:rPr>
                  </w:pPr>
                </w:p>
              </w:tc>
              <w:tc>
                <w:tcPr>
                  <w:tcW w:w="4050" w:type="dxa"/>
                  <w:tcBorders>
                    <w:tl2br w:val="nil"/>
                    <w:tr2bl w:val="nil"/>
                  </w:tcBorders>
                  <w:vAlign w:val="center"/>
                </w:tcPr>
                <w:p w14:paraId="47AA80C7">
                  <w:pPr>
                    <w:pStyle w:val="24"/>
                    <w:spacing w:line="240" w:lineRule="auto"/>
                    <w:rPr>
                      <w:color w:val="auto"/>
                      <w:highlight w:val="none"/>
                    </w:rPr>
                  </w:pPr>
                  <w:r>
                    <w:rPr>
                      <w:rFonts w:hint="eastAsia"/>
                      <w:color w:val="auto"/>
                      <w:highlight w:val="none"/>
                    </w:rPr>
                    <w:t>危险废物的收集应制定详细的操作规程，内容至少应包括适用范围、操作程序和方法、专用设备和工具、转移和交接、安全保障和应急防护等</w:t>
                  </w:r>
                </w:p>
              </w:tc>
              <w:tc>
                <w:tcPr>
                  <w:tcW w:w="3082" w:type="dxa"/>
                  <w:tcBorders>
                    <w:tl2br w:val="nil"/>
                    <w:tr2bl w:val="nil"/>
                  </w:tcBorders>
                  <w:vAlign w:val="center"/>
                </w:tcPr>
                <w:p w14:paraId="0F5BF938">
                  <w:pPr>
                    <w:pStyle w:val="24"/>
                    <w:spacing w:line="240" w:lineRule="auto"/>
                    <w:rPr>
                      <w:color w:val="auto"/>
                      <w:highlight w:val="none"/>
                    </w:rPr>
                  </w:pPr>
                  <w:r>
                    <w:rPr>
                      <w:rFonts w:hint="eastAsia"/>
                      <w:color w:val="auto"/>
                      <w:highlight w:val="none"/>
                    </w:rPr>
                    <w:t>本项目在运营前制定详细的操作规程</w:t>
                  </w:r>
                </w:p>
              </w:tc>
              <w:tc>
                <w:tcPr>
                  <w:tcW w:w="669" w:type="dxa"/>
                  <w:tcBorders>
                    <w:tl2br w:val="nil"/>
                    <w:tr2bl w:val="nil"/>
                  </w:tcBorders>
                  <w:vAlign w:val="center"/>
                </w:tcPr>
                <w:p w14:paraId="3C4569C6">
                  <w:pPr>
                    <w:pStyle w:val="24"/>
                    <w:spacing w:line="240" w:lineRule="auto"/>
                    <w:rPr>
                      <w:color w:val="auto"/>
                      <w:highlight w:val="none"/>
                    </w:rPr>
                  </w:pPr>
                  <w:r>
                    <w:rPr>
                      <w:rFonts w:hint="eastAsia"/>
                      <w:color w:val="auto"/>
                      <w:highlight w:val="none"/>
                    </w:rPr>
                    <w:t>符合</w:t>
                  </w:r>
                </w:p>
              </w:tc>
            </w:tr>
            <w:tr w14:paraId="23C1C0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continue"/>
                  <w:tcBorders>
                    <w:tl2br w:val="nil"/>
                    <w:tr2bl w:val="nil"/>
                  </w:tcBorders>
                  <w:vAlign w:val="center"/>
                </w:tcPr>
                <w:p w14:paraId="5B33608F">
                  <w:pPr>
                    <w:pStyle w:val="24"/>
                    <w:spacing w:line="240" w:lineRule="auto"/>
                    <w:rPr>
                      <w:b/>
                      <w:bCs w:val="0"/>
                      <w:color w:val="auto"/>
                      <w:highlight w:val="none"/>
                    </w:rPr>
                  </w:pPr>
                </w:p>
              </w:tc>
              <w:tc>
                <w:tcPr>
                  <w:tcW w:w="4050" w:type="dxa"/>
                  <w:tcBorders>
                    <w:tl2br w:val="nil"/>
                    <w:tr2bl w:val="nil"/>
                  </w:tcBorders>
                  <w:vAlign w:val="center"/>
                </w:tcPr>
                <w:p w14:paraId="41C2C7CD">
                  <w:pPr>
                    <w:pStyle w:val="24"/>
                    <w:spacing w:line="240" w:lineRule="auto"/>
                    <w:rPr>
                      <w:color w:val="auto"/>
                      <w:highlight w:val="none"/>
                    </w:rPr>
                  </w:pPr>
                  <w:r>
                    <w:rPr>
                      <w:rFonts w:hint="eastAsia"/>
                      <w:color w:val="auto"/>
                      <w:highlight w:val="none"/>
                    </w:rPr>
                    <w:t>危险废物收集和转运作业人员应根据工作需要配备必要的个人防护装备，如手套、防护镜、工作服、防毒面具或口罩等</w:t>
                  </w:r>
                </w:p>
              </w:tc>
              <w:tc>
                <w:tcPr>
                  <w:tcW w:w="3082" w:type="dxa"/>
                  <w:tcBorders>
                    <w:tl2br w:val="nil"/>
                    <w:tr2bl w:val="nil"/>
                  </w:tcBorders>
                  <w:vAlign w:val="center"/>
                </w:tcPr>
                <w:p w14:paraId="78736030">
                  <w:pPr>
                    <w:pStyle w:val="24"/>
                    <w:spacing w:line="240" w:lineRule="auto"/>
                    <w:rPr>
                      <w:color w:val="auto"/>
                      <w:highlight w:val="none"/>
                    </w:rPr>
                  </w:pPr>
                  <w:r>
                    <w:rPr>
                      <w:rFonts w:hint="eastAsia"/>
                      <w:color w:val="auto"/>
                      <w:highlight w:val="none"/>
                    </w:rPr>
                    <w:t>项目转运作业人员配备相应的个人防护装备</w:t>
                  </w:r>
                </w:p>
              </w:tc>
              <w:tc>
                <w:tcPr>
                  <w:tcW w:w="669" w:type="dxa"/>
                  <w:tcBorders>
                    <w:tl2br w:val="nil"/>
                    <w:tr2bl w:val="nil"/>
                  </w:tcBorders>
                  <w:vAlign w:val="center"/>
                </w:tcPr>
                <w:p w14:paraId="7F274534">
                  <w:pPr>
                    <w:pStyle w:val="24"/>
                    <w:spacing w:line="240" w:lineRule="auto"/>
                    <w:rPr>
                      <w:color w:val="auto"/>
                      <w:highlight w:val="none"/>
                    </w:rPr>
                  </w:pPr>
                  <w:r>
                    <w:rPr>
                      <w:rFonts w:hint="eastAsia"/>
                      <w:color w:val="auto"/>
                      <w:highlight w:val="none"/>
                    </w:rPr>
                    <w:t>符合</w:t>
                  </w:r>
                </w:p>
              </w:tc>
            </w:tr>
            <w:tr w14:paraId="29F6A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continue"/>
                  <w:tcBorders>
                    <w:tl2br w:val="nil"/>
                    <w:tr2bl w:val="nil"/>
                  </w:tcBorders>
                  <w:vAlign w:val="center"/>
                </w:tcPr>
                <w:p w14:paraId="756F1EF8">
                  <w:pPr>
                    <w:pStyle w:val="24"/>
                    <w:spacing w:line="240" w:lineRule="auto"/>
                    <w:rPr>
                      <w:b/>
                      <w:bCs w:val="0"/>
                      <w:color w:val="auto"/>
                      <w:highlight w:val="none"/>
                    </w:rPr>
                  </w:pPr>
                </w:p>
              </w:tc>
              <w:tc>
                <w:tcPr>
                  <w:tcW w:w="4050" w:type="dxa"/>
                  <w:tcBorders>
                    <w:tl2br w:val="nil"/>
                    <w:tr2bl w:val="nil"/>
                  </w:tcBorders>
                  <w:vAlign w:val="center"/>
                </w:tcPr>
                <w:p w14:paraId="49C8208B">
                  <w:pPr>
                    <w:spacing w:line="240" w:lineRule="auto"/>
                    <w:ind w:firstLine="0" w:firstLineChars="0"/>
                    <w:jc w:val="center"/>
                    <w:rPr>
                      <w:color w:val="auto"/>
                      <w:highlight w:val="none"/>
                    </w:rPr>
                  </w:pPr>
                  <w:r>
                    <w:rPr>
                      <w:rFonts w:hint="eastAsia" w:eastAsiaTheme="minorEastAsia"/>
                      <w:color w:val="auto"/>
                      <w:sz w:val="21"/>
                      <w:szCs w:val="21"/>
                      <w:highlight w:val="none"/>
                    </w:rPr>
                    <w:t>危险废物收集时应根据危险废物的种类、数量、危险特性、物理形态、运输要求等因素</w:t>
                  </w:r>
                  <w:r>
                    <w:rPr>
                      <w:rFonts w:hint="eastAsia"/>
                      <w:color w:val="auto"/>
                      <w:sz w:val="21"/>
                      <w:szCs w:val="21"/>
                      <w:highlight w:val="none"/>
                    </w:rPr>
                    <w:t>确定包装形式，具体包装应符合如下要求：(1)包装材质要与危险废物相容，可根据废物特性选择钢、铝、塑料等材质。(2)性质类似的废物可收集到同一容器中，性质不相容的危险废物不应混合包装。(3)危险废物包装应能有效隔断危险废物迁移扩散途径，并达到防渗、防漏要求。(4)包装好的危险废物应设置相应的标签，标签信息应填写完整翔实。(5)盛装过危险废物的包装袋或包装容器破损后应按危险废物进行管理和处置。(6)危险废物还应根据GB12463的有关要求进行运输包装</w:t>
                  </w:r>
                </w:p>
              </w:tc>
              <w:tc>
                <w:tcPr>
                  <w:tcW w:w="3082" w:type="dxa"/>
                  <w:tcBorders>
                    <w:tl2br w:val="nil"/>
                    <w:tr2bl w:val="nil"/>
                  </w:tcBorders>
                  <w:vAlign w:val="center"/>
                </w:tcPr>
                <w:p w14:paraId="6AEA54C3">
                  <w:pPr>
                    <w:pStyle w:val="24"/>
                    <w:spacing w:line="240" w:lineRule="auto"/>
                    <w:rPr>
                      <w:color w:val="auto"/>
                      <w:highlight w:val="none"/>
                    </w:rPr>
                  </w:pPr>
                  <w:r>
                    <w:rPr>
                      <w:rFonts w:hint="eastAsia"/>
                      <w:color w:val="auto"/>
                      <w:highlight w:val="none"/>
                    </w:rPr>
                    <w:t>根据危险废物的种类、数量、危险特性、物理形态、运输要求等因素，本项目设计收集危险废物时采用多种包装形式。可达到容器和包装物材质、内衬均与盛装的危险废物相容要求。包装方式能有效隔绝危险废物渗漏的扩散；破损后的包装材料按照危险废物进行处置；项目贮存场所、容器和包装物均按《危险废物识别标志设置技术规范》（HJ1276-2022）要求设置危险废物贮存场所标志、危险废物贮存分区标志和危险废物标签等危险废物识别标志</w:t>
                  </w:r>
                </w:p>
              </w:tc>
              <w:tc>
                <w:tcPr>
                  <w:tcW w:w="669" w:type="dxa"/>
                  <w:tcBorders>
                    <w:tl2br w:val="nil"/>
                    <w:tr2bl w:val="nil"/>
                  </w:tcBorders>
                  <w:vAlign w:val="center"/>
                </w:tcPr>
                <w:p w14:paraId="55AFFBBA">
                  <w:pPr>
                    <w:pStyle w:val="24"/>
                    <w:spacing w:line="240" w:lineRule="auto"/>
                    <w:rPr>
                      <w:color w:val="auto"/>
                      <w:highlight w:val="none"/>
                    </w:rPr>
                  </w:pPr>
                  <w:r>
                    <w:rPr>
                      <w:rFonts w:hint="eastAsia"/>
                      <w:color w:val="auto"/>
                      <w:highlight w:val="none"/>
                    </w:rPr>
                    <w:t>符合</w:t>
                  </w:r>
                </w:p>
              </w:tc>
            </w:tr>
            <w:tr w14:paraId="6090CF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continue"/>
                  <w:tcBorders>
                    <w:tl2br w:val="nil"/>
                    <w:tr2bl w:val="nil"/>
                  </w:tcBorders>
                  <w:vAlign w:val="center"/>
                </w:tcPr>
                <w:p w14:paraId="0AA202FC">
                  <w:pPr>
                    <w:pStyle w:val="24"/>
                    <w:spacing w:line="240" w:lineRule="auto"/>
                    <w:rPr>
                      <w:b/>
                      <w:bCs w:val="0"/>
                      <w:color w:val="auto"/>
                      <w:highlight w:val="none"/>
                    </w:rPr>
                  </w:pPr>
                </w:p>
              </w:tc>
              <w:tc>
                <w:tcPr>
                  <w:tcW w:w="4050" w:type="dxa"/>
                  <w:tcBorders>
                    <w:tl2br w:val="nil"/>
                    <w:tr2bl w:val="nil"/>
                  </w:tcBorders>
                  <w:vAlign w:val="center"/>
                </w:tcPr>
                <w:p w14:paraId="08AC4202">
                  <w:pPr>
                    <w:pStyle w:val="24"/>
                    <w:spacing w:line="240" w:lineRule="auto"/>
                    <w:rPr>
                      <w:color w:val="auto"/>
                      <w:highlight w:val="none"/>
                    </w:rPr>
                  </w:pPr>
                  <w:r>
                    <w:rPr>
                      <w:rFonts w:hint="eastAsia"/>
                      <w:color w:val="auto"/>
                      <w:highlight w:val="none"/>
                    </w:rPr>
                    <w:t>危险废物内部转运作业应满足如下要求：(1)危险废物内部转运应综合考虑厂区的实际情况确定转运路线，尽量避开办公区和生活区。(2)危险废物内部转运作业应采用专用的工具，危险废物内部转运应参照本标准附录B填写《危险废物厂内转运记录表》</w:t>
                  </w:r>
                </w:p>
              </w:tc>
              <w:tc>
                <w:tcPr>
                  <w:tcW w:w="3082" w:type="dxa"/>
                  <w:tcBorders>
                    <w:tl2br w:val="nil"/>
                    <w:tr2bl w:val="nil"/>
                  </w:tcBorders>
                  <w:vAlign w:val="center"/>
                </w:tcPr>
                <w:p w14:paraId="40D6FD5E">
                  <w:pPr>
                    <w:pStyle w:val="24"/>
                    <w:spacing w:line="240" w:lineRule="auto"/>
                    <w:rPr>
                      <w:color w:val="auto"/>
                      <w:highlight w:val="none"/>
                    </w:rPr>
                  </w:pPr>
                  <w:r>
                    <w:rPr>
                      <w:rFonts w:hint="eastAsia"/>
                      <w:color w:val="auto"/>
                      <w:highlight w:val="none"/>
                    </w:rPr>
                    <w:t>本项目内部转运路线，已避开办公区及生活区；本项目转运过程中采用工具均为专用工具；并做好厂内转运记录表</w:t>
                  </w:r>
                </w:p>
              </w:tc>
              <w:tc>
                <w:tcPr>
                  <w:tcW w:w="669" w:type="dxa"/>
                  <w:tcBorders>
                    <w:tl2br w:val="nil"/>
                    <w:tr2bl w:val="nil"/>
                  </w:tcBorders>
                  <w:vAlign w:val="center"/>
                </w:tcPr>
                <w:p w14:paraId="1B012A54">
                  <w:pPr>
                    <w:pStyle w:val="24"/>
                    <w:spacing w:line="240" w:lineRule="auto"/>
                    <w:rPr>
                      <w:color w:val="auto"/>
                      <w:highlight w:val="none"/>
                    </w:rPr>
                  </w:pPr>
                  <w:r>
                    <w:rPr>
                      <w:rFonts w:hint="eastAsia"/>
                      <w:color w:val="auto"/>
                      <w:highlight w:val="none"/>
                    </w:rPr>
                    <w:t>符合</w:t>
                  </w:r>
                </w:p>
              </w:tc>
            </w:tr>
            <w:tr w14:paraId="2F69CF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continue"/>
                  <w:tcBorders>
                    <w:tl2br w:val="nil"/>
                    <w:tr2bl w:val="nil"/>
                  </w:tcBorders>
                  <w:vAlign w:val="center"/>
                </w:tcPr>
                <w:p w14:paraId="2DEC9D50">
                  <w:pPr>
                    <w:pStyle w:val="24"/>
                    <w:spacing w:line="240" w:lineRule="auto"/>
                    <w:rPr>
                      <w:b/>
                      <w:bCs w:val="0"/>
                      <w:color w:val="auto"/>
                      <w:highlight w:val="none"/>
                    </w:rPr>
                  </w:pPr>
                </w:p>
              </w:tc>
              <w:tc>
                <w:tcPr>
                  <w:tcW w:w="4050" w:type="dxa"/>
                  <w:tcBorders>
                    <w:tl2br w:val="nil"/>
                    <w:tr2bl w:val="nil"/>
                  </w:tcBorders>
                  <w:vAlign w:val="center"/>
                </w:tcPr>
                <w:p w14:paraId="1554EC00">
                  <w:pPr>
                    <w:pStyle w:val="24"/>
                    <w:spacing w:line="240" w:lineRule="auto"/>
                    <w:rPr>
                      <w:color w:val="auto"/>
                      <w:highlight w:val="none"/>
                    </w:rPr>
                  </w:pPr>
                  <w:r>
                    <w:rPr>
                      <w:rFonts w:hint="eastAsia"/>
                      <w:color w:val="auto"/>
                      <w:highlight w:val="none"/>
                    </w:rPr>
                    <w:t>收集不具备运输包装条件的危险废物时，且危险特性不会对环境和操作人员造成重大危害，可在临时包装后进行暂时贮存，但正式运输前应按本标准要求进行包装</w:t>
                  </w:r>
                </w:p>
              </w:tc>
              <w:tc>
                <w:tcPr>
                  <w:tcW w:w="3082" w:type="dxa"/>
                  <w:tcBorders>
                    <w:tl2br w:val="nil"/>
                    <w:tr2bl w:val="nil"/>
                  </w:tcBorders>
                  <w:vAlign w:val="center"/>
                </w:tcPr>
                <w:p w14:paraId="21849101">
                  <w:pPr>
                    <w:pStyle w:val="24"/>
                    <w:spacing w:line="240" w:lineRule="auto"/>
                    <w:rPr>
                      <w:color w:val="auto"/>
                      <w:highlight w:val="none"/>
                    </w:rPr>
                  </w:pPr>
                  <w:r>
                    <w:rPr>
                      <w:rFonts w:hint="eastAsia"/>
                      <w:color w:val="auto"/>
                      <w:highlight w:val="none"/>
                    </w:rPr>
                    <w:t>本项目收集过程中配备相应的收集包装，并在正式运输前按相应标准做好包装要求</w:t>
                  </w:r>
                </w:p>
              </w:tc>
              <w:tc>
                <w:tcPr>
                  <w:tcW w:w="669" w:type="dxa"/>
                  <w:tcBorders>
                    <w:tl2br w:val="nil"/>
                    <w:tr2bl w:val="nil"/>
                  </w:tcBorders>
                  <w:vAlign w:val="center"/>
                </w:tcPr>
                <w:p w14:paraId="304F7C86">
                  <w:pPr>
                    <w:pStyle w:val="24"/>
                    <w:spacing w:line="240" w:lineRule="auto"/>
                    <w:rPr>
                      <w:color w:val="auto"/>
                      <w:highlight w:val="none"/>
                    </w:rPr>
                  </w:pPr>
                  <w:r>
                    <w:rPr>
                      <w:rFonts w:hint="eastAsia"/>
                      <w:color w:val="auto"/>
                      <w:highlight w:val="none"/>
                    </w:rPr>
                    <w:t>符合</w:t>
                  </w:r>
                </w:p>
              </w:tc>
            </w:tr>
            <w:tr w14:paraId="614E77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restart"/>
                  <w:tcBorders>
                    <w:tl2br w:val="nil"/>
                    <w:tr2bl w:val="nil"/>
                  </w:tcBorders>
                  <w:vAlign w:val="center"/>
                </w:tcPr>
                <w:p w14:paraId="789197FF">
                  <w:pPr>
                    <w:pStyle w:val="24"/>
                    <w:spacing w:line="240" w:lineRule="auto"/>
                    <w:rPr>
                      <w:b/>
                      <w:bCs w:val="0"/>
                      <w:color w:val="auto"/>
                      <w:highlight w:val="none"/>
                    </w:rPr>
                  </w:pPr>
                  <w:r>
                    <w:rPr>
                      <w:rFonts w:hint="eastAsia"/>
                      <w:b/>
                      <w:bCs w:val="0"/>
                      <w:color w:val="auto"/>
                      <w:highlight w:val="none"/>
                    </w:rPr>
                    <w:t>危险废物的贮存</w:t>
                  </w:r>
                </w:p>
              </w:tc>
              <w:tc>
                <w:tcPr>
                  <w:tcW w:w="4050" w:type="dxa"/>
                  <w:tcBorders>
                    <w:tl2br w:val="nil"/>
                    <w:tr2bl w:val="nil"/>
                  </w:tcBorders>
                  <w:vAlign w:val="center"/>
                </w:tcPr>
                <w:p w14:paraId="64AFB35F">
                  <w:pPr>
                    <w:pStyle w:val="24"/>
                    <w:spacing w:line="240" w:lineRule="auto"/>
                    <w:rPr>
                      <w:color w:val="auto"/>
                      <w:highlight w:val="none"/>
                    </w:rPr>
                  </w:pPr>
                  <w:r>
                    <w:rPr>
                      <w:rFonts w:hint="eastAsia"/>
                      <w:color w:val="auto"/>
                      <w:highlight w:val="none"/>
                    </w:rPr>
                    <w:t>危险废物贮存可分为产生单位内部贮存、中转贮存及集中性贮存。所对应的贮存设施分别为：产生危险废物的单位用于暂时贮存的设施；拥有危险废物收集经营许可证的单位用于临时贮存废矿物油、废镍镉电池的设施；以及危险废物经营单位所配置的贮存设施</w:t>
                  </w:r>
                </w:p>
              </w:tc>
              <w:tc>
                <w:tcPr>
                  <w:tcW w:w="3082" w:type="dxa"/>
                  <w:tcBorders>
                    <w:tl2br w:val="nil"/>
                    <w:tr2bl w:val="nil"/>
                  </w:tcBorders>
                  <w:vAlign w:val="center"/>
                </w:tcPr>
                <w:p w14:paraId="688EA770">
                  <w:pPr>
                    <w:pStyle w:val="24"/>
                    <w:spacing w:line="240" w:lineRule="auto"/>
                    <w:rPr>
                      <w:rFonts w:hint="eastAsia" w:eastAsiaTheme="minorEastAsia"/>
                      <w:color w:val="auto"/>
                      <w:highlight w:val="none"/>
                      <w:lang w:eastAsia="zh-CN"/>
                    </w:rPr>
                  </w:pPr>
                  <w:r>
                    <w:rPr>
                      <w:rFonts w:hint="eastAsia"/>
                      <w:color w:val="auto"/>
                      <w:highlight w:val="none"/>
                    </w:rPr>
                    <w:t>危险废物贮存属于产生单位内部贮存，对应的贮存设施为产生危险废物的单位用于暂时贮存的</w:t>
                  </w:r>
                  <w:r>
                    <w:rPr>
                      <w:rFonts w:hint="eastAsia"/>
                      <w:color w:val="auto"/>
                      <w:highlight w:val="none"/>
                      <w:lang w:eastAsia="zh-CN"/>
                    </w:rPr>
                    <w:t>贮存点</w:t>
                  </w:r>
                </w:p>
              </w:tc>
              <w:tc>
                <w:tcPr>
                  <w:tcW w:w="669" w:type="dxa"/>
                  <w:tcBorders>
                    <w:tl2br w:val="nil"/>
                    <w:tr2bl w:val="nil"/>
                  </w:tcBorders>
                  <w:vAlign w:val="center"/>
                </w:tcPr>
                <w:p w14:paraId="1EE5A800">
                  <w:pPr>
                    <w:pStyle w:val="24"/>
                    <w:spacing w:line="240" w:lineRule="auto"/>
                    <w:rPr>
                      <w:color w:val="auto"/>
                      <w:highlight w:val="none"/>
                    </w:rPr>
                  </w:pPr>
                  <w:r>
                    <w:rPr>
                      <w:rFonts w:hint="eastAsia"/>
                      <w:color w:val="auto"/>
                      <w:highlight w:val="none"/>
                    </w:rPr>
                    <w:t>符合</w:t>
                  </w:r>
                </w:p>
              </w:tc>
            </w:tr>
            <w:tr w14:paraId="205972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continue"/>
                  <w:tcBorders>
                    <w:tl2br w:val="nil"/>
                    <w:tr2bl w:val="nil"/>
                  </w:tcBorders>
                  <w:vAlign w:val="center"/>
                </w:tcPr>
                <w:p w14:paraId="226DC771">
                  <w:pPr>
                    <w:pStyle w:val="24"/>
                    <w:spacing w:line="240" w:lineRule="auto"/>
                    <w:rPr>
                      <w:color w:val="auto"/>
                      <w:highlight w:val="none"/>
                    </w:rPr>
                  </w:pPr>
                </w:p>
              </w:tc>
              <w:tc>
                <w:tcPr>
                  <w:tcW w:w="4050" w:type="dxa"/>
                  <w:tcBorders>
                    <w:tl2br w:val="nil"/>
                    <w:tr2bl w:val="nil"/>
                  </w:tcBorders>
                  <w:vAlign w:val="center"/>
                </w:tcPr>
                <w:p w14:paraId="63B08578">
                  <w:pPr>
                    <w:pStyle w:val="24"/>
                    <w:spacing w:line="240" w:lineRule="auto"/>
                    <w:rPr>
                      <w:color w:val="auto"/>
                      <w:highlight w:val="none"/>
                    </w:rPr>
                  </w:pPr>
                  <w:r>
                    <w:rPr>
                      <w:rFonts w:hint="eastAsia"/>
                      <w:color w:val="auto"/>
                      <w:highlight w:val="none"/>
                    </w:rPr>
                    <w:t>贮存危险废物时应按危险废物的种类和特性进行分区贮存，每个贮存区域之间宜设置挡墙间隔，并应设置防雨、防火、防雷、防扬尘装置</w:t>
                  </w:r>
                </w:p>
              </w:tc>
              <w:tc>
                <w:tcPr>
                  <w:tcW w:w="3082" w:type="dxa"/>
                  <w:tcBorders>
                    <w:tl2br w:val="nil"/>
                    <w:tr2bl w:val="nil"/>
                  </w:tcBorders>
                  <w:vAlign w:val="center"/>
                </w:tcPr>
                <w:p w14:paraId="063E5D52">
                  <w:pPr>
                    <w:pStyle w:val="24"/>
                    <w:spacing w:line="240" w:lineRule="auto"/>
                    <w:rPr>
                      <w:color w:val="auto"/>
                      <w:highlight w:val="none"/>
                    </w:rPr>
                  </w:pPr>
                  <w:r>
                    <w:rPr>
                      <w:rFonts w:hint="eastAsia"/>
                      <w:color w:val="auto"/>
                      <w:highlight w:val="none"/>
                    </w:rPr>
                    <w:t>本项目按危险废物的种类和特性进行分区贮存。</w:t>
                  </w:r>
                  <w:r>
                    <w:rPr>
                      <w:rFonts w:hint="eastAsia"/>
                      <w:color w:val="auto"/>
                      <w:highlight w:val="none"/>
                      <w:lang w:eastAsia="zh-CN"/>
                    </w:rPr>
                    <w:t>危险废物贮存点</w:t>
                  </w:r>
                  <w:r>
                    <w:rPr>
                      <w:rFonts w:hint="eastAsia"/>
                      <w:color w:val="auto"/>
                      <w:highlight w:val="none"/>
                    </w:rPr>
                    <w:t>内设置隔离设施、防雨、防火、防雷、防扬尘设施</w:t>
                  </w:r>
                </w:p>
              </w:tc>
              <w:tc>
                <w:tcPr>
                  <w:tcW w:w="669" w:type="dxa"/>
                  <w:tcBorders>
                    <w:tl2br w:val="nil"/>
                    <w:tr2bl w:val="nil"/>
                  </w:tcBorders>
                  <w:vAlign w:val="center"/>
                </w:tcPr>
                <w:p w14:paraId="69C97F1E">
                  <w:pPr>
                    <w:pStyle w:val="24"/>
                    <w:spacing w:line="240" w:lineRule="auto"/>
                    <w:rPr>
                      <w:color w:val="auto"/>
                      <w:highlight w:val="none"/>
                    </w:rPr>
                  </w:pPr>
                  <w:r>
                    <w:rPr>
                      <w:rFonts w:hint="eastAsia"/>
                      <w:color w:val="auto"/>
                      <w:highlight w:val="none"/>
                    </w:rPr>
                    <w:t>符合</w:t>
                  </w:r>
                </w:p>
              </w:tc>
            </w:tr>
            <w:tr w14:paraId="140D63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continue"/>
                  <w:tcBorders>
                    <w:tl2br w:val="nil"/>
                    <w:tr2bl w:val="nil"/>
                  </w:tcBorders>
                  <w:vAlign w:val="center"/>
                </w:tcPr>
                <w:p w14:paraId="506CA46A">
                  <w:pPr>
                    <w:pStyle w:val="24"/>
                    <w:spacing w:line="240" w:lineRule="auto"/>
                    <w:rPr>
                      <w:color w:val="auto"/>
                      <w:highlight w:val="none"/>
                    </w:rPr>
                  </w:pPr>
                </w:p>
              </w:tc>
              <w:tc>
                <w:tcPr>
                  <w:tcW w:w="4050" w:type="dxa"/>
                  <w:tcBorders>
                    <w:tl2br w:val="nil"/>
                    <w:tr2bl w:val="nil"/>
                  </w:tcBorders>
                  <w:vAlign w:val="center"/>
                </w:tcPr>
                <w:p w14:paraId="7351F85D">
                  <w:pPr>
                    <w:pStyle w:val="24"/>
                    <w:spacing w:line="240" w:lineRule="auto"/>
                    <w:rPr>
                      <w:color w:val="auto"/>
                      <w:highlight w:val="none"/>
                    </w:rPr>
                  </w:pPr>
                  <w:r>
                    <w:rPr>
                      <w:rFonts w:hint="eastAsia"/>
                      <w:color w:val="auto"/>
                      <w:highlight w:val="none"/>
                    </w:rPr>
                    <w:t>危险废物贮存期限应符合《中华人民共和国固体废物污染环境防治法》的有关规定</w:t>
                  </w:r>
                </w:p>
              </w:tc>
              <w:tc>
                <w:tcPr>
                  <w:tcW w:w="3082" w:type="dxa"/>
                  <w:tcBorders>
                    <w:tl2br w:val="nil"/>
                    <w:tr2bl w:val="nil"/>
                  </w:tcBorders>
                  <w:vAlign w:val="center"/>
                </w:tcPr>
                <w:p w14:paraId="7E508E0C">
                  <w:pPr>
                    <w:pStyle w:val="24"/>
                    <w:spacing w:line="240" w:lineRule="auto"/>
                    <w:rPr>
                      <w:color w:val="auto"/>
                      <w:highlight w:val="none"/>
                    </w:rPr>
                  </w:pPr>
                  <w:r>
                    <w:rPr>
                      <w:rFonts w:hint="eastAsia"/>
                      <w:color w:val="auto"/>
                      <w:highlight w:val="none"/>
                    </w:rPr>
                    <w:t>项目危险废物贮存周期均不超过一年，符合《中华人民共和国固体废物污染环境防治法》（2020年修订）的有关规定</w:t>
                  </w:r>
                </w:p>
              </w:tc>
              <w:tc>
                <w:tcPr>
                  <w:tcW w:w="669" w:type="dxa"/>
                  <w:tcBorders>
                    <w:tl2br w:val="nil"/>
                    <w:tr2bl w:val="nil"/>
                  </w:tcBorders>
                  <w:vAlign w:val="center"/>
                </w:tcPr>
                <w:p w14:paraId="5A1581E2">
                  <w:pPr>
                    <w:pStyle w:val="24"/>
                    <w:spacing w:line="240" w:lineRule="auto"/>
                    <w:rPr>
                      <w:color w:val="auto"/>
                      <w:highlight w:val="none"/>
                    </w:rPr>
                  </w:pPr>
                  <w:r>
                    <w:rPr>
                      <w:rFonts w:hint="eastAsia"/>
                      <w:color w:val="auto"/>
                      <w:highlight w:val="none"/>
                    </w:rPr>
                    <w:t>符合</w:t>
                  </w:r>
                </w:p>
              </w:tc>
            </w:tr>
            <w:tr w14:paraId="1489CA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6" w:type="dxa"/>
                  <w:vMerge w:val="continue"/>
                  <w:tcBorders>
                    <w:tl2br w:val="nil"/>
                    <w:tr2bl w:val="nil"/>
                  </w:tcBorders>
                  <w:vAlign w:val="center"/>
                </w:tcPr>
                <w:p w14:paraId="2FE7D1BD">
                  <w:pPr>
                    <w:pStyle w:val="24"/>
                    <w:spacing w:line="240" w:lineRule="auto"/>
                    <w:rPr>
                      <w:color w:val="auto"/>
                      <w:highlight w:val="none"/>
                    </w:rPr>
                  </w:pPr>
                </w:p>
              </w:tc>
              <w:tc>
                <w:tcPr>
                  <w:tcW w:w="4050" w:type="dxa"/>
                  <w:tcBorders>
                    <w:tl2br w:val="nil"/>
                    <w:tr2bl w:val="nil"/>
                  </w:tcBorders>
                  <w:vAlign w:val="center"/>
                </w:tcPr>
                <w:p w14:paraId="172FB871">
                  <w:pPr>
                    <w:pStyle w:val="24"/>
                    <w:spacing w:line="240" w:lineRule="auto"/>
                    <w:rPr>
                      <w:color w:val="auto"/>
                      <w:highlight w:val="none"/>
                    </w:rPr>
                  </w:pPr>
                  <w:r>
                    <w:rPr>
                      <w:rFonts w:hint="eastAsia"/>
                      <w:color w:val="auto"/>
                      <w:highlight w:val="none"/>
                    </w:rPr>
                    <w:t>危险废物贮存单位应建立危险废物贮存的台账制度，危险废物出入库交接记录内容应参照本标准附录C执行</w:t>
                  </w:r>
                </w:p>
              </w:tc>
              <w:tc>
                <w:tcPr>
                  <w:tcW w:w="3082" w:type="dxa"/>
                  <w:tcBorders>
                    <w:tl2br w:val="nil"/>
                    <w:tr2bl w:val="nil"/>
                  </w:tcBorders>
                  <w:vAlign w:val="center"/>
                </w:tcPr>
                <w:p w14:paraId="3E439245">
                  <w:pPr>
                    <w:pStyle w:val="24"/>
                    <w:spacing w:line="240" w:lineRule="auto"/>
                    <w:rPr>
                      <w:color w:val="auto"/>
                      <w:highlight w:val="none"/>
                    </w:rPr>
                  </w:pPr>
                  <w:r>
                    <w:rPr>
                      <w:rFonts w:hint="eastAsia"/>
                      <w:color w:val="auto"/>
                      <w:highlight w:val="none"/>
                    </w:rPr>
                    <w:t>参照《危险废物收集贮存运输技术规范》（HJ 2025-2012）附录C建立危险废物贮存台账</w:t>
                  </w:r>
                </w:p>
              </w:tc>
              <w:tc>
                <w:tcPr>
                  <w:tcW w:w="669" w:type="dxa"/>
                  <w:tcBorders>
                    <w:tl2br w:val="nil"/>
                    <w:tr2bl w:val="nil"/>
                  </w:tcBorders>
                  <w:vAlign w:val="center"/>
                </w:tcPr>
                <w:p w14:paraId="63C9E845">
                  <w:pPr>
                    <w:pStyle w:val="24"/>
                    <w:spacing w:line="240" w:lineRule="auto"/>
                    <w:rPr>
                      <w:color w:val="auto"/>
                      <w:highlight w:val="none"/>
                    </w:rPr>
                  </w:pPr>
                  <w:r>
                    <w:rPr>
                      <w:rFonts w:hint="eastAsia"/>
                      <w:color w:val="auto"/>
                      <w:highlight w:val="none"/>
                    </w:rPr>
                    <w:t>符合</w:t>
                  </w:r>
                </w:p>
              </w:tc>
            </w:tr>
          </w:tbl>
          <w:p w14:paraId="21FFF821">
            <w:pPr>
              <w:bidi w:val="0"/>
              <w:rPr>
                <w:color w:val="auto"/>
                <w:highlight w:val="none"/>
              </w:rPr>
            </w:pPr>
            <w:r>
              <w:rPr>
                <w:rFonts w:hint="eastAsia"/>
                <w:color w:val="auto"/>
                <w:highlight w:val="none"/>
              </w:rPr>
              <w:t>本项目与《危险废物收集 贮存 运输技术规范》（HJ2025-2012）中相关内容符合。</w:t>
            </w:r>
          </w:p>
          <w:p w14:paraId="39486F2F">
            <w:pPr>
              <w:bidi w:val="0"/>
              <w:rPr>
                <w:rFonts w:hint="eastAsia"/>
                <w:b/>
                <w:bCs/>
                <w:color w:val="auto"/>
                <w:highlight w:val="none"/>
              </w:rPr>
            </w:pPr>
            <w:r>
              <w:rPr>
                <w:rFonts w:hint="eastAsia"/>
                <w:b/>
                <w:bCs/>
                <w:color w:val="auto"/>
                <w:highlight w:val="none"/>
              </w:rPr>
              <w:t>5.3根据《危险废物管理计划和管理台账制定技术导则》（HJ1259-2022），本项目属于危险废物登记管理单位，现阶段为环境影响评价阶段，本项目与《危险废物贮存污染控制标准》（GB18597-2023）符合性分析</w:t>
            </w:r>
          </w:p>
          <w:p w14:paraId="39A053E2">
            <w:pPr>
              <w:bidi w:val="0"/>
              <w:rPr>
                <w:rFonts w:hint="eastAsia"/>
                <w:color w:val="auto"/>
                <w:highlight w:val="none"/>
              </w:rPr>
            </w:pPr>
            <w:r>
              <w:rPr>
                <w:rFonts w:hint="eastAsia"/>
                <w:color w:val="auto"/>
                <w:highlight w:val="none"/>
                <w:lang w:eastAsia="zh-CN"/>
              </w:rPr>
              <w:t>依据</w:t>
            </w:r>
            <w:r>
              <w:rPr>
                <w:rFonts w:hint="eastAsia"/>
                <w:color w:val="auto"/>
                <w:highlight w:val="none"/>
              </w:rPr>
              <w:t>《危险废物管理计划和管理台账制定技术导则》（HJ 1259-2022）</w:t>
            </w:r>
            <w:r>
              <w:rPr>
                <w:rFonts w:hint="eastAsia"/>
                <w:color w:val="auto"/>
                <w:highlight w:val="none"/>
                <w:lang w:eastAsia="zh-CN"/>
              </w:rPr>
              <w:t>，</w:t>
            </w:r>
            <w:r>
              <w:rPr>
                <w:rFonts w:hint="eastAsia"/>
                <w:color w:val="auto"/>
                <w:highlight w:val="none"/>
                <w:lang w:eastAsia="zh-CN"/>
              </w:rPr>
              <w:br w:type="textWrapping"/>
            </w:r>
            <w:r>
              <w:rPr>
                <w:rFonts w:hint="eastAsia"/>
                <w:color w:val="auto"/>
                <w:highlight w:val="none"/>
              </w:rPr>
              <w:t>本项目危险废物年产生量为</w:t>
            </w:r>
            <w:r>
              <w:rPr>
                <w:rFonts w:hint="eastAsia"/>
                <w:color w:val="auto"/>
                <w:highlight w:val="none"/>
                <w:lang w:val="en-US" w:eastAsia="zh-CN"/>
              </w:rPr>
              <w:t>2.6吨，为</w:t>
            </w:r>
            <w:r>
              <w:rPr>
                <w:rFonts w:hint="eastAsia"/>
                <w:color w:val="auto"/>
                <w:highlight w:val="none"/>
              </w:rPr>
              <w:t>10吨以下，</w:t>
            </w:r>
            <w:r>
              <w:rPr>
                <w:color w:val="auto"/>
                <w:highlight w:val="none"/>
              </w:rPr>
              <w:t>未纳入危险废物环境重点监管单位，属于危险废物登记管理单位，</w:t>
            </w:r>
            <w:r>
              <w:rPr>
                <w:rFonts w:hint="eastAsia"/>
                <w:color w:val="auto"/>
                <w:highlight w:val="none"/>
                <w:lang w:eastAsia="zh-CN"/>
              </w:rPr>
              <w:t>用于北票发电有限责任公司</w:t>
            </w:r>
            <w:r>
              <w:rPr>
                <w:rFonts w:hint="eastAsia"/>
                <w:color w:val="auto"/>
                <w:szCs w:val="21"/>
                <w:highlight w:val="none"/>
                <w:lang w:eastAsia="zh-CN"/>
              </w:rPr>
              <w:t>专门贮存危险废物。</w:t>
            </w:r>
            <w:r>
              <w:rPr>
                <w:rFonts w:hint="eastAsia"/>
                <w:color w:val="auto"/>
                <w:highlight w:val="none"/>
              </w:rPr>
              <w:t>对照《危险废物贮存污染控制标准》（GB18597-2023），本项目配备危险废物贮存设施应为</w:t>
            </w:r>
            <w:r>
              <w:rPr>
                <w:rFonts w:hint="eastAsia"/>
                <w:color w:val="auto"/>
                <w:highlight w:val="none"/>
                <w:lang w:eastAsia="zh-CN"/>
              </w:rPr>
              <w:t>“</w:t>
            </w:r>
            <w:r>
              <w:rPr>
                <w:rFonts w:hint="eastAsia"/>
                <w:color w:val="auto"/>
                <w:highlight w:val="none"/>
              </w:rPr>
              <w:t>贮存点</w:t>
            </w:r>
            <w:r>
              <w:rPr>
                <w:rFonts w:hint="eastAsia"/>
                <w:color w:val="auto"/>
                <w:highlight w:val="none"/>
                <w:lang w:eastAsia="zh-CN"/>
              </w:rPr>
              <w:t>”</w:t>
            </w:r>
            <w:r>
              <w:rPr>
                <w:rFonts w:hint="eastAsia"/>
                <w:color w:val="auto"/>
                <w:highlight w:val="none"/>
              </w:rPr>
              <w:t>，因企业内部立项文件采用</w:t>
            </w:r>
            <w:r>
              <w:rPr>
                <w:rFonts w:hint="eastAsia"/>
                <w:color w:val="auto"/>
                <w:highlight w:val="none"/>
                <w:lang w:eastAsia="zh-CN"/>
              </w:rPr>
              <w:t>“</w:t>
            </w:r>
            <w:r>
              <w:rPr>
                <w:rFonts w:hint="eastAsia"/>
                <w:color w:val="auto"/>
                <w:highlight w:val="none"/>
              </w:rPr>
              <w:t>北票发电有限责任公司危险废物</w:t>
            </w:r>
            <w:r>
              <w:rPr>
                <w:rFonts w:hint="eastAsia"/>
                <w:color w:val="auto"/>
                <w:highlight w:val="none"/>
                <w:lang w:eastAsia="zh-CN"/>
              </w:rPr>
              <w:t>暂存库”</w:t>
            </w:r>
            <w:r>
              <w:rPr>
                <w:rFonts w:hint="eastAsia"/>
                <w:color w:val="auto"/>
                <w:highlight w:val="none"/>
              </w:rPr>
              <w:t>命名，为保持管理档案一致性，虽与中</w:t>
            </w:r>
            <w:r>
              <w:rPr>
                <w:rFonts w:hint="eastAsia"/>
                <w:color w:val="auto"/>
                <w:highlight w:val="none"/>
                <w:lang w:eastAsia="zh-CN"/>
              </w:rPr>
              <w:t>“</w:t>
            </w:r>
            <w:r>
              <w:rPr>
                <w:rFonts w:hint="eastAsia"/>
                <w:color w:val="auto"/>
                <w:highlight w:val="none"/>
              </w:rPr>
              <w:t>贮存点</w:t>
            </w:r>
            <w:r>
              <w:rPr>
                <w:rFonts w:hint="eastAsia"/>
                <w:color w:val="auto"/>
                <w:highlight w:val="none"/>
                <w:lang w:eastAsia="zh-CN"/>
              </w:rPr>
              <w:t>”</w:t>
            </w:r>
            <w:r>
              <w:rPr>
                <w:rFonts w:hint="eastAsia"/>
                <w:color w:val="auto"/>
                <w:highlight w:val="none"/>
              </w:rPr>
              <w:t>术语存在表述差异，但实际建设规模、功能配置及运行管理均满足该标准对贮存点的规范要求，因此本项目与《危险废物贮存污染控制标准》（GB18597-2023）中危险废物贮存点相关内容进行符合性分析。</w:t>
            </w:r>
          </w:p>
          <w:p w14:paraId="1913BB2E">
            <w:pPr>
              <w:pStyle w:val="25"/>
              <w:bidi w:val="0"/>
              <w:rPr>
                <w:color w:val="auto"/>
                <w:highlight w:val="none"/>
              </w:rPr>
            </w:pPr>
            <w:r>
              <w:rPr>
                <w:color w:val="auto"/>
                <w:highlight w:val="none"/>
              </w:rPr>
              <w:t>与</w:t>
            </w:r>
            <w:r>
              <w:rPr>
                <w:rFonts w:hint="eastAsia"/>
                <w:color w:val="auto"/>
                <w:highlight w:val="none"/>
              </w:rPr>
              <w:t>《危险废物贮存污染控制标准》（GB18597-2023）</w:t>
            </w:r>
            <w:r>
              <w:rPr>
                <w:color w:val="auto"/>
                <w:highlight w:val="none"/>
              </w:rPr>
              <w:t>符合性分析</w:t>
            </w:r>
          </w:p>
          <w:tbl>
            <w:tblPr>
              <w:tblStyle w:val="1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2"/>
              <w:gridCol w:w="370"/>
              <w:gridCol w:w="3326"/>
              <w:gridCol w:w="3730"/>
              <w:gridCol w:w="383"/>
            </w:tblGrid>
            <w:tr w14:paraId="60B4C1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tcBorders>
                    <w:tl2br w:val="nil"/>
                    <w:tr2bl w:val="nil"/>
                  </w:tcBorders>
                  <w:vAlign w:val="center"/>
                </w:tcPr>
                <w:p w14:paraId="71AA0E3C">
                  <w:pPr>
                    <w:pStyle w:val="27"/>
                    <w:spacing w:line="240" w:lineRule="auto"/>
                    <w:rPr>
                      <w:rFonts w:hint="default"/>
                      <w:b/>
                      <w:bCs w:val="0"/>
                      <w:color w:val="auto"/>
                      <w:highlight w:val="none"/>
                    </w:rPr>
                  </w:pPr>
                  <w:r>
                    <w:rPr>
                      <w:rFonts w:eastAsia="宋体"/>
                      <w:b/>
                      <w:bCs w:val="0"/>
                      <w:color w:val="auto"/>
                      <w:sz w:val="21"/>
                      <w:highlight w:val="none"/>
                    </w:rPr>
                    <w:t>类别</w:t>
                  </w:r>
                </w:p>
              </w:tc>
              <w:tc>
                <w:tcPr>
                  <w:tcW w:w="3696" w:type="dxa"/>
                  <w:gridSpan w:val="2"/>
                  <w:tcBorders>
                    <w:tl2br w:val="nil"/>
                    <w:tr2bl w:val="nil"/>
                  </w:tcBorders>
                  <w:vAlign w:val="center"/>
                </w:tcPr>
                <w:p w14:paraId="3EA02AFF">
                  <w:pPr>
                    <w:pStyle w:val="27"/>
                    <w:spacing w:line="240" w:lineRule="auto"/>
                    <w:rPr>
                      <w:rFonts w:hint="default"/>
                      <w:color w:val="auto"/>
                      <w:highlight w:val="none"/>
                    </w:rPr>
                  </w:pPr>
                  <w:r>
                    <w:rPr>
                      <w:rFonts w:eastAsia="宋体"/>
                      <w:b/>
                      <w:color w:val="auto"/>
                      <w:sz w:val="21"/>
                      <w:highlight w:val="none"/>
                    </w:rPr>
                    <w:t>分析内容</w:t>
                  </w:r>
                </w:p>
              </w:tc>
              <w:tc>
                <w:tcPr>
                  <w:tcW w:w="3730" w:type="dxa"/>
                  <w:tcBorders>
                    <w:tl2br w:val="nil"/>
                    <w:tr2bl w:val="nil"/>
                  </w:tcBorders>
                  <w:vAlign w:val="center"/>
                </w:tcPr>
                <w:p w14:paraId="5A56542B">
                  <w:pPr>
                    <w:pStyle w:val="27"/>
                    <w:spacing w:line="240" w:lineRule="auto"/>
                    <w:rPr>
                      <w:rFonts w:hint="default"/>
                      <w:color w:val="auto"/>
                      <w:highlight w:val="none"/>
                    </w:rPr>
                  </w:pPr>
                  <w:r>
                    <w:rPr>
                      <w:rFonts w:eastAsia="宋体"/>
                      <w:b/>
                      <w:color w:val="auto"/>
                      <w:sz w:val="21"/>
                      <w:highlight w:val="none"/>
                    </w:rPr>
                    <w:t>本项目情况</w:t>
                  </w:r>
                </w:p>
              </w:tc>
              <w:tc>
                <w:tcPr>
                  <w:tcW w:w="383" w:type="dxa"/>
                  <w:tcBorders>
                    <w:tl2br w:val="nil"/>
                    <w:tr2bl w:val="nil"/>
                  </w:tcBorders>
                  <w:vAlign w:val="center"/>
                </w:tcPr>
                <w:p w14:paraId="746B4830">
                  <w:pPr>
                    <w:pStyle w:val="27"/>
                    <w:spacing w:line="240" w:lineRule="auto"/>
                    <w:rPr>
                      <w:rFonts w:hint="default"/>
                      <w:color w:val="auto"/>
                      <w:highlight w:val="none"/>
                    </w:rPr>
                  </w:pPr>
                  <w:r>
                    <w:rPr>
                      <w:rFonts w:eastAsia="宋体"/>
                      <w:b/>
                      <w:color w:val="auto"/>
                      <w:sz w:val="21"/>
                      <w:highlight w:val="none"/>
                    </w:rPr>
                    <w:t>分析结果</w:t>
                  </w:r>
                </w:p>
              </w:tc>
            </w:tr>
            <w:tr w14:paraId="5E17CE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restart"/>
                  <w:tcBorders>
                    <w:tl2br w:val="nil"/>
                    <w:tr2bl w:val="nil"/>
                  </w:tcBorders>
                  <w:vAlign w:val="center"/>
                </w:tcPr>
                <w:p w14:paraId="126496DD">
                  <w:pPr>
                    <w:pStyle w:val="24"/>
                    <w:spacing w:line="240" w:lineRule="auto"/>
                    <w:rPr>
                      <w:b/>
                      <w:bCs w:val="0"/>
                      <w:color w:val="auto"/>
                      <w:highlight w:val="none"/>
                    </w:rPr>
                  </w:pPr>
                  <w:r>
                    <w:rPr>
                      <w:rFonts w:hint="eastAsia"/>
                      <w:b/>
                      <w:bCs w:val="0"/>
                      <w:color w:val="auto"/>
                      <w:highlight w:val="none"/>
                    </w:rPr>
                    <w:t>总体要求</w:t>
                  </w:r>
                </w:p>
              </w:tc>
              <w:tc>
                <w:tcPr>
                  <w:tcW w:w="3696" w:type="dxa"/>
                  <w:gridSpan w:val="2"/>
                  <w:tcBorders>
                    <w:tl2br w:val="nil"/>
                    <w:tr2bl w:val="nil"/>
                  </w:tcBorders>
                  <w:vAlign w:val="center"/>
                </w:tcPr>
                <w:p w14:paraId="24DFD221">
                  <w:pPr>
                    <w:pStyle w:val="24"/>
                    <w:spacing w:line="240" w:lineRule="auto"/>
                    <w:rPr>
                      <w:color w:val="auto"/>
                      <w:highlight w:val="none"/>
                    </w:rPr>
                  </w:pPr>
                  <w:r>
                    <w:rPr>
                      <w:rFonts w:hint="eastAsia"/>
                      <w:color w:val="auto"/>
                      <w:highlight w:val="none"/>
                    </w:rPr>
                    <w:t>产生、收集、贮存、利用、处置危险废物的单位应建造危险废物贮存设施或设置贮存场所，并根据需要选择贮存设施类型</w:t>
                  </w:r>
                </w:p>
              </w:tc>
              <w:tc>
                <w:tcPr>
                  <w:tcW w:w="3730" w:type="dxa"/>
                  <w:vMerge w:val="restart"/>
                  <w:tcBorders>
                    <w:tl2br w:val="nil"/>
                    <w:tr2bl w:val="nil"/>
                  </w:tcBorders>
                  <w:vAlign w:val="center"/>
                </w:tcPr>
                <w:p w14:paraId="6650F820">
                  <w:pPr>
                    <w:pStyle w:val="24"/>
                    <w:spacing w:line="240" w:lineRule="auto"/>
                    <w:rPr>
                      <w:rFonts w:hint="eastAsia" w:eastAsiaTheme="minorEastAsia"/>
                      <w:color w:val="auto"/>
                      <w:highlight w:val="none"/>
                      <w:lang w:eastAsia="zh-CN"/>
                    </w:rPr>
                  </w:pPr>
                  <w:r>
                    <w:rPr>
                      <w:rFonts w:hint="eastAsia"/>
                      <w:color w:val="auto"/>
                      <w:highlight w:val="none"/>
                    </w:rPr>
                    <w:t>本项目危险废物年产生量为</w:t>
                  </w:r>
                  <w:r>
                    <w:rPr>
                      <w:rFonts w:hint="eastAsia"/>
                      <w:color w:val="auto"/>
                      <w:highlight w:val="none"/>
                      <w:lang w:val="en-US" w:eastAsia="zh-CN"/>
                    </w:rPr>
                    <w:t>2.6吨，为</w:t>
                  </w:r>
                  <w:r>
                    <w:rPr>
                      <w:rFonts w:hint="eastAsia"/>
                      <w:color w:val="auto"/>
                      <w:highlight w:val="none"/>
                    </w:rPr>
                    <w:t>10吨以下，且实时贮存量不超过3吨，</w:t>
                  </w:r>
                  <w:r>
                    <w:rPr>
                      <w:color w:val="auto"/>
                      <w:highlight w:val="none"/>
                    </w:rPr>
                    <w:t>未纳入危险废物环境重点监管单位，属于危险废物登记管理单位，且该危废贮存场所仅供本公司自用，根据《危险废物贮存污染控制标准》（GB18597-2023）中要求，本项目应建设</w:t>
                  </w:r>
                  <w:r>
                    <w:rPr>
                      <w:rFonts w:hint="eastAsia"/>
                      <w:color w:val="auto"/>
                      <w:highlight w:val="none"/>
                      <w:lang w:eastAsia="zh-CN"/>
                    </w:rPr>
                    <w:t>危险废物贮存点</w:t>
                  </w:r>
                </w:p>
              </w:tc>
              <w:tc>
                <w:tcPr>
                  <w:tcW w:w="383" w:type="dxa"/>
                  <w:vMerge w:val="restart"/>
                  <w:tcBorders>
                    <w:tl2br w:val="nil"/>
                    <w:tr2bl w:val="nil"/>
                  </w:tcBorders>
                  <w:vAlign w:val="center"/>
                </w:tcPr>
                <w:p w14:paraId="2046B5A1">
                  <w:pPr>
                    <w:pStyle w:val="24"/>
                    <w:spacing w:line="240" w:lineRule="auto"/>
                    <w:rPr>
                      <w:color w:val="auto"/>
                      <w:highlight w:val="none"/>
                    </w:rPr>
                  </w:pPr>
                  <w:r>
                    <w:rPr>
                      <w:rFonts w:hint="eastAsia"/>
                      <w:color w:val="auto"/>
                      <w:highlight w:val="none"/>
                    </w:rPr>
                    <w:t>符合</w:t>
                  </w:r>
                </w:p>
              </w:tc>
            </w:tr>
            <w:tr w14:paraId="60C2C7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3B885172">
                  <w:pPr>
                    <w:pStyle w:val="24"/>
                    <w:spacing w:line="240" w:lineRule="auto"/>
                    <w:rPr>
                      <w:b/>
                      <w:bCs w:val="0"/>
                      <w:color w:val="auto"/>
                      <w:highlight w:val="none"/>
                    </w:rPr>
                  </w:pPr>
                </w:p>
              </w:tc>
              <w:tc>
                <w:tcPr>
                  <w:tcW w:w="3696" w:type="dxa"/>
                  <w:gridSpan w:val="2"/>
                  <w:tcBorders>
                    <w:tl2br w:val="nil"/>
                    <w:tr2bl w:val="nil"/>
                  </w:tcBorders>
                  <w:vAlign w:val="center"/>
                </w:tcPr>
                <w:p w14:paraId="5A032922">
                  <w:pPr>
                    <w:pStyle w:val="24"/>
                    <w:spacing w:line="240" w:lineRule="auto"/>
                    <w:rPr>
                      <w:color w:val="auto"/>
                      <w:highlight w:val="none"/>
                    </w:rPr>
                  </w:pPr>
                  <w:r>
                    <w:rPr>
                      <w:rFonts w:hint="eastAsia"/>
                      <w:color w:val="auto"/>
                      <w:highlight w:val="none"/>
                    </w:rPr>
                    <w:t>贮存危险废物应根据危险废物的类别、数量、形态、物理化学性质和环境风险等因素，确定贮存设施或场所类型和规模</w:t>
                  </w:r>
                </w:p>
              </w:tc>
              <w:tc>
                <w:tcPr>
                  <w:tcW w:w="3730" w:type="dxa"/>
                  <w:vMerge w:val="continue"/>
                  <w:tcBorders>
                    <w:tl2br w:val="nil"/>
                    <w:tr2bl w:val="nil"/>
                  </w:tcBorders>
                  <w:vAlign w:val="center"/>
                </w:tcPr>
                <w:p w14:paraId="7613A356">
                  <w:pPr>
                    <w:pStyle w:val="24"/>
                    <w:spacing w:line="240" w:lineRule="auto"/>
                    <w:rPr>
                      <w:color w:val="auto"/>
                      <w:highlight w:val="none"/>
                    </w:rPr>
                  </w:pPr>
                </w:p>
              </w:tc>
              <w:tc>
                <w:tcPr>
                  <w:tcW w:w="383" w:type="dxa"/>
                  <w:vMerge w:val="continue"/>
                  <w:tcBorders>
                    <w:tl2br w:val="nil"/>
                    <w:tr2bl w:val="nil"/>
                  </w:tcBorders>
                  <w:vAlign w:val="center"/>
                </w:tcPr>
                <w:p w14:paraId="01A768BD">
                  <w:pPr>
                    <w:pStyle w:val="24"/>
                    <w:spacing w:line="240" w:lineRule="auto"/>
                    <w:rPr>
                      <w:color w:val="auto"/>
                      <w:highlight w:val="none"/>
                    </w:rPr>
                  </w:pPr>
                </w:p>
              </w:tc>
            </w:tr>
            <w:tr w14:paraId="711B57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4D9D4BCE">
                  <w:pPr>
                    <w:pStyle w:val="24"/>
                    <w:spacing w:line="240" w:lineRule="auto"/>
                    <w:rPr>
                      <w:b/>
                      <w:bCs w:val="0"/>
                      <w:color w:val="auto"/>
                      <w:highlight w:val="none"/>
                    </w:rPr>
                  </w:pPr>
                </w:p>
              </w:tc>
              <w:tc>
                <w:tcPr>
                  <w:tcW w:w="3696" w:type="dxa"/>
                  <w:gridSpan w:val="2"/>
                  <w:tcBorders>
                    <w:tl2br w:val="nil"/>
                    <w:tr2bl w:val="nil"/>
                  </w:tcBorders>
                  <w:shd w:val="clear" w:color="auto" w:fill="auto"/>
                  <w:vAlign w:val="center"/>
                </w:tcPr>
                <w:p w14:paraId="08F789AB">
                  <w:pPr>
                    <w:pStyle w:val="24"/>
                    <w:spacing w:line="240" w:lineRule="auto"/>
                    <w:rPr>
                      <w:color w:val="auto"/>
                      <w:highlight w:val="none"/>
                    </w:rPr>
                  </w:pPr>
                  <w:r>
                    <w:rPr>
                      <w:rFonts w:hint="eastAsia"/>
                      <w:color w:val="auto"/>
                      <w:highlight w:val="none"/>
                    </w:rPr>
                    <w:t>贮存危险废物应根据危险废物的类别、形态、物理化学性质和污染防治要求进行分类贮存，且应避免危险废物与不相容的物质或材料接触</w:t>
                  </w:r>
                </w:p>
              </w:tc>
              <w:tc>
                <w:tcPr>
                  <w:tcW w:w="3730" w:type="dxa"/>
                  <w:tcBorders>
                    <w:tl2br w:val="nil"/>
                    <w:tr2bl w:val="nil"/>
                  </w:tcBorders>
                  <w:shd w:val="clear" w:color="auto" w:fill="auto"/>
                  <w:vAlign w:val="center"/>
                </w:tcPr>
                <w:p w14:paraId="745A3848">
                  <w:pPr>
                    <w:pStyle w:val="24"/>
                    <w:spacing w:line="240" w:lineRule="auto"/>
                    <w:rPr>
                      <w:color w:val="auto"/>
                      <w:highlight w:val="none"/>
                    </w:rPr>
                  </w:pPr>
                  <w:r>
                    <w:rPr>
                      <w:rFonts w:hint="eastAsia"/>
                      <w:color w:val="auto"/>
                      <w:highlight w:val="none"/>
                    </w:rPr>
                    <w:t>本项目贮存的危险废物为废蓄电池、废液压油、废空压机油、废汽轮机油、废变压器油、废润滑油、废油漆桶、废油桶、</w:t>
                  </w:r>
                  <w:r>
                    <w:rPr>
                      <w:rFonts w:hint="eastAsia"/>
                      <w:color w:val="auto"/>
                      <w:highlight w:val="none"/>
                      <w:lang w:eastAsia="zh-CN"/>
                    </w:rPr>
                    <w:t>实验室废液及废试剂瓶</w:t>
                  </w:r>
                  <w:r>
                    <w:rPr>
                      <w:rFonts w:hint="eastAsia"/>
                      <w:color w:val="auto"/>
                      <w:highlight w:val="none"/>
                    </w:rPr>
                    <w:t>、废劳保用品分类分区存放，不与相容的物质或材料接触</w:t>
                  </w:r>
                </w:p>
              </w:tc>
              <w:tc>
                <w:tcPr>
                  <w:tcW w:w="383" w:type="dxa"/>
                  <w:tcBorders>
                    <w:tl2br w:val="nil"/>
                    <w:tr2bl w:val="nil"/>
                  </w:tcBorders>
                  <w:shd w:val="clear" w:color="auto" w:fill="auto"/>
                  <w:vAlign w:val="center"/>
                </w:tcPr>
                <w:p w14:paraId="532F9BDA">
                  <w:pPr>
                    <w:pStyle w:val="24"/>
                    <w:spacing w:line="240" w:lineRule="auto"/>
                    <w:rPr>
                      <w:color w:val="auto"/>
                      <w:highlight w:val="none"/>
                    </w:rPr>
                  </w:pPr>
                  <w:r>
                    <w:rPr>
                      <w:rFonts w:hint="eastAsia"/>
                      <w:color w:val="auto"/>
                      <w:highlight w:val="none"/>
                    </w:rPr>
                    <w:t>符合</w:t>
                  </w:r>
                </w:p>
              </w:tc>
            </w:tr>
            <w:tr w14:paraId="2A7FE1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6F3AC0E4">
                  <w:pPr>
                    <w:pStyle w:val="24"/>
                    <w:spacing w:line="240" w:lineRule="auto"/>
                    <w:rPr>
                      <w:b/>
                      <w:bCs w:val="0"/>
                      <w:color w:val="auto"/>
                      <w:highlight w:val="none"/>
                    </w:rPr>
                  </w:pPr>
                </w:p>
              </w:tc>
              <w:tc>
                <w:tcPr>
                  <w:tcW w:w="3696" w:type="dxa"/>
                  <w:gridSpan w:val="2"/>
                  <w:tcBorders>
                    <w:tl2br w:val="nil"/>
                    <w:tr2bl w:val="nil"/>
                  </w:tcBorders>
                  <w:vAlign w:val="center"/>
                </w:tcPr>
                <w:p w14:paraId="31B307EB">
                  <w:pPr>
                    <w:pStyle w:val="24"/>
                    <w:spacing w:line="240" w:lineRule="auto"/>
                    <w:rPr>
                      <w:color w:val="auto"/>
                      <w:highlight w:val="none"/>
                    </w:rPr>
                  </w:pPr>
                  <w:r>
                    <w:rPr>
                      <w:rFonts w:hint="eastAsia"/>
                      <w:color w:val="auto"/>
                      <w:highlight w:val="none"/>
                    </w:rPr>
                    <w:t>贮存危险废物应根据危险废物的形态、物理化学性质、包装形式和污染物迁移途径，采取措施减少渗滤液及其衍生废物、渗漏的液态废物（简称渗漏液）、粉尘、VOCs、酸雾、有毒有害大气污染物和刺激性气味气体等污染物的产生，防止其污染环境</w:t>
                  </w:r>
                </w:p>
              </w:tc>
              <w:tc>
                <w:tcPr>
                  <w:tcW w:w="3730" w:type="dxa"/>
                  <w:tcBorders>
                    <w:tl2br w:val="nil"/>
                    <w:tr2bl w:val="nil"/>
                  </w:tcBorders>
                  <w:vAlign w:val="center"/>
                </w:tcPr>
                <w:p w14:paraId="0CACF032">
                  <w:pPr>
                    <w:pStyle w:val="24"/>
                    <w:spacing w:line="240" w:lineRule="auto"/>
                    <w:rPr>
                      <w:color w:val="auto"/>
                      <w:highlight w:val="none"/>
                    </w:rPr>
                  </w:pPr>
                  <w:r>
                    <w:rPr>
                      <w:rFonts w:hint="eastAsia"/>
                      <w:color w:val="auto"/>
                      <w:highlight w:val="none"/>
                    </w:rPr>
                    <w:t>本项目</w:t>
                  </w:r>
                  <w:r>
                    <w:rPr>
                      <w:rFonts w:hint="eastAsia"/>
                      <w:color w:val="auto"/>
                      <w:highlight w:val="none"/>
                      <w:lang w:eastAsia="zh-CN"/>
                    </w:rPr>
                    <w:t>危险废物采用</w:t>
                  </w:r>
                  <w:r>
                    <w:rPr>
                      <w:rFonts w:hint="eastAsia"/>
                      <w:color w:val="auto"/>
                      <w:highlight w:val="none"/>
                    </w:rPr>
                    <w:t>桶</w:t>
                  </w:r>
                  <w:r>
                    <w:rPr>
                      <w:rFonts w:hint="eastAsia"/>
                      <w:color w:val="auto"/>
                      <w:highlight w:val="none"/>
                      <w:lang w:eastAsia="zh-CN"/>
                    </w:rPr>
                    <w:t>装密封</w:t>
                  </w:r>
                  <w:r>
                    <w:rPr>
                      <w:rFonts w:hint="eastAsia"/>
                      <w:color w:val="auto"/>
                      <w:highlight w:val="none"/>
                    </w:rPr>
                    <w:t>收集</w:t>
                  </w:r>
                  <w:r>
                    <w:rPr>
                      <w:rFonts w:hint="eastAsia"/>
                      <w:color w:val="auto"/>
                      <w:highlight w:val="none"/>
                      <w:lang w:eastAsia="zh-CN"/>
                    </w:rPr>
                    <w:t>等形式</w:t>
                  </w:r>
                  <w:r>
                    <w:rPr>
                      <w:rFonts w:hint="eastAsia"/>
                      <w:color w:val="auto"/>
                      <w:highlight w:val="none"/>
                    </w:rPr>
                    <w:t>贮存</w:t>
                  </w:r>
                  <w:r>
                    <w:rPr>
                      <w:rFonts w:hint="eastAsia"/>
                      <w:color w:val="auto"/>
                      <w:highlight w:val="none"/>
                      <w:lang w:eastAsia="zh-CN"/>
                    </w:rPr>
                    <w:t>，并采用</w:t>
                  </w:r>
                  <w:r>
                    <w:rPr>
                      <w:rFonts w:hint="eastAsia"/>
                      <w:color w:val="auto"/>
                      <w:highlight w:val="none"/>
                    </w:rPr>
                    <w:t>防渗漏，防挥发等措施减少渗滤液及其衍生废物、渗漏液、VOCs、酸雾、有毒有害大气污染物和刺激性气味气体等污染物的产生</w:t>
                  </w:r>
                </w:p>
              </w:tc>
              <w:tc>
                <w:tcPr>
                  <w:tcW w:w="383" w:type="dxa"/>
                  <w:tcBorders>
                    <w:tl2br w:val="nil"/>
                    <w:tr2bl w:val="nil"/>
                  </w:tcBorders>
                  <w:vAlign w:val="center"/>
                </w:tcPr>
                <w:p w14:paraId="1E12748C">
                  <w:pPr>
                    <w:pStyle w:val="24"/>
                    <w:spacing w:line="240" w:lineRule="auto"/>
                    <w:rPr>
                      <w:color w:val="auto"/>
                      <w:highlight w:val="none"/>
                    </w:rPr>
                  </w:pPr>
                  <w:r>
                    <w:rPr>
                      <w:rFonts w:hint="eastAsia"/>
                      <w:color w:val="auto"/>
                      <w:highlight w:val="none"/>
                    </w:rPr>
                    <w:t>符合</w:t>
                  </w:r>
                </w:p>
              </w:tc>
            </w:tr>
            <w:tr w14:paraId="09D5C1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6BA8A272">
                  <w:pPr>
                    <w:pStyle w:val="24"/>
                    <w:spacing w:line="240" w:lineRule="auto"/>
                    <w:rPr>
                      <w:b/>
                      <w:bCs w:val="0"/>
                      <w:color w:val="auto"/>
                      <w:highlight w:val="none"/>
                    </w:rPr>
                  </w:pPr>
                </w:p>
              </w:tc>
              <w:tc>
                <w:tcPr>
                  <w:tcW w:w="3696" w:type="dxa"/>
                  <w:gridSpan w:val="2"/>
                  <w:tcBorders>
                    <w:tl2br w:val="nil"/>
                    <w:tr2bl w:val="nil"/>
                  </w:tcBorders>
                  <w:vAlign w:val="center"/>
                </w:tcPr>
                <w:p w14:paraId="089DBE94">
                  <w:pPr>
                    <w:pStyle w:val="24"/>
                    <w:spacing w:line="240" w:lineRule="auto"/>
                    <w:rPr>
                      <w:color w:val="auto"/>
                      <w:highlight w:val="none"/>
                    </w:rPr>
                  </w:pPr>
                  <w:r>
                    <w:rPr>
                      <w:rFonts w:hint="eastAsia"/>
                      <w:color w:val="auto"/>
                      <w:highlight w:val="none"/>
                    </w:rPr>
                    <w:t>危险废物贮存过程产生的液态废物和固态废物应分类收集，按其环境管理要求妥善处理</w:t>
                  </w:r>
                </w:p>
              </w:tc>
              <w:tc>
                <w:tcPr>
                  <w:tcW w:w="3730" w:type="dxa"/>
                  <w:tcBorders>
                    <w:tl2br w:val="nil"/>
                    <w:tr2bl w:val="nil"/>
                  </w:tcBorders>
                  <w:vAlign w:val="center"/>
                </w:tcPr>
                <w:p w14:paraId="3EA54954">
                  <w:pPr>
                    <w:pStyle w:val="24"/>
                    <w:spacing w:line="240" w:lineRule="auto"/>
                    <w:rPr>
                      <w:color w:val="auto"/>
                      <w:highlight w:val="none"/>
                    </w:rPr>
                  </w:pPr>
                  <w:r>
                    <w:rPr>
                      <w:rFonts w:hint="eastAsia"/>
                      <w:color w:val="auto"/>
                      <w:highlight w:val="none"/>
                    </w:rPr>
                    <w:t>本项目贮存的危险废物为废蓄电池、废液压油、废空压机油、废汽轮机油、废变压器油、废润滑油、废油漆桶、废油桶、</w:t>
                  </w:r>
                  <w:r>
                    <w:rPr>
                      <w:rFonts w:hint="eastAsia"/>
                      <w:color w:val="auto"/>
                      <w:highlight w:val="none"/>
                      <w:lang w:eastAsia="zh-CN"/>
                    </w:rPr>
                    <w:t>实验室废液及废试剂瓶</w:t>
                  </w:r>
                  <w:r>
                    <w:rPr>
                      <w:rFonts w:hint="eastAsia"/>
                      <w:color w:val="auto"/>
                      <w:highlight w:val="none"/>
                    </w:rPr>
                    <w:t>、废劳保用品多种危险废物均分类分区存放，不与相容的物质或材料接触</w:t>
                  </w:r>
                </w:p>
              </w:tc>
              <w:tc>
                <w:tcPr>
                  <w:tcW w:w="383" w:type="dxa"/>
                  <w:tcBorders>
                    <w:tl2br w:val="nil"/>
                    <w:tr2bl w:val="nil"/>
                  </w:tcBorders>
                  <w:vAlign w:val="center"/>
                </w:tcPr>
                <w:p w14:paraId="300C14BF">
                  <w:pPr>
                    <w:pStyle w:val="24"/>
                    <w:spacing w:line="240" w:lineRule="auto"/>
                    <w:rPr>
                      <w:color w:val="auto"/>
                      <w:highlight w:val="none"/>
                    </w:rPr>
                  </w:pPr>
                  <w:r>
                    <w:rPr>
                      <w:rFonts w:hint="eastAsia"/>
                      <w:color w:val="auto"/>
                      <w:highlight w:val="none"/>
                    </w:rPr>
                    <w:t>符合</w:t>
                  </w:r>
                </w:p>
              </w:tc>
            </w:tr>
            <w:tr w14:paraId="316278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2D384FFA">
                  <w:pPr>
                    <w:pStyle w:val="24"/>
                    <w:spacing w:line="240" w:lineRule="auto"/>
                    <w:rPr>
                      <w:b/>
                      <w:bCs w:val="0"/>
                      <w:color w:val="auto"/>
                      <w:highlight w:val="none"/>
                    </w:rPr>
                  </w:pPr>
                </w:p>
              </w:tc>
              <w:tc>
                <w:tcPr>
                  <w:tcW w:w="3696" w:type="dxa"/>
                  <w:gridSpan w:val="2"/>
                  <w:tcBorders>
                    <w:tl2br w:val="nil"/>
                    <w:tr2bl w:val="nil"/>
                  </w:tcBorders>
                  <w:vAlign w:val="center"/>
                </w:tcPr>
                <w:p w14:paraId="40F5B5BE">
                  <w:pPr>
                    <w:pStyle w:val="24"/>
                    <w:spacing w:line="240" w:lineRule="auto"/>
                    <w:rPr>
                      <w:color w:val="auto"/>
                      <w:highlight w:val="none"/>
                    </w:rPr>
                  </w:pPr>
                  <w:r>
                    <w:rPr>
                      <w:rFonts w:hint="eastAsia"/>
                      <w:color w:val="auto"/>
                      <w:highlight w:val="none"/>
                    </w:rPr>
                    <w:t>贮存设施或场所、容器和包装物应按 HJ 1276 要求设置危险废物贮存设施或场所标志、危险废物贮存分区标志和危险废物标签等危险废物识别标志</w:t>
                  </w:r>
                </w:p>
              </w:tc>
              <w:tc>
                <w:tcPr>
                  <w:tcW w:w="3730" w:type="dxa"/>
                  <w:tcBorders>
                    <w:tl2br w:val="nil"/>
                    <w:tr2bl w:val="nil"/>
                  </w:tcBorders>
                  <w:vAlign w:val="center"/>
                </w:tcPr>
                <w:p w14:paraId="177CB2CB">
                  <w:pPr>
                    <w:pStyle w:val="24"/>
                    <w:spacing w:line="240" w:lineRule="auto"/>
                    <w:rPr>
                      <w:color w:val="auto"/>
                      <w:highlight w:val="none"/>
                    </w:rPr>
                  </w:pPr>
                  <w:r>
                    <w:rPr>
                      <w:rFonts w:hint="eastAsia"/>
                      <w:color w:val="auto"/>
                      <w:highlight w:val="none"/>
                    </w:rPr>
                    <w:t>本项目贮存场所、容器和包装物均按《危险废物识别标志设置技术规范》（HJ1276-2022）要求设置危险废物贮存场所标志、危险废物贮存分区标志和危险废物标签等危险废物识别标志</w:t>
                  </w:r>
                </w:p>
              </w:tc>
              <w:tc>
                <w:tcPr>
                  <w:tcW w:w="383" w:type="dxa"/>
                  <w:tcBorders>
                    <w:tl2br w:val="nil"/>
                    <w:tr2bl w:val="nil"/>
                  </w:tcBorders>
                  <w:vAlign w:val="center"/>
                </w:tcPr>
                <w:p w14:paraId="126C934D">
                  <w:pPr>
                    <w:pStyle w:val="24"/>
                    <w:spacing w:line="240" w:lineRule="auto"/>
                    <w:rPr>
                      <w:color w:val="auto"/>
                      <w:highlight w:val="none"/>
                    </w:rPr>
                  </w:pPr>
                  <w:r>
                    <w:rPr>
                      <w:rFonts w:hint="eastAsia"/>
                      <w:color w:val="auto"/>
                      <w:highlight w:val="none"/>
                    </w:rPr>
                    <w:t>符合</w:t>
                  </w:r>
                </w:p>
              </w:tc>
            </w:tr>
            <w:tr w14:paraId="565554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3CDFC8C8">
                  <w:pPr>
                    <w:pStyle w:val="24"/>
                    <w:spacing w:line="240" w:lineRule="auto"/>
                    <w:rPr>
                      <w:b/>
                      <w:bCs w:val="0"/>
                      <w:color w:val="auto"/>
                      <w:highlight w:val="none"/>
                    </w:rPr>
                  </w:pPr>
                </w:p>
              </w:tc>
              <w:tc>
                <w:tcPr>
                  <w:tcW w:w="3696" w:type="dxa"/>
                  <w:gridSpan w:val="2"/>
                  <w:tcBorders>
                    <w:tl2br w:val="nil"/>
                    <w:tr2bl w:val="nil"/>
                  </w:tcBorders>
                  <w:vAlign w:val="center"/>
                </w:tcPr>
                <w:p w14:paraId="228AC79C">
                  <w:pPr>
                    <w:pStyle w:val="24"/>
                    <w:spacing w:line="240" w:lineRule="auto"/>
                    <w:ind w:firstLine="0" w:firstLineChars="0"/>
                    <w:rPr>
                      <w:rFonts w:hint="eastAsia"/>
                      <w:color w:val="auto"/>
                      <w:highlight w:val="none"/>
                    </w:rPr>
                  </w:pPr>
                  <w:r>
                    <w:rPr>
                      <w:rFonts w:hint="eastAsia"/>
                      <w:color w:val="auto"/>
                      <w:highlight w:val="none"/>
                    </w:rPr>
                    <w:t>贮存设施退役时，所有者或运营者应依法履行环境保护责任，退役前应妥善处理处置贮存设施内剩余的危险废物，并对贮存设施进行清理，消除污染；还应依据土壤污染防治相关法律法规履行场地环境风险防控责任</w:t>
                  </w:r>
                </w:p>
              </w:tc>
              <w:tc>
                <w:tcPr>
                  <w:tcW w:w="3730" w:type="dxa"/>
                  <w:tcBorders>
                    <w:tl2br w:val="nil"/>
                    <w:tr2bl w:val="nil"/>
                  </w:tcBorders>
                  <w:vAlign w:val="center"/>
                </w:tcPr>
                <w:p w14:paraId="28D83E15">
                  <w:pPr>
                    <w:pStyle w:val="24"/>
                    <w:spacing w:line="240" w:lineRule="auto"/>
                    <w:ind w:firstLine="0" w:firstLineChars="0"/>
                    <w:rPr>
                      <w:rFonts w:hint="eastAsia"/>
                      <w:color w:val="auto"/>
                      <w:highlight w:val="none"/>
                    </w:rPr>
                  </w:pPr>
                  <w:r>
                    <w:rPr>
                      <w:rFonts w:hint="eastAsia"/>
                      <w:color w:val="auto"/>
                      <w:highlight w:val="none"/>
                    </w:rPr>
                    <w:t>公司原有危险废物</w:t>
                  </w:r>
                  <w:r>
                    <w:rPr>
                      <w:rFonts w:hint="eastAsia"/>
                      <w:color w:val="auto"/>
                      <w:highlight w:val="none"/>
                      <w:lang w:eastAsia="zh-CN"/>
                    </w:rPr>
                    <w:t>暂存间</w:t>
                  </w:r>
                  <w:r>
                    <w:rPr>
                      <w:rFonts w:hint="eastAsia"/>
                      <w:color w:val="auto"/>
                      <w:highlight w:val="none"/>
                    </w:rPr>
                    <w:t>退役时，在退役前妥善处理处置危险废物</w:t>
                  </w:r>
                  <w:r>
                    <w:rPr>
                      <w:rFonts w:hint="eastAsia"/>
                      <w:color w:val="auto"/>
                      <w:highlight w:val="none"/>
                      <w:lang w:eastAsia="zh-CN"/>
                    </w:rPr>
                    <w:t>暂存间</w:t>
                  </w:r>
                  <w:r>
                    <w:rPr>
                      <w:rFonts w:hint="eastAsia"/>
                      <w:color w:val="auto"/>
                      <w:highlight w:val="none"/>
                    </w:rPr>
                    <w:t>内剩余的危险废物，并对</w:t>
                  </w:r>
                  <w:r>
                    <w:rPr>
                      <w:rFonts w:hint="eastAsia"/>
                      <w:color w:val="auto"/>
                      <w:highlight w:val="none"/>
                      <w:lang w:eastAsia="zh-CN"/>
                    </w:rPr>
                    <w:t>其</w:t>
                  </w:r>
                  <w:r>
                    <w:rPr>
                      <w:rFonts w:hint="eastAsia"/>
                      <w:color w:val="auto"/>
                      <w:highlight w:val="none"/>
                    </w:rPr>
                    <w:t>进行清理，消除污染；依据土壤污染防治相关法律法规履行场地环境风险防控责任</w:t>
                  </w:r>
                </w:p>
              </w:tc>
              <w:tc>
                <w:tcPr>
                  <w:tcW w:w="383" w:type="dxa"/>
                  <w:tcBorders>
                    <w:tl2br w:val="nil"/>
                    <w:tr2bl w:val="nil"/>
                  </w:tcBorders>
                  <w:vAlign w:val="center"/>
                </w:tcPr>
                <w:p w14:paraId="5E45DC9C">
                  <w:pPr>
                    <w:pStyle w:val="24"/>
                    <w:spacing w:line="240" w:lineRule="auto"/>
                    <w:ind w:firstLine="0" w:firstLineChars="0"/>
                    <w:rPr>
                      <w:rFonts w:hint="eastAsia"/>
                      <w:color w:val="auto"/>
                      <w:highlight w:val="none"/>
                    </w:rPr>
                  </w:pPr>
                  <w:r>
                    <w:rPr>
                      <w:rFonts w:hint="eastAsia"/>
                      <w:color w:val="auto"/>
                      <w:highlight w:val="none"/>
                    </w:rPr>
                    <w:t>符合</w:t>
                  </w:r>
                </w:p>
              </w:tc>
            </w:tr>
            <w:tr w14:paraId="337F1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restart"/>
                  <w:tcBorders>
                    <w:tl2br w:val="nil"/>
                    <w:tr2bl w:val="nil"/>
                  </w:tcBorders>
                  <w:vAlign w:val="center"/>
                </w:tcPr>
                <w:p w14:paraId="5041E75B">
                  <w:pPr>
                    <w:pStyle w:val="24"/>
                    <w:spacing w:line="240" w:lineRule="auto"/>
                    <w:rPr>
                      <w:b/>
                      <w:bCs w:val="0"/>
                      <w:color w:val="auto"/>
                      <w:highlight w:val="none"/>
                    </w:rPr>
                  </w:pPr>
                  <w:r>
                    <w:rPr>
                      <w:rFonts w:hint="eastAsia"/>
                      <w:b/>
                      <w:bCs w:val="0"/>
                      <w:color w:val="auto"/>
                      <w:highlight w:val="none"/>
                    </w:rPr>
                    <w:t>容器和包装物污染控制要求</w:t>
                  </w:r>
                </w:p>
              </w:tc>
              <w:tc>
                <w:tcPr>
                  <w:tcW w:w="3696" w:type="dxa"/>
                  <w:gridSpan w:val="2"/>
                  <w:tcBorders>
                    <w:tl2br w:val="nil"/>
                    <w:tr2bl w:val="nil"/>
                  </w:tcBorders>
                  <w:vAlign w:val="center"/>
                </w:tcPr>
                <w:p w14:paraId="637F996D">
                  <w:pPr>
                    <w:pStyle w:val="24"/>
                    <w:spacing w:line="240" w:lineRule="auto"/>
                    <w:rPr>
                      <w:color w:val="auto"/>
                      <w:highlight w:val="none"/>
                    </w:rPr>
                  </w:pPr>
                  <w:r>
                    <w:rPr>
                      <w:rFonts w:hint="eastAsia"/>
                      <w:color w:val="auto"/>
                      <w:highlight w:val="none"/>
                    </w:rPr>
                    <w:t>容器和包装物材质、内衬应与盛装的危险废物相容</w:t>
                  </w:r>
                </w:p>
              </w:tc>
              <w:tc>
                <w:tcPr>
                  <w:tcW w:w="3730" w:type="dxa"/>
                  <w:tcBorders>
                    <w:tl2br w:val="nil"/>
                    <w:tr2bl w:val="nil"/>
                  </w:tcBorders>
                  <w:vAlign w:val="center"/>
                </w:tcPr>
                <w:p w14:paraId="6BD7E806">
                  <w:pPr>
                    <w:pStyle w:val="24"/>
                    <w:spacing w:line="240" w:lineRule="auto"/>
                    <w:rPr>
                      <w:color w:val="auto"/>
                      <w:highlight w:val="none"/>
                    </w:rPr>
                  </w:pPr>
                  <w:r>
                    <w:rPr>
                      <w:rFonts w:hint="eastAsia"/>
                      <w:color w:val="auto"/>
                      <w:highlight w:val="none"/>
                    </w:rPr>
                    <w:t>本项目容器和包装物材质、内衬均与盛装的危险废物相容</w:t>
                  </w:r>
                </w:p>
              </w:tc>
              <w:tc>
                <w:tcPr>
                  <w:tcW w:w="383" w:type="dxa"/>
                  <w:tcBorders>
                    <w:tl2br w:val="nil"/>
                    <w:tr2bl w:val="nil"/>
                  </w:tcBorders>
                  <w:vAlign w:val="center"/>
                </w:tcPr>
                <w:p w14:paraId="0CEF8334">
                  <w:pPr>
                    <w:pStyle w:val="24"/>
                    <w:spacing w:line="240" w:lineRule="auto"/>
                    <w:rPr>
                      <w:color w:val="auto"/>
                      <w:highlight w:val="none"/>
                    </w:rPr>
                  </w:pPr>
                  <w:r>
                    <w:rPr>
                      <w:rFonts w:hint="eastAsia"/>
                      <w:color w:val="auto"/>
                      <w:highlight w:val="none"/>
                    </w:rPr>
                    <w:t>符合</w:t>
                  </w:r>
                </w:p>
              </w:tc>
            </w:tr>
            <w:tr w14:paraId="37EAF7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3476AE94">
                  <w:pPr>
                    <w:pStyle w:val="24"/>
                    <w:spacing w:line="240" w:lineRule="auto"/>
                    <w:rPr>
                      <w:b/>
                      <w:bCs w:val="0"/>
                      <w:color w:val="auto"/>
                      <w:highlight w:val="none"/>
                    </w:rPr>
                  </w:pPr>
                </w:p>
              </w:tc>
              <w:tc>
                <w:tcPr>
                  <w:tcW w:w="3696" w:type="dxa"/>
                  <w:gridSpan w:val="2"/>
                  <w:tcBorders>
                    <w:tl2br w:val="nil"/>
                    <w:tr2bl w:val="nil"/>
                  </w:tcBorders>
                  <w:vAlign w:val="center"/>
                </w:tcPr>
                <w:p w14:paraId="78B9344D">
                  <w:pPr>
                    <w:pStyle w:val="24"/>
                    <w:spacing w:line="240" w:lineRule="auto"/>
                    <w:rPr>
                      <w:color w:val="auto"/>
                      <w:highlight w:val="none"/>
                    </w:rPr>
                  </w:pPr>
                  <w:r>
                    <w:rPr>
                      <w:rFonts w:hint="eastAsia"/>
                      <w:color w:val="auto"/>
                      <w:highlight w:val="none"/>
                    </w:rPr>
                    <w:t>针对不同类别、形态、物理化学性质的危险废物，其容器和包装物应满足相应的防渗、防漏、防腐和强度等要求</w:t>
                  </w:r>
                </w:p>
              </w:tc>
              <w:tc>
                <w:tcPr>
                  <w:tcW w:w="3730" w:type="dxa"/>
                  <w:tcBorders>
                    <w:tl2br w:val="nil"/>
                    <w:tr2bl w:val="nil"/>
                  </w:tcBorders>
                  <w:vAlign w:val="center"/>
                </w:tcPr>
                <w:p w14:paraId="0D95F884">
                  <w:pPr>
                    <w:pStyle w:val="24"/>
                    <w:spacing w:line="240" w:lineRule="auto"/>
                    <w:rPr>
                      <w:color w:val="auto"/>
                      <w:highlight w:val="none"/>
                    </w:rPr>
                  </w:pPr>
                  <w:r>
                    <w:rPr>
                      <w:rFonts w:hint="eastAsia"/>
                      <w:color w:val="auto"/>
                      <w:highlight w:val="none"/>
                    </w:rPr>
                    <w:t>本项目</w:t>
                  </w:r>
                  <w:r>
                    <w:rPr>
                      <w:rFonts w:hint="eastAsia"/>
                      <w:color w:val="auto"/>
                      <w:highlight w:val="none"/>
                      <w:lang w:eastAsia="zh-CN"/>
                    </w:rPr>
                    <w:t>危险废物采用</w:t>
                  </w:r>
                  <w:r>
                    <w:rPr>
                      <w:rFonts w:hint="eastAsia"/>
                      <w:color w:val="auto"/>
                      <w:highlight w:val="none"/>
                    </w:rPr>
                    <w:t>桶</w:t>
                  </w:r>
                  <w:r>
                    <w:rPr>
                      <w:rFonts w:hint="eastAsia"/>
                      <w:color w:val="auto"/>
                      <w:highlight w:val="none"/>
                      <w:lang w:eastAsia="zh-CN"/>
                    </w:rPr>
                    <w:t>装密封</w:t>
                  </w:r>
                  <w:r>
                    <w:rPr>
                      <w:rFonts w:hint="eastAsia"/>
                      <w:color w:val="auto"/>
                      <w:highlight w:val="none"/>
                    </w:rPr>
                    <w:t>收集</w:t>
                  </w:r>
                  <w:r>
                    <w:rPr>
                      <w:rFonts w:hint="eastAsia"/>
                      <w:color w:val="auto"/>
                      <w:highlight w:val="none"/>
                      <w:lang w:eastAsia="zh-CN"/>
                    </w:rPr>
                    <w:t>等形式</w:t>
                  </w:r>
                  <w:r>
                    <w:rPr>
                      <w:rFonts w:hint="eastAsia"/>
                      <w:color w:val="auto"/>
                      <w:highlight w:val="none"/>
                    </w:rPr>
                    <w:t>贮存</w:t>
                  </w:r>
                  <w:r>
                    <w:rPr>
                      <w:rFonts w:hint="eastAsia"/>
                      <w:color w:val="auto"/>
                      <w:highlight w:val="none"/>
                      <w:lang w:eastAsia="zh-CN"/>
                    </w:rPr>
                    <w:t>。</w:t>
                  </w:r>
                  <w:r>
                    <w:rPr>
                      <w:rFonts w:hint="eastAsia"/>
                      <w:color w:val="auto"/>
                      <w:highlight w:val="none"/>
                    </w:rPr>
                    <w:t>项目收集采用多种包装形式贮存危险废物，不直接散堆。本项目容器和包装物材质满足防渗、防漏、防腐和强度要求</w:t>
                  </w:r>
                </w:p>
              </w:tc>
              <w:tc>
                <w:tcPr>
                  <w:tcW w:w="383" w:type="dxa"/>
                  <w:tcBorders>
                    <w:tl2br w:val="nil"/>
                    <w:tr2bl w:val="nil"/>
                  </w:tcBorders>
                  <w:vAlign w:val="center"/>
                </w:tcPr>
                <w:p w14:paraId="53CB68D9">
                  <w:pPr>
                    <w:pStyle w:val="24"/>
                    <w:spacing w:line="240" w:lineRule="auto"/>
                    <w:rPr>
                      <w:color w:val="auto"/>
                      <w:highlight w:val="none"/>
                    </w:rPr>
                  </w:pPr>
                  <w:r>
                    <w:rPr>
                      <w:rFonts w:hint="eastAsia"/>
                      <w:color w:val="auto"/>
                      <w:highlight w:val="none"/>
                    </w:rPr>
                    <w:t>符合</w:t>
                  </w:r>
                </w:p>
              </w:tc>
            </w:tr>
            <w:tr w14:paraId="37FC71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7435CA6E">
                  <w:pPr>
                    <w:pStyle w:val="24"/>
                    <w:spacing w:line="240" w:lineRule="auto"/>
                    <w:rPr>
                      <w:b/>
                      <w:bCs w:val="0"/>
                      <w:color w:val="auto"/>
                      <w:highlight w:val="none"/>
                    </w:rPr>
                  </w:pPr>
                </w:p>
              </w:tc>
              <w:tc>
                <w:tcPr>
                  <w:tcW w:w="3696" w:type="dxa"/>
                  <w:gridSpan w:val="2"/>
                  <w:tcBorders>
                    <w:tl2br w:val="nil"/>
                    <w:tr2bl w:val="nil"/>
                  </w:tcBorders>
                  <w:vAlign w:val="center"/>
                </w:tcPr>
                <w:p w14:paraId="57193479">
                  <w:pPr>
                    <w:pStyle w:val="24"/>
                    <w:spacing w:line="240" w:lineRule="auto"/>
                    <w:rPr>
                      <w:color w:val="auto"/>
                      <w:highlight w:val="none"/>
                    </w:rPr>
                  </w:pPr>
                  <w:r>
                    <w:rPr>
                      <w:rFonts w:hint="eastAsia"/>
                      <w:color w:val="auto"/>
                      <w:highlight w:val="none"/>
                    </w:rPr>
                    <w:t>硬质容器和包装物及其支护结构堆叠码放时不应有明显变形，无破损泄漏</w:t>
                  </w:r>
                </w:p>
              </w:tc>
              <w:tc>
                <w:tcPr>
                  <w:tcW w:w="3730" w:type="dxa"/>
                  <w:tcBorders>
                    <w:tl2br w:val="nil"/>
                    <w:tr2bl w:val="nil"/>
                  </w:tcBorders>
                  <w:vAlign w:val="center"/>
                </w:tcPr>
                <w:p w14:paraId="55493E64">
                  <w:pPr>
                    <w:pStyle w:val="24"/>
                    <w:spacing w:line="240" w:lineRule="auto"/>
                    <w:rPr>
                      <w:color w:val="auto"/>
                      <w:highlight w:val="none"/>
                    </w:rPr>
                  </w:pPr>
                  <w:r>
                    <w:rPr>
                      <w:rFonts w:hint="eastAsia"/>
                      <w:color w:val="auto"/>
                      <w:highlight w:val="none"/>
                    </w:rPr>
                    <w:t>硬质容器和包装物及其支护结构堆叠码放时不应有明显变形，如发现变形、破损泄漏等情况应及时更换包装</w:t>
                  </w:r>
                </w:p>
              </w:tc>
              <w:tc>
                <w:tcPr>
                  <w:tcW w:w="383" w:type="dxa"/>
                  <w:tcBorders>
                    <w:tl2br w:val="nil"/>
                    <w:tr2bl w:val="nil"/>
                  </w:tcBorders>
                  <w:vAlign w:val="center"/>
                </w:tcPr>
                <w:p w14:paraId="7A8AD4FB">
                  <w:pPr>
                    <w:pStyle w:val="24"/>
                    <w:spacing w:line="240" w:lineRule="auto"/>
                    <w:rPr>
                      <w:color w:val="auto"/>
                      <w:highlight w:val="none"/>
                    </w:rPr>
                  </w:pPr>
                  <w:r>
                    <w:rPr>
                      <w:rFonts w:hint="eastAsia"/>
                      <w:color w:val="auto"/>
                      <w:highlight w:val="none"/>
                    </w:rPr>
                    <w:t>符合</w:t>
                  </w:r>
                </w:p>
              </w:tc>
            </w:tr>
            <w:tr w14:paraId="189EEE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2D9CA014">
                  <w:pPr>
                    <w:pStyle w:val="24"/>
                    <w:spacing w:line="240" w:lineRule="auto"/>
                    <w:rPr>
                      <w:b/>
                      <w:bCs w:val="0"/>
                      <w:color w:val="auto"/>
                      <w:highlight w:val="none"/>
                    </w:rPr>
                  </w:pPr>
                </w:p>
              </w:tc>
              <w:tc>
                <w:tcPr>
                  <w:tcW w:w="3696" w:type="dxa"/>
                  <w:gridSpan w:val="2"/>
                  <w:tcBorders>
                    <w:tl2br w:val="nil"/>
                    <w:tr2bl w:val="nil"/>
                  </w:tcBorders>
                  <w:vAlign w:val="center"/>
                </w:tcPr>
                <w:p w14:paraId="07042550">
                  <w:pPr>
                    <w:pStyle w:val="24"/>
                    <w:spacing w:line="240" w:lineRule="auto"/>
                    <w:rPr>
                      <w:color w:val="auto"/>
                      <w:highlight w:val="none"/>
                    </w:rPr>
                  </w:pPr>
                  <w:r>
                    <w:rPr>
                      <w:rFonts w:hint="eastAsia"/>
                      <w:color w:val="auto"/>
                      <w:highlight w:val="none"/>
                    </w:rPr>
                    <w:t>柔性容器和包装物堆叠码放时应封口严密，无破损泄漏</w:t>
                  </w:r>
                </w:p>
              </w:tc>
              <w:tc>
                <w:tcPr>
                  <w:tcW w:w="3730" w:type="dxa"/>
                  <w:tcBorders>
                    <w:tl2br w:val="nil"/>
                    <w:tr2bl w:val="nil"/>
                  </w:tcBorders>
                  <w:vAlign w:val="center"/>
                </w:tcPr>
                <w:p w14:paraId="1686DA5E">
                  <w:pPr>
                    <w:pStyle w:val="24"/>
                    <w:spacing w:line="240" w:lineRule="auto"/>
                    <w:jc w:val="center"/>
                    <w:rPr>
                      <w:color w:val="auto"/>
                      <w:highlight w:val="none"/>
                    </w:rPr>
                  </w:pPr>
                  <w:r>
                    <w:rPr>
                      <w:rFonts w:hint="eastAsia"/>
                      <w:color w:val="auto"/>
                      <w:highlight w:val="none"/>
                    </w:rPr>
                    <w:t>本项目不涉及柔性容器</w:t>
                  </w:r>
                </w:p>
              </w:tc>
              <w:tc>
                <w:tcPr>
                  <w:tcW w:w="383" w:type="dxa"/>
                  <w:tcBorders>
                    <w:tl2br w:val="nil"/>
                    <w:tr2bl w:val="nil"/>
                  </w:tcBorders>
                  <w:vAlign w:val="center"/>
                </w:tcPr>
                <w:p w14:paraId="5ED92DF3">
                  <w:pPr>
                    <w:pStyle w:val="24"/>
                    <w:spacing w:line="240" w:lineRule="auto"/>
                    <w:rPr>
                      <w:color w:val="auto"/>
                      <w:highlight w:val="none"/>
                    </w:rPr>
                  </w:pPr>
                  <w:r>
                    <w:rPr>
                      <w:rFonts w:hint="eastAsia"/>
                      <w:color w:val="auto"/>
                      <w:highlight w:val="none"/>
                    </w:rPr>
                    <w:t>符合</w:t>
                  </w:r>
                </w:p>
              </w:tc>
            </w:tr>
            <w:tr w14:paraId="1864F0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0F332A41">
                  <w:pPr>
                    <w:pStyle w:val="24"/>
                    <w:spacing w:line="240" w:lineRule="auto"/>
                    <w:rPr>
                      <w:b/>
                      <w:bCs w:val="0"/>
                      <w:color w:val="auto"/>
                      <w:highlight w:val="none"/>
                    </w:rPr>
                  </w:pPr>
                </w:p>
              </w:tc>
              <w:tc>
                <w:tcPr>
                  <w:tcW w:w="3696" w:type="dxa"/>
                  <w:gridSpan w:val="2"/>
                  <w:tcBorders>
                    <w:tl2br w:val="nil"/>
                    <w:tr2bl w:val="nil"/>
                  </w:tcBorders>
                  <w:vAlign w:val="center"/>
                </w:tcPr>
                <w:p w14:paraId="1BC231A3">
                  <w:pPr>
                    <w:pStyle w:val="24"/>
                    <w:spacing w:line="240" w:lineRule="auto"/>
                    <w:rPr>
                      <w:color w:val="auto"/>
                      <w:highlight w:val="none"/>
                    </w:rPr>
                  </w:pPr>
                  <w:r>
                    <w:rPr>
                      <w:rFonts w:hint="eastAsia"/>
                      <w:color w:val="auto"/>
                      <w:highlight w:val="none"/>
                    </w:rPr>
                    <w:t>使用容器盛装液态、半固态危险废物时，容器内部应留有适当的空间，以适应因温度变化等可能引发的收缩和膨胀，防止其导致容器渗漏或永久变形</w:t>
                  </w:r>
                </w:p>
              </w:tc>
              <w:tc>
                <w:tcPr>
                  <w:tcW w:w="3730" w:type="dxa"/>
                  <w:tcBorders>
                    <w:tl2br w:val="nil"/>
                    <w:tr2bl w:val="nil"/>
                  </w:tcBorders>
                  <w:vAlign w:val="center"/>
                </w:tcPr>
                <w:p w14:paraId="30CBA733">
                  <w:pPr>
                    <w:pStyle w:val="24"/>
                    <w:spacing w:line="240" w:lineRule="auto"/>
                    <w:rPr>
                      <w:color w:val="auto"/>
                      <w:highlight w:val="none"/>
                    </w:rPr>
                  </w:pPr>
                  <w:r>
                    <w:rPr>
                      <w:rFonts w:hint="eastAsia"/>
                      <w:color w:val="auto"/>
                      <w:highlight w:val="none"/>
                    </w:rPr>
                    <w:t>本项目采用桶盛装</w:t>
                  </w:r>
                  <w:r>
                    <w:rPr>
                      <w:rFonts w:hint="eastAsia"/>
                      <w:color w:val="auto"/>
                      <w:highlight w:val="none"/>
                      <w:lang w:eastAsia="zh-CN"/>
                    </w:rPr>
                    <w:t>液态、半固态危险废物时</w:t>
                  </w:r>
                  <w:r>
                    <w:rPr>
                      <w:rFonts w:hint="eastAsia"/>
                      <w:color w:val="auto"/>
                      <w:highlight w:val="none"/>
                    </w:rPr>
                    <w:t>留有适当的空间，可有效避免因温度变化等可能引发的收缩和膨胀，防止其导致容器渗漏或永久变形</w:t>
                  </w:r>
                </w:p>
              </w:tc>
              <w:tc>
                <w:tcPr>
                  <w:tcW w:w="383" w:type="dxa"/>
                  <w:tcBorders>
                    <w:tl2br w:val="nil"/>
                    <w:tr2bl w:val="nil"/>
                  </w:tcBorders>
                  <w:vAlign w:val="center"/>
                </w:tcPr>
                <w:p w14:paraId="6109C8C2">
                  <w:pPr>
                    <w:pStyle w:val="24"/>
                    <w:spacing w:line="240" w:lineRule="auto"/>
                    <w:rPr>
                      <w:color w:val="auto"/>
                      <w:highlight w:val="none"/>
                    </w:rPr>
                  </w:pPr>
                  <w:r>
                    <w:rPr>
                      <w:rFonts w:hint="eastAsia"/>
                      <w:color w:val="auto"/>
                      <w:highlight w:val="none"/>
                    </w:rPr>
                    <w:t>符合</w:t>
                  </w:r>
                </w:p>
              </w:tc>
            </w:tr>
            <w:tr w14:paraId="243575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62A9C7BF">
                  <w:pPr>
                    <w:pStyle w:val="24"/>
                    <w:spacing w:line="240" w:lineRule="auto"/>
                    <w:rPr>
                      <w:b/>
                      <w:bCs w:val="0"/>
                      <w:color w:val="auto"/>
                      <w:highlight w:val="none"/>
                    </w:rPr>
                  </w:pPr>
                </w:p>
              </w:tc>
              <w:tc>
                <w:tcPr>
                  <w:tcW w:w="3696" w:type="dxa"/>
                  <w:gridSpan w:val="2"/>
                  <w:tcBorders>
                    <w:tl2br w:val="nil"/>
                    <w:tr2bl w:val="nil"/>
                  </w:tcBorders>
                  <w:vAlign w:val="center"/>
                </w:tcPr>
                <w:p w14:paraId="6FBE7FEA">
                  <w:pPr>
                    <w:pStyle w:val="24"/>
                    <w:spacing w:line="240" w:lineRule="auto"/>
                    <w:rPr>
                      <w:color w:val="auto"/>
                      <w:highlight w:val="none"/>
                    </w:rPr>
                  </w:pPr>
                  <w:r>
                    <w:rPr>
                      <w:rFonts w:hint="eastAsia"/>
                      <w:color w:val="auto"/>
                      <w:highlight w:val="none"/>
                    </w:rPr>
                    <w:t>容器和包装物外表面应保持清洁</w:t>
                  </w:r>
                </w:p>
              </w:tc>
              <w:tc>
                <w:tcPr>
                  <w:tcW w:w="3730" w:type="dxa"/>
                  <w:tcBorders>
                    <w:tl2br w:val="nil"/>
                    <w:tr2bl w:val="nil"/>
                  </w:tcBorders>
                  <w:vAlign w:val="center"/>
                </w:tcPr>
                <w:p w14:paraId="186F62AF">
                  <w:pPr>
                    <w:pStyle w:val="24"/>
                    <w:spacing w:line="240" w:lineRule="auto"/>
                    <w:rPr>
                      <w:color w:val="auto"/>
                      <w:highlight w:val="none"/>
                    </w:rPr>
                  </w:pPr>
                  <w:r>
                    <w:rPr>
                      <w:rFonts w:hint="eastAsia"/>
                      <w:color w:val="auto"/>
                      <w:highlight w:val="none"/>
                    </w:rPr>
                    <w:t>容器和包装物外表面保持清洁</w:t>
                  </w:r>
                </w:p>
              </w:tc>
              <w:tc>
                <w:tcPr>
                  <w:tcW w:w="383" w:type="dxa"/>
                  <w:tcBorders>
                    <w:tl2br w:val="nil"/>
                    <w:tr2bl w:val="nil"/>
                  </w:tcBorders>
                  <w:vAlign w:val="center"/>
                </w:tcPr>
                <w:p w14:paraId="09B610FD">
                  <w:pPr>
                    <w:pStyle w:val="24"/>
                    <w:spacing w:line="240" w:lineRule="auto"/>
                    <w:rPr>
                      <w:color w:val="auto"/>
                      <w:highlight w:val="none"/>
                    </w:rPr>
                  </w:pPr>
                  <w:r>
                    <w:rPr>
                      <w:rFonts w:hint="eastAsia"/>
                      <w:color w:val="auto"/>
                      <w:highlight w:val="none"/>
                    </w:rPr>
                    <w:t>符合</w:t>
                  </w:r>
                </w:p>
              </w:tc>
            </w:tr>
            <w:tr w14:paraId="649D0E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restart"/>
                  <w:tcBorders>
                    <w:tl2br w:val="nil"/>
                    <w:tr2bl w:val="nil"/>
                  </w:tcBorders>
                  <w:vAlign w:val="center"/>
                </w:tcPr>
                <w:p w14:paraId="12AA21AA">
                  <w:pPr>
                    <w:pStyle w:val="24"/>
                    <w:spacing w:line="240" w:lineRule="auto"/>
                    <w:rPr>
                      <w:b/>
                      <w:bCs w:val="0"/>
                      <w:color w:val="auto"/>
                      <w:highlight w:val="none"/>
                    </w:rPr>
                  </w:pPr>
                  <w:r>
                    <w:rPr>
                      <w:rFonts w:hint="eastAsia"/>
                      <w:b/>
                      <w:bCs w:val="0"/>
                      <w:color w:val="auto"/>
                      <w:highlight w:val="none"/>
                    </w:rPr>
                    <w:t>贮存过程污染控制要求</w:t>
                  </w:r>
                </w:p>
              </w:tc>
              <w:tc>
                <w:tcPr>
                  <w:tcW w:w="370" w:type="dxa"/>
                  <w:vMerge w:val="restart"/>
                  <w:tcBorders>
                    <w:tl2br w:val="nil"/>
                    <w:tr2bl w:val="nil"/>
                  </w:tcBorders>
                  <w:vAlign w:val="center"/>
                </w:tcPr>
                <w:p w14:paraId="693DE7C0">
                  <w:pPr>
                    <w:pStyle w:val="24"/>
                    <w:spacing w:line="240" w:lineRule="auto"/>
                    <w:rPr>
                      <w:color w:val="auto"/>
                      <w:highlight w:val="none"/>
                    </w:rPr>
                  </w:pPr>
                  <w:r>
                    <w:rPr>
                      <w:rFonts w:hint="eastAsia"/>
                      <w:b/>
                      <w:bCs/>
                      <w:color w:val="auto"/>
                      <w:highlight w:val="none"/>
                    </w:rPr>
                    <w:t>一般规定</w:t>
                  </w:r>
                </w:p>
              </w:tc>
              <w:tc>
                <w:tcPr>
                  <w:tcW w:w="3326" w:type="dxa"/>
                  <w:tcBorders>
                    <w:tl2br w:val="nil"/>
                    <w:tr2bl w:val="nil"/>
                  </w:tcBorders>
                  <w:vAlign w:val="center"/>
                </w:tcPr>
                <w:p w14:paraId="31B4E4A3">
                  <w:pPr>
                    <w:pStyle w:val="24"/>
                    <w:spacing w:line="240" w:lineRule="auto"/>
                    <w:rPr>
                      <w:color w:val="auto"/>
                      <w:highlight w:val="none"/>
                    </w:rPr>
                  </w:pPr>
                  <w:r>
                    <w:rPr>
                      <w:rFonts w:hint="eastAsia"/>
                      <w:color w:val="auto"/>
                      <w:highlight w:val="none"/>
                    </w:rPr>
                    <w:t>在常温常压下不易水解、不易挥发的固态危险废物可分类堆放贮存，其他固态危险废物应装入容器或包装物内贮存</w:t>
                  </w:r>
                </w:p>
              </w:tc>
              <w:tc>
                <w:tcPr>
                  <w:tcW w:w="3730" w:type="dxa"/>
                  <w:tcBorders>
                    <w:tl2br w:val="nil"/>
                    <w:tr2bl w:val="nil"/>
                  </w:tcBorders>
                  <w:vAlign w:val="center"/>
                </w:tcPr>
                <w:p w14:paraId="21F1C8BA">
                  <w:pPr>
                    <w:pStyle w:val="24"/>
                    <w:spacing w:line="240" w:lineRule="auto"/>
                    <w:rPr>
                      <w:color w:val="auto"/>
                      <w:highlight w:val="none"/>
                    </w:rPr>
                  </w:pPr>
                  <w:r>
                    <w:rPr>
                      <w:rFonts w:hint="eastAsia"/>
                      <w:color w:val="auto"/>
                      <w:highlight w:val="none"/>
                    </w:rPr>
                    <w:t>本项目</w:t>
                  </w:r>
                  <w:r>
                    <w:rPr>
                      <w:rFonts w:hint="eastAsia"/>
                      <w:color w:val="auto"/>
                      <w:highlight w:val="none"/>
                      <w:lang w:eastAsia="zh-CN"/>
                    </w:rPr>
                    <w:t>危险废物采用</w:t>
                  </w:r>
                  <w:r>
                    <w:rPr>
                      <w:rFonts w:hint="eastAsia"/>
                      <w:color w:val="auto"/>
                      <w:highlight w:val="none"/>
                    </w:rPr>
                    <w:t>桶</w:t>
                  </w:r>
                  <w:r>
                    <w:rPr>
                      <w:rFonts w:hint="eastAsia"/>
                      <w:color w:val="auto"/>
                      <w:highlight w:val="none"/>
                      <w:lang w:eastAsia="zh-CN"/>
                    </w:rPr>
                    <w:t>装密封</w:t>
                  </w:r>
                  <w:r>
                    <w:rPr>
                      <w:rFonts w:hint="eastAsia"/>
                      <w:color w:val="auto"/>
                      <w:highlight w:val="none"/>
                    </w:rPr>
                    <w:t>收集</w:t>
                  </w:r>
                  <w:r>
                    <w:rPr>
                      <w:rFonts w:hint="eastAsia"/>
                      <w:color w:val="auto"/>
                      <w:highlight w:val="none"/>
                      <w:lang w:eastAsia="zh-CN"/>
                    </w:rPr>
                    <w:t>等形式</w:t>
                  </w:r>
                  <w:r>
                    <w:rPr>
                      <w:rFonts w:hint="eastAsia"/>
                      <w:color w:val="auto"/>
                      <w:highlight w:val="none"/>
                    </w:rPr>
                    <w:t>贮存</w:t>
                  </w:r>
                </w:p>
              </w:tc>
              <w:tc>
                <w:tcPr>
                  <w:tcW w:w="383" w:type="dxa"/>
                  <w:tcBorders>
                    <w:tl2br w:val="nil"/>
                    <w:tr2bl w:val="nil"/>
                  </w:tcBorders>
                  <w:vAlign w:val="center"/>
                </w:tcPr>
                <w:p w14:paraId="5D15C5A6">
                  <w:pPr>
                    <w:pStyle w:val="24"/>
                    <w:spacing w:line="240" w:lineRule="auto"/>
                    <w:rPr>
                      <w:color w:val="auto"/>
                      <w:highlight w:val="none"/>
                    </w:rPr>
                  </w:pPr>
                  <w:r>
                    <w:rPr>
                      <w:rFonts w:hint="eastAsia"/>
                      <w:color w:val="auto"/>
                      <w:highlight w:val="none"/>
                    </w:rPr>
                    <w:t>符合</w:t>
                  </w:r>
                </w:p>
              </w:tc>
            </w:tr>
            <w:tr w14:paraId="0187C6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49E55AF0">
                  <w:pPr>
                    <w:pStyle w:val="24"/>
                    <w:spacing w:line="240" w:lineRule="auto"/>
                    <w:rPr>
                      <w:b/>
                      <w:bCs w:val="0"/>
                      <w:color w:val="auto"/>
                      <w:highlight w:val="none"/>
                    </w:rPr>
                  </w:pPr>
                </w:p>
              </w:tc>
              <w:tc>
                <w:tcPr>
                  <w:tcW w:w="370" w:type="dxa"/>
                  <w:vMerge w:val="continue"/>
                  <w:tcBorders>
                    <w:tl2br w:val="nil"/>
                    <w:tr2bl w:val="nil"/>
                  </w:tcBorders>
                  <w:vAlign w:val="center"/>
                </w:tcPr>
                <w:p w14:paraId="7E1B11D6">
                  <w:pPr>
                    <w:pStyle w:val="24"/>
                    <w:spacing w:line="240" w:lineRule="auto"/>
                    <w:rPr>
                      <w:color w:val="auto"/>
                      <w:highlight w:val="none"/>
                    </w:rPr>
                  </w:pPr>
                </w:p>
              </w:tc>
              <w:tc>
                <w:tcPr>
                  <w:tcW w:w="3326" w:type="dxa"/>
                  <w:tcBorders>
                    <w:tl2br w:val="nil"/>
                    <w:tr2bl w:val="nil"/>
                  </w:tcBorders>
                  <w:vAlign w:val="center"/>
                </w:tcPr>
                <w:p w14:paraId="334EB2D2">
                  <w:pPr>
                    <w:pStyle w:val="24"/>
                    <w:spacing w:line="240" w:lineRule="auto"/>
                    <w:rPr>
                      <w:color w:val="auto"/>
                      <w:highlight w:val="none"/>
                    </w:rPr>
                  </w:pPr>
                  <w:r>
                    <w:rPr>
                      <w:rFonts w:hint="eastAsia"/>
                      <w:color w:val="auto"/>
                      <w:highlight w:val="none"/>
                    </w:rPr>
                    <w:t>液态危险废物应装入容器内贮存，或直接采用贮存池、贮存罐区贮存</w:t>
                  </w:r>
                </w:p>
              </w:tc>
              <w:tc>
                <w:tcPr>
                  <w:tcW w:w="3730" w:type="dxa"/>
                  <w:tcBorders>
                    <w:tl2br w:val="nil"/>
                    <w:tr2bl w:val="nil"/>
                  </w:tcBorders>
                  <w:vAlign w:val="center"/>
                </w:tcPr>
                <w:p w14:paraId="5BEF9D2B">
                  <w:pPr>
                    <w:pStyle w:val="24"/>
                    <w:spacing w:line="240" w:lineRule="auto"/>
                    <w:rPr>
                      <w:color w:val="auto"/>
                      <w:highlight w:val="none"/>
                    </w:rPr>
                  </w:pPr>
                  <w:r>
                    <w:rPr>
                      <w:rFonts w:hint="eastAsia"/>
                      <w:color w:val="auto"/>
                      <w:highlight w:val="none"/>
                    </w:rPr>
                    <w:t>本项目涉及液态危险废物</w:t>
                  </w:r>
                  <w:r>
                    <w:rPr>
                      <w:rFonts w:hint="eastAsia"/>
                      <w:color w:val="auto"/>
                      <w:highlight w:val="none"/>
                      <w:lang w:eastAsia="zh-CN"/>
                    </w:rPr>
                    <w:t>采用</w:t>
                  </w:r>
                  <w:r>
                    <w:rPr>
                      <w:rFonts w:hint="eastAsia"/>
                      <w:color w:val="auto"/>
                      <w:highlight w:val="none"/>
                    </w:rPr>
                    <w:t>桶</w:t>
                  </w:r>
                  <w:r>
                    <w:rPr>
                      <w:rFonts w:hint="eastAsia"/>
                      <w:color w:val="auto"/>
                      <w:highlight w:val="none"/>
                      <w:lang w:eastAsia="zh-CN"/>
                    </w:rPr>
                    <w:t>装密封</w:t>
                  </w:r>
                  <w:r>
                    <w:rPr>
                      <w:rFonts w:hint="eastAsia"/>
                      <w:color w:val="auto"/>
                      <w:highlight w:val="none"/>
                    </w:rPr>
                    <w:t>收集</w:t>
                  </w:r>
                  <w:r>
                    <w:rPr>
                      <w:rFonts w:hint="eastAsia"/>
                      <w:color w:val="auto"/>
                      <w:highlight w:val="none"/>
                      <w:lang w:eastAsia="zh-CN"/>
                    </w:rPr>
                    <w:t>等形式</w:t>
                  </w:r>
                  <w:r>
                    <w:rPr>
                      <w:rFonts w:hint="eastAsia"/>
                      <w:color w:val="auto"/>
                      <w:highlight w:val="none"/>
                    </w:rPr>
                    <w:t>贮存</w:t>
                  </w:r>
                </w:p>
              </w:tc>
              <w:tc>
                <w:tcPr>
                  <w:tcW w:w="383" w:type="dxa"/>
                  <w:tcBorders>
                    <w:tl2br w:val="nil"/>
                    <w:tr2bl w:val="nil"/>
                  </w:tcBorders>
                  <w:vAlign w:val="center"/>
                </w:tcPr>
                <w:p w14:paraId="11B2E120">
                  <w:pPr>
                    <w:pStyle w:val="24"/>
                    <w:spacing w:line="240" w:lineRule="auto"/>
                    <w:rPr>
                      <w:color w:val="auto"/>
                      <w:highlight w:val="none"/>
                    </w:rPr>
                  </w:pPr>
                  <w:r>
                    <w:rPr>
                      <w:rFonts w:hint="eastAsia"/>
                      <w:color w:val="auto"/>
                      <w:highlight w:val="none"/>
                    </w:rPr>
                    <w:t>符合</w:t>
                  </w:r>
                </w:p>
              </w:tc>
            </w:tr>
            <w:tr w14:paraId="4B38F6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2E510C07">
                  <w:pPr>
                    <w:pStyle w:val="24"/>
                    <w:spacing w:line="240" w:lineRule="auto"/>
                    <w:rPr>
                      <w:color w:val="auto"/>
                      <w:highlight w:val="none"/>
                    </w:rPr>
                  </w:pPr>
                </w:p>
              </w:tc>
              <w:tc>
                <w:tcPr>
                  <w:tcW w:w="370" w:type="dxa"/>
                  <w:vMerge w:val="continue"/>
                  <w:tcBorders>
                    <w:tl2br w:val="nil"/>
                    <w:tr2bl w:val="nil"/>
                  </w:tcBorders>
                  <w:vAlign w:val="center"/>
                </w:tcPr>
                <w:p w14:paraId="65880259">
                  <w:pPr>
                    <w:pStyle w:val="24"/>
                    <w:spacing w:line="240" w:lineRule="auto"/>
                    <w:rPr>
                      <w:color w:val="auto"/>
                      <w:highlight w:val="none"/>
                    </w:rPr>
                  </w:pPr>
                </w:p>
              </w:tc>
              <w:tc>
                <w:tcPr>
                  <w:tcW w:w="3326" w:type="dxa"/>
                  <w:tcBorders>
                    <w:tl2br w:val="nil"/>
                    <w:tr2bl w:val="nil"/>
                  </w:tcBorders>
                  <w:vAlign w:val="center"/>
                </w:tcPr>
                <w:p w14:paraId="436B4CA0">
                  <w:pPr>
                    <w:pStyle w:val="24"/>
                    <w:spacing w:line="240" w:lineRule="auto"/>
                    <w:rPr>
                      <w:color w:val="auto"/>
                      <w:highlight w:val="none"/>
                    </w:rPr>
                  </w:pPr>
                  <w:r>
                    <w:rPr>
                      <w:rFonts w:hint="eastAsia"/>
                      <w:color w:val="auto"/>
                      <w:highlight w:val="none"/>
                    </w:rPr>
                    <w:t>半固态危险废物应装入容器或包装袋内贮存，或直接采用贮存池贮存</w:t>
                  </w:r>
                </w:p>
              </w:tc>
              <w:tc>
                <w:tcPr>
                  <w:tcW w:w="3730" w:type="dxa"/>
                  <w:tcBorders>
                    <w:tl2br w:val="nil"/>
                    <w:tr2bl w:val="nil"/>
                  </w:tcBorders>
                  <w:vAlign w:val="center"/>
                </w:tcPr>
                <w:p w14:paraId="36A240AC">
                  <w:pPr>
                    <w:pStyle w:val="24"/>
                    <w:spacing w:line="240" w:lineRule="auto"/>
                    <w:rPr>
                      <w:color w:val="auto"/>
                      <w:highlight w:val="none"/>
                    </w:rPr>
                  </w:pPr>
                  <w:r>
                    <w:rPr>
                      <w:rFonts w:hint="eastAsia"/>
                      <w:color w:val="auto"/>
                      <w:highlight w:val="none"/>
                    </w:rPr>
                    <w:t>本项目涉及</w:t>
                  </w:r>
                  <w:r>
                    <w:rPr>
                      <w:rFonts w:hint="eastAsia"/>
                      <w:color w:val="auto"/>
                      <w:highlight w:val="none"/>
                      <w:lang w:eastAsia="zh-CN"/>
                    </w:rPr>
                    <w:t>半固态</w:t>
                  </w:r>
                  <w:r>
                    <w:rPr>
                      <w:rFonts w:hint="eastAsia"/>
                      <w:color w:val="auto"/>
                      <w:highlight w:val="none"/>
                    </w:rPr>
                    <w:t>危险废物</w:t>
                  </w:r>
                  <w:r>
                    <w:rPr>
                      <w:rFonts w:hint="eastAsia"/>
                      <w:color w:val="auto"/>
                      <w:highlight w:val="none"/>
                      <w:lang w:eastAsia="zh-CN"/>
                    </w:rPr>
                    <w:t>采用</w:t>
                  </w:r>
                  <w:r>
                    <w:rPr>
                      <w:rFonts w:hint="eastAsia"/>
                      <w:color w:val="auto"/>
                      <w:highlight w:val="none"/>
                    </w:rPr>
                    <w:t>桶</w:t>
                  </w:r>
                  <w:r>
                    <w:rPr>
                      <w:rFonts w:hint="eastAsia"/>
                      <w:color w:val="auto"/>
                      <w:highlight w:val="none"/>
                      <w:lang w:eastAsia="zh-CN"/>
                    </w:rPr>
                    <w:t>装密封</w:t>
                  </w:r>
                  <w:r>
                    <w:rPr>
                      <w:rFonts w:hint="eastAsia"/>
                      <w:color w:val="auto"/>
                      <w:highlight w:val="none"/>
                    </w:rPr>
                    <w:t>收集</w:t>
                  </w:r>
                  <w:r>
                    <w:rPr>
                      <w:rFonts w:hint="eastAsia"/>
                      <w:color w:val="auto"/>
                      <w:highlight w:val="none"/>
                      <w:lang w:eastAsia="zh-CN"/>
                    </w:rPr>
                    <w:t>等形式</w:t>
                  </w:r>
                  <w:r>
                    <w:rPr>
                      <w:rFonts w:hint="eastAsia"/>
                      <w:color w:val="auto"/>
                      <w:highlight w:val="none"/>
                    </w:rPr>
                    <w:t>贮存</w:t>
                  </w:r>
                </w:p>
              </w:tc>
              <w:tc>
                <w:tcPr>
                  <w:tcW w:w="383" w:type="dxa"/>
                  <w:tcBorders>
                    <w:tl2br w:val="nil"/>
                    <w:tr2bl w:val="nil"/>
                  </w:tcBorders>
                  <w:vAlign w:val="center"/>
                </w:tcPr>
                <w:p w14:paraId="45881473">
                  <w:pPr>
                    <w:pStyle w:val="24"/>
                    <w:spacing w:line="240" w:lineRule="auto"/>
                    <w:rPr>
                      <w:color w:val="auto"/>
                      <w:highlight w:val="none"/>
                    </w:rPr>
                  </w:pPr>
                  <w:r>
                    <w:rPr>
                      <w:rFonts w:hint="eastAsia"/>
                      <w:color w:val="auto"/>
                      <w:highlight w:val="none"/>
                    </w:rPr>
                    <w:t>符合</w:t>
                  </w:r>
                </w:p>
              </w:tc>
            </w:tr>
            <w:tr w14:paraId="53DE6F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20361768">
                  <w:pPr>
                    <w:pStyle w:val="24"/>
                    <w:spacing w:line="240" w:lineRule="auto"/>
                    <w:rPr>
                      <w:color w:val="auto"/>
                      <w:highlight w:val="none"/>
                    </w:rPr>
                  </w:pPr>
                </w:p>
              </w:tc>
              <w:tc>
                <w:tcPr>
                  <w:tcW w:w="370" w:type="dxa"/>
                  <w:vMerge w:val="continue"/>
                  <w:tcBorders>
                    <w:tl2br w:val="nil"/>
                    <w:tr2bl w:val="nil"/>
                  </w:tcBorders>
                  <w:vAlign w:val="center"/>
                </w:tcPr>
                <w:p w14:paraId="7189A4A8">
                  <w:pPr>
                    <w:pStyle w:val="24"/>
                    <w:spacing w:line="240" w:lineRule="auto"/>
                    <w:rPr>
                      <w:color w:val="auto"/>
                      <w:highlight w:val="none"/>
                    </w:rPr>
                  </w:pPr>
                </w:p>
              </w:tc>
              <w:tc>
                <w:tcPr>
                  <w:tcW w:w="3326" w:type="dxa"/>
                  <w:tcBorders>
                    <w:tl2br w:val="nil"/>
                    <w:tr2bl w:val="nil"/>
                  </w:tcBorders>
                  <w:vAlign w:val="center"/>
                </w:tcPr>
                <w:p w14:paraId="105CC71D">
                  <w:pPr>
                    <w:pStyle w:val="24"/>
                    <w:spacing w:line="240" w:lineRule="auto"/>
                    <w:rPr>
                      <w:color w:val="auto"/>
                      <w:highlight w:val="none"/>
                    </w:rPr>
                  </w:pPr>
                  <w:r>
                    <w:rPr>
                      <w:rFonts w:hint="eastAsia"/>
                      <w:color w:val="auto"/>
                      <w:highlight w:val="none"/>
                    </w:rPr>
                    <w:t>易产生粉尘、VOCs、酸雾、有毒有害大气污染物和刺激性气味气体的危险废物应装入闭口容器或包装物内贮存</w:t>
                  </w:r>
                </w:p>
              </w:tc>
              <w:tc>
                <w:tcPr>
                  <w:tcW w:w="3730" w:type="dxa"/>
                  <w:tcBorders>
                    <w:tl2br w:val="nil"/>
                    <w:tr2bl w:val="nil"/>
                  </w:tcBorders>
                  <w:vAlign w:val="center"/>
                </w:tcPr>
                <w:p w14:paraId="2C680A78">
                  <w:pPr>
                    <w:pStyle w:val="24"/>
                    <w:spacing w:line="240" w:lineRule="auto"/>
                    <w:rPr>
                      <w:color w:val="auto"/>
                      <w:highlight w:val="none"/>
                    </w:rPr>
                  </w:pPr>
                  <w:r>
                    <w:rPr>
                      <w:rFonts w:hint="eastAsia"/>
                      <w:color w:val="auto"/>
                      <w:highlight w:val="none"/>
                    </w:rPr>
                    <w:t>本项目贮存危险废物产生VOCs、酸雾大气污染物和刺激性气味气体的危险废物通过加盖密封</w:t>
                  </w:r>
                </w:p>
              </w:tc>
              <w:tc>
                <w:tcPr>
                  <w:tcW w:w="383" w:type="dxa"/>
                  <w:tcBorders>
                    <w:tl2br w:val="nil"/>
                    <w:tr2bl w:val="nil"/>
                  </w:tcBorders>
                  <w:vAlign w:val="center"/>
                </w:tcPr>
                <w:p w14:paraId="432A09CE">
                  <w:pPr>
                    <w:pStyle w:val="24"/>
                    <w:spacing w:line="240" w:lineRule="auto"/>
                    <w:rPr>
                      <w:color w:val="auto"/>
                      <w:highlight w:val="none"/>
                    </w:rPr>
                  </w:pPr>
                  <w:r>
                    <w:rPr>
                      <w:rFonts w:hint="eastAsia"/>
                      <w:color w:val="auto"/>
                      <w:highlight w:val="none"/>
                    </w:rPr>
                    <w:t>符合</w:t>
                  </w:r>
                </w:p>
              </w:tc>
            </w:tr>
            <w:tr w14:paraId="1A4AC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restart"/>
                  <w:tcBorders>
                    <w:tl2br w:val="nil"/>
                    <w:tr2bl w:val="nil"/>
                  </w:tcBorders>
                  <w:vAlign w:val="center"/>
                </w:tcPr>
                <w:p w14:paraId="021D7CB9">
                  <w:pPr>
                    <w:pStyle w:val="24"/>
                    <w:spacing w:line="240" w:lineRule="auto"/>
                    <w:ind w:firstLine="0" w:firstLineChars="0"/>
                    <w:rPr>
                      <w:b/>
                      <w:bCs/>
                      <w:color w:val="auto"/>
                      <w:highlight w:val="none"/>
                    </w:rPr>
                  </w:pPr>
                  <w:r>
                    <w:rPr>
                      <w:rFonts w:hint="eastAsia"/>
                      <w:b/>
                      <w:bCs/>
                      <w:color w:val="auto"/>
                      <w:highlight w:val="none"/>
                    </w:rPr>
                    <w:t>贮存点</w:t>
                  </w:r>
                </w:p>
              </w:tc>
              <w:tc>
                <w:tcPr>
                  <w:tcW w:w="3696" w:type="dxa"/>
                  <w:gridSpan w:val="2"/>
                  <w:tcBorders>
                    <w:tl2br w:val="nil"/>
                    <w:tr2bl w:val="nil"/>
                  </w:tcBorders>
                  <w:vAlign w:val="center"/>
                </w:tcPr>
                <w:p w14:paraId="0F02052A">
                  <w:pPr>
                    <w:pStyle w:val="24"/>
                    <w:spacing w:line="240" w:lineRule="auto"/>
                    <w:ind w:firstLine="0" w:firstLineChars="0"/>
                    <w:rPr>
                      <w:rFonts w:hint="eastAsia"/>
                      <w:color w:val="auto"/>
                      <w:highlight w:val="none"/>
                    </w:rPr>
                  </w:pPr>
                  <w:r>
                    <w:rPr>
                      <w:rFonts w:hint="eastAsia"/>
                      <w:color w:val="auto"/>
                      <w:highlight w:val="none"/>
                    </w:rPr>
                    <w:t>贮存点应具有固定的区域边界，并应采取与其他区域进行隔离的措施</w:t>
                  </w:r>
                </w:p>
              </w:tc>
              <w:tc>
                <w:tcPr>
                  <w:tcW w:w="3730" w:type="dxa"/>
                  <w:tcBorders>
                    <w:tl2br w:val="nil"/>
                    <w:tr2bl w:val="nil"/>
                  </w:tcBorders>
                  <w:vAlign w:val="center"/>
                </w:tcPr>
                <w:p w14:paraId="1F20E292">
                  <w:pPr>
                    <w:pStyle w:val="24"/>
                    <w:spacing w:line="240" w:lineRule="auto"/>
                    <w:ind w:firstLine="0" w:firstLineChars="0"/>
                    <w:rPr>
                      <w:rFonts w:hint="eastAsia"/>
                      <w:color w:val="auto"/>
                      <w:highlight w:val="none"/>
                    </w:rPr>
                  </w:pPr>
                  <w:r>
                    <w:rPr>
                      <w:rFonts w:hint="eastAsia"/>
                      <w:color w:val="auto"/>
                      <w:highlight w:val="none"/>
                    </w:rPr>
                    <w:t>项目利用北票发电有限责任公司闲置库房进行改造危险废物贮存点，有固定的区域边界</w:t>
                  </w:r>
                </w:p>
              </w:tc>
              <w:tc>
                <w:tcPr>
                  <w:tcW w:w="383" w:type="dxa"/>
                  <w:tcBorders>
                    <w:tl2br w:val="nil"/>
                    <w:tr2bl w:val="nil"/>
                  </w:tcBorders>
                  <w:vAlign w:val="center"/>
                </w:tcPr>
                <w:p w14:paraId="58B4A9A7">
                  <w:pPr>
                    <w:pStyle w:val="24"/>
                    <w:spacing w:line="240" w:lineRule="auto"/>
                    <w:ind w:firstLine="0" w:firstLineChars="0"/>
                    <w:rPr>
                      <w:rFonts w:hint="eastAsia"/>
                      <w:color w:val="auto"/>
                      <w:highlight w:val="none"/>
                    </w:rPr>
                  </w:pPr>
                  <w:r>
                    <w:rPr>
                      <w:rFonts w:hint="eastAsia"/>
                      <w:color w:val="auto"/>
                      <w:highlight w:val="none"/>
                    </w:rPr>
                    <w:t>符合</w:t>
                  </w:r>
                </w:p>
              </w:tc>
            </w:tr>
            <w:tr w14:paraId="7D4E65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5F84F69F">
                  <w:pPr>
                    <w:pStyle w:val="24"/>
                    <w:spacing w:line="240" w:lineRule="auto"/>
                    <w:ind w:firstLine="0" w:firstLineChars="0"/>
                    <w:rPr>
                      <w:color w:val="auto"/>
                      <w:highlight w:val="none"/>
                    </w:rPr>
                  </w:pPr>
                </w:p>
              </w:tc>
              <w:tc>
                <w:tcPr>
                  <w:tcW w:w="3696" w:type="dxa"/>
                  <w:gridSpan w:val="2"/>
                  <w:tcBorders>
                    <w:tl2br w:val="nil"/>
                    <w:tr2bl w:val="nil"/>
                  </w:tcBorders>
                  <w:vAlign w:val="center"/>
                </w:tcPr>
                <w:p w14:paraId="6FB760CB">
                  <w:pPr>
                    <w:pStyle w:val="24"/>
                    <w:spacing w:line="240" w:lineRule="auto"/>
                    <w:ind w:firstLine="0" w:firstLineChars="0"/>
                    <w:rPr>
                      <w:rFonts w:hint="eastAsia"/>
                      <w:color w:val="auto"/>
                      <w:highlight w:val="none"/>
                    </w:rPr>
                  </w:pPr>
                  <w:r>
                    <w:rPr>
                      <w:rFonts w:hint="eastAsia"/>
                      <w:color w:val="auto"/>
                      <w:highlight w:val="none"/>
                    </w:rPr>
                    <w:t>贮存点应采取防风、防雨、防晒和防止危险废物流失、扬散等措施</w:t>
                  </w:r>
                </w:p>
              </w:tc>
              <w:tc>
                <w:tcPr>
                  <w:tcW w:w="3730" w:type="dxa"/>
                  <w:tcBorders>
                    <w:tl2br w:val="nil"/>
                    <w:tr2bl w:val="nil"/>
                  </w:tcBorders>
                  <w:vAlign w:val="center"/>
                </w:tcPr>
                <w:p w14:paraId="03ED4F7F">
                  <w:pPr>
                    <w:pStyle w:val="24"/>
                    <w:spacing w:line="240" w:lineRule="auto"/>
                    <w:ind w:firstLine="0" w:firstLineChars="0"/>
                    <w:rPr>
                      <w:rFonts w:hint="eastAsia"/>
                      <w:color w:val="auto"/>
                      <w:highlight w:val="none"/>
                    </w:rPr>
                  </w:pPr>
                  <w:r>
                    <w:rPr>
                      <w:rFonts w:hint="eastAsia"/>
                      <w:color w:val="auto"/>
                      <w:highlight w:val="none"/>
                    </w:rPr>
                    <w:t>项目利用北票发电有限责任公司闲置库房进行改造危险废物全封闭贮存点，并设置导流</w:t>
                  </w:r>
                  <w:r>
                    <w:rPr>
                      <w:rFonts w:hint="eastAsia"/>
                      <w:color w:val="auto"/>
                      <w:highlight w:val="none"/>
                      <w:lang w:eastAsia="zh-CN"/>
                    </w:rPr>
                    <w:t>沟</w:t>
                  </w:r>
                  <w:r>
                    <w:rPr>
                      <w:rFonts w:hint="eastAsia"/>
                      <w:color w:val="auto"/>
                      <w:highlight w:val="none"/>
                    </w:rPr>
                    <w:t>和集液池等措施，可满足防风、防雨、防晒和防止危险废物流失、扬散等措施</w:t>
                  </w:r>
                </w:p>
              </w:tc>
              <w:tc>
                <w:tcPr>
                  <w:tcW w:w="383" w:type="dxa"/>
                  <w:tcBorders>
                    <w:tl2br w:val="nil"/>
                    <w:tr2bl w:val="nil"/>
                  </w:tcBorders>
                  <w:vAlign w:val="center"/>
                </w:tcPr>
                <w:p w14:paraId="73E57BFE">
                  <w:pPr>
                    <w:pStyle w:val="24"/>
                    <w:spacing w:line="240" w:lineRule="auto"/>
                    <w:ind w:firstLine="0" w:firstLineChars="0"/>
                    <w:rPr>
                      <w:rFonts w:hint="eastAsia"/>
                      <w:color w:val="auto"/>
                      <w:highlight w:val="none"/>
                    </w:rPr>
                  </w:pPr>
                  <w:r>
                    <w:rPr>
                      <w:rFonts w:hint="eastAsia"/>
                      <w:color w:val="auto"/>
                      <w:highlight w:val="none"/>
                    </w:rPr>
                    <w:t>符合</w:t>
                  </w:r>
                </w:p>
              </w:tc>
            </w:tr>
            <w:tr w14:paraId="69D44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006F9B4E">
                  <w:pPr>
                    <w:pStyle w:val="24"/>
                    <w:spacing w:line="240" w:lineRule="auto"/>
                    <w:ind w:firstLine="0" w:firstLineChars="0"/>
                    <w:rPr>
                      <w:color w:val="auto"/>
                      <w:highlight w:val="none"/>
                    </w:rPr>
                  </w:pPr>
                </w:p>
              </w:tc>
              <w:tc>
                <w:tcPr>
                  <w:tcW w:w="3696" w:type="dxa"/>
                  <w:gridSpan w:val="2"/>
                  <w:tcBorders>
                    <w:tl2br w:val="nil"/>
                    <w:tr2bl w:val="nil"/>
                  </w:tcBorders>
                  <w:vAlign w:val="center"/>
                </w:tcPr>
                <w:p w14:paraId="390089BC">
                  <w:pPr>
                    <w:pStyle w:val="24"/>
                    <w:spacing w:line="240" w:lineRule="auto"/>
                    <w:ind w:firstLine="0" w:firstLineChars="0"/>
                    <w:rPr>
                      <w:rFonts w:hint="eastAsia"/>
                      <w:color w:val="auto"/>
                      <w:highlight w:val="none"/>
                    </w:rPr>
                  </w:pPr>
                  <w:r>
                    <w:rPr>
                      <w:rFonts w:hint="eastAsia"/>
                      <w:color w:val="auto"/>
                      <w:highlight w:val="none"/>
                    </w:rPr>
                    <w:t>贮存点贮存的危险废物应置于容器或包装物中，不应直接散堆</w:t>
                  </w:r>
                </w:p>
              </w:tc>
              <w:tc>
                <w:tcPr>
                  <w:tcW w:w="3730" w:type="dxa"/>
                  <w:tcBorders>
                    <w:tl2br w:val="nil"/>
                    <w:tr2bl w:val="nil"/>
                  </w:tcBorders>
                  <w:vAlign w:val="center"/>
                </w:tcPr>
                <w:p w14:paraId="50DD9ED7">
                  <w:pPr>
                    <w:pStyle w:val="24"/>
                    <w:spacing w:line="240" w:lineRule="auto"/>
                    <w:ind w:firstLine="0" w:firstLineChars="0"/>
                    <w:rPr>
                      <w:rFonts w:hint="eastAsia"/>
                      <w:color w:val="auto"/>
                      <w:highlight w:val="none"/>
                    </w:rPr>
                  </w:pPr>
                  <w:r>
                    <w:rPr>
                      <w:rFonts w:hint="eastAsia"/>
                      <w:color w:val="auto"/>
                      <w:highlight w:val="none"/>
                    </w:rPr>
                    <w:t>本项目废液压油、废空压机油、废汽轮机油、废变压器油、废润滑油、废油漆桶、废油桶采用</w:t>
                  </w:r>
                  <w:r>
                    <w:rPr>
                      <w:rFonts w:hint="eastAsia"/>
                      <w:color w:val="auto"/>
                      <w:highlight w:val="none"/>
                      <w:lang w:eastAsia="zh-CN"/>
                    </w:rPr>
                    <w:t>桶装</w:t>
                  </w:r>
                  <w:r>
                    <w:rPr>
                      <w:rFonts w:hint="eastAsia"/>
                      <w:color w:val="auto"/>
                      <w:highlight w:val="none"/>
                    </w:rPr>
                    <w:t>收集贮存</w:t>
                  </w:r>
                  <w:r>
                    <w:rPr>
                      <w:rFonts w:hint="eastAsia"/>
                      <w:color w:val="auto"/>
                      <w:highlight w:val="none"/>
                      <w:lang w:eastAsia="zh-CN"/>
                    </w:rPr>
                    <w:t>，</w:t>
                  </w:r>
                  <w:r>
                    <w:rPr>
                      <w:rFonts w:hint="eastAsia"/>
                      <w:color w:val="auto"/>
                      <w:highlight w:val="none"/>
                    </w:rPr>
                    <w:t>废蓄电池</w:t>
                  </w:r>
                  <w:r>
                    <w:rPr>
                      <w:rFonts w:hint="eastAsia"/>
                      <w:color w:val="auto"/>
                      <w:highlight w:val="none"/>
                      <w:lang w:eastAsia="zh-CN"/>
                    </w:rPr>
                    <w:t>、实验室废液及废试剂瓶</w:t>
                  </w:r>
                  <w:r>
                    <w:rPr>
                      <w:rFonts w:hint="eastAsia"/>
                      <w:color w:val="auto"/>
                      <w:highlight w:val="none"/>
                    </w:rPr>
                    <w:t>、废劳保用品</w:t>
                  </w:r>
                  <w:r>
                    <w:rPr>
                      <w:rFonts w:hint="eastAsia"/>
                      <w:color w:val="auto"/>
                      <w:highlight w:val="none"/>
                      <w:lang w:eastAsia="zh-CN"/>
                    </w:rPr>
                    <w:t>采用加盖</w:t>
                  </w:r>
                  <w:r>
                    <w:rPr>
                      <w:rFonts w:hint="eastAsia"/>
                      <w:color w:val="auto"/>
                      <w:highlight w:val="none"/>
                    </w:rPr>
                    <w:t>收集贮存在耐酸耐腐蚀箱内</w:t>
                  </w:r>
                  <w:r>
                    <w:rPr>
                      <w:rFonts w:hint="eastAsia"/>
                      <w:color w:val="auto"/>
                      <w:highlight w:val="none"/>
                      <w:lang w:eastAsia="zh-CN"/>
                    </w:rPr>
                    <w:t>等</w:t>
                  </w:r>
                  <w:r>
                    <w:rPr>
                      <w:rFonts w:hint="eastAsia"/>
                      <w:color w:val="auto"/>
                      <w:highlight w:val="none"/>
                    </w:rPr>
                    <w:t>形式贮存危险废物，不直接散堆</w:t>
                  </w:r>
                </w:p>
              </w:tc>
              <w:tc>
                <w:tcPr>
                  <w:tcW w:w="383" w:type="dxa"/>
                  <w:tcBorders>
                    <w:tl2br w:val="nil"/>
                    <w:tr2bl w:val="nil"/>
                  </w:tcBorders>
                  <w:vAlign w:val="center"/>
                </w:tcPr>
                <w:p w14:paraId="0A431B63">
                  <w:pPr>
                    <w:pStyle w:val="24"/>
                    <w:spacing w:line="240" w:lineRule="auto"/>
                    <w:ind w:firstLine="0" w:firstLineChars="0"/>
                    <w:rPr>
                      <w:rFonts w:hint="eastAsia"/>
                      <w:color w:val="auto"/>
                      <w:highlight w:val="none"/>
                    </w:rPr>
                  </w:pPr>
                  <w:r>
                    <w:rPr>
                      <w:rFonts w:hint="eastAsia"/>
                      <w:color w:val="auto"/>
                      <w:highlight w:val="none"/>
                    </w:rPr>
                    <w:t>符合</w:t>
                  </w:r>
                </w:p>
              </w:tc>
            </w:tr>
            <w:tr w14:paraId="4FC1C6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1A2194E3">
                  <w:pPr>
                    <w:pStyle w:val="24"/>
                    <w:spacing w:line="240" w:lineRule="auto"/>
                    <w:ind w:firstLine="0" w:firstLineChars="0"/>
                    <w:rPr>
                      <w:color w:val="auto"/>
                      <w:highlight w:val="none"/>
                    </w:rPr>
                  </w:pPr>
                </w:p>
              </w:tc>
              <w:tc>
                <w:tcPr>
                  <w:tcW w:w="3696" w:type="dxa"/>
                  <w:gridSpan w:val="2"/>
                  <w:tcBorders>
                    <w:tl2br w:val="nil"/>
                    <w:tr2bl w:val="nil"/>
                  </w:tcBorders>
                  <w:vAlign w:val="center"/>
                </w:tcPr>
                <w:p w14:paraId="30DDA423">
                  <w:pPr>
                    <w:pStyle w:val="24"/>
                    <w:spacing w:line="240" w:lineRule="auto"/>
                    <w:ind w:firstLine="0" w:firstLineChars="0"/>
                    <w:rPr>
                      <w:rFonts w:hint="eastAsia"/>
                      <w:color w:val="auto"/>
                      <w:highlight w:val="none"/>
                    </w:rPr>
                  </w:pPr>
                  <w:r>
                    <w:rPr>
                      <w:rFonts w:hint="eastAsia"/>
                      <w:color w:val="auto"/>
                      <w:highlight w:val="none"/>
                    </w:rPr>
                    <w:t>贮存点应根据危险废物的形态、物理化学性质、包装形式等，采取防渗、防漏等污染防治措施或采用具有相应功能的装置</w:t>
                  </w:r>
                </w:p>
              </w:tc>
              <w:tc>
                <w:tcPr>
                  <w:tcW w:w="3730" w:type="dxa"/>
                  <w:tcBorders>
                    <w:tl2br w:val="nil"/>
                    <w:tr2bl w:val="nil"/>
                  </w:tcBorders>
                  <w:vAlign w:val="center"/>
                </w:tcPr>
                <w:p w14:paraId="5E05C73C">
                  <w:pPr>
                    <w:pStyle w:val="24"/>
                    <w:spacing w:line="240" w:lineRule="auto"/>
                    <w:ind w:firstLine="0" w:firstLineChars="0"/>
                    <w:rPr>
                      <w:rFonts w:hint="eastAsia"/>
                      <w:color w:val="auto"/>
                      <w:highlight w:val="none"/>
                    </w:rPr>
                  </w:pPr>
                  <w:r>
                    <w:rPr>
                      <w:rFonts w:hint="eastAsia"/>
                      <w:color w:val="auto"/>
                      <w:highlight w:val="none"/>
                    </w:rPr>
                    <w:t>本项目废液压油、废空压机油、废汽轮机油、废变压器油、废润滑油、废油漆桶、废油桶采用</w:t>
                  </w:r>
                  <w:r>
                    <w:rPr>
                      <w:rFonts w:hint="eastAsia"/>
                      <w:color w:val="auto"/>
                      <w:highlight w:val="none"/>
                      <w:lang w:eastAsia="zh-CN"/>
                    </w:rPr>
                    <w:t>桶装</w:t>
                  </w:r>
                  <w:r>
                    <w:rPr>
                      <w:rFonts w:hint="eastAsia"/>
                      <w:color w:val="auto"/>
                      <w:highlight w:val="none"/>
                    </w:rPr>
                    <w:t>收集贮存</w:t>
                  </w:r>
                  <w:r>
                    <w:rPr>
                      <w:rFonts w:hint="eastAsia"/>
                      <w:color w:val="auto"/>
                      <w:highlight w:val="none"/>
                      <w:lang w:eastAsia="zh-CN"/>
                    </w:rPr>
                    <w:t>，</w:t>
                  </w:r>
                  <w:r>
                    <w:rPr>
                      <w:rFonts w:hint="eastAsia"/>
                      <w:color w:val="auto"/>
                      <w:highlight w:val="none"/>
                    </w:rPr>
                    <w:t>废蓄电池</w:t>
                  </w:r>
                  <w:r>
                    <w:rPr>
                      <w:rFonts w:hint="eastAsia"/>
                      <w:color w:val="auto"/>
                      <w:highlight w:val="none"/>
                      <w:lang w:eastAsia="zh-CN"/>
                    </w:rPr>
                    <w:t>、实验室废液及废试剂瓶</w:t>
                  </w:r>
                  <w:r>
                    <w:rPr>
                      <w:rFonts w:hint="eastAsia"/>
                      <w:color w:val="auto"/>
                      <w:highlight w:val="none"/>
                    </w:rPr>
                    <w:t>、废劳保用品</w:t>
                  </w:r>
                  <w:r>
                    <w:rPr>
                      <w:rFonts w:hint="eastAsia"/>
                      <w:color w:val="auto"/>
                      <w:highlight w:val="none"/>
                      <w:lang w:eastAsia="zh-CN"/>
                    </w:rPr>
                    <w:t>采用加盖</w:t>
                  </w:r>
                  <w:r>
                    <w:rPr>
                      <w:rFonts w:hint="eastAsia"/>
                      <w:color w:val="auto"/>
                      <w:highlight w:val="none"/>
                    </w:rPr>
                    <w:t>收集贮存在耐酸耐腐蚀箱内</w:t>
                  </w:r>
                  <w:r>
                    <w:rPr>
                      <w:rFonts w:hint="eastAsia"/>
                      <w:color w:val="auto"/>
                      <w:highlight w:val="none"/>
                      <w:lang w:eastAsia="zh-CN"/>
                    </w:rPr>
                    <w:t>等</w:t>
                  </w:r>
                  <w:r>
                    <w:rPr>
                      <w:rFonts w:hint="eastAsia"/>
                      <w:color w:val="auto"/>
                      <w:highlight w:val="none"/>
                    </w:rPr>
                    <w:t>形式贮存危险废物，危险废物贮存点内地面及裙脚进行防腐防渗处理，并设置集液设施，可达到防渗、防漏及防止流失等污染防治措施要求</w:t>
                  </w:r>
                </w:p>
              </w:tc>
              <w:tc>
                <w:tcPr>
                  <w:tcW w:w="383" w:type="dxa"/>
                  <w:tcBorders>
                    <w:tl2br w:val="nil"/>
                    <w:tr2bl w:val="nil"/>
                  </w:tcBorders>
                  <w:vAlign w:val="center"/>
                </w:tcPr>
                <w:p w14:paraId="3720FE4D">
                  <w:pPr>
                    <w:pStyle w:val="24"/>
                    <w:spacing w:line="240" w:lineRule="auto"/>
                    <w:ind w:firstLine="0" w:firstLineChars="0"/>
                    <w:rPr>
                      <w:rFonts w:hint="eastAsia"/>
                      <w:color w:val="auto"/>
                      <w:highlight w:val="none"/>
                    </w:rPr>
                  </w:pPr>
                  <w:r>
                    <w:rPr>
                      <w:rFonts w:hint="eastAsia"/>
                      <w:color w:val="auto"/>
                      <w:highlight w:val="none"/>
                    </w:rPr>
                    <w:t>符合</w:t>
                  </w:r>
                </w:p>
              </w:tc>
            </w:tr>
            <w:tr w14:paraId="41DFDF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2" w:type="dxa"/>
                  <w:vMerge w:val="continue"/>
                  <w:tcBorders>
                    <w:tl2br w:val="nil"/>
                    <w:tr2bl w:val="nil"/>
                  </w:tcBorders>
                  <w:vAlign w:val="center"/>
                </w:tcPr>
                <w:p w14:paraId="56F60E77">
                  <w:pPr>
                    <w:pStyle w:val="24"/>
                    <w:spacing w:line="240" w:lineRule="auto"/>
                    <w:ind w:firstLine="0" w:firstLineChars="0"/>
                    <w:rPr>
                      <w:color w:val="auto"/>
                      <w:highlight w:val="none"/>
                    </w:rPr>
                  </w:pPr>
                </w:p>
              </w:tc>
              <w:tc>
                <w:tcPr>
                  <w:tcW w:w="3696" w:type="dxa"/>
                  <w:gridSpan w:val="2"/>
                  <w:tcBorders>
                    <w:tl2br w:val="nil"/>
                    <w:tr2bl w:val="nil"/>
                  </w:tcBorders>
                  <w:vAlign w:val="center"/>
                </w:tcPr>
                <w:p w14:paraId="3B9FF1F9">
                  <w:pPr>
                    <w:pStyle w:val="24"/>
                    <w:spacing w:line="240" w:lineRule="auto"/>
                    <w:ind w:firstLine="0" w:firstLineChars="0"/>
                    <w:rPr>
                      <w:rFonts w:hint="eastAsia"/>
                      <w:color w:val="auto"/>
                      <w:highlight w:val="none"/>
                    </w:rPr>
                  </w:pPr>
                  <w:r>
                    <w:rPr>
                      <w:rFonts w:hint="eastAsia"/>
                      <w:color w:val="auto"/>
                      <w:highlight w:val="none"/>
                    </w:rPr>
                    <w:t>贮存点应及时清运贮存的危险废物，实时贮存量不应超过3吨</w:t>
                  </w:r>
                </w:p>
              </w:tc>
              <w:tc>
                <w:tcPr>
                  <w:tcW w:w="3730" w:type="dxa"/>
                  <w:tcBorders>
                    <w:tl2br w:val="nil"/>
                    <w:tr2bl w:val="nil"/>
                  </w:tcBorders>
                  <w:vAlign w:val="center"/>
                </w:tcPr>
                <w:p w14:paraId="18B909DA">
                  <w:pPr>
                    <w:pStyle w:val="24"/>
                    <w:spacing w:line="240" w:lineRule="auto"/>
                    <w:ind w:firstLine="0" w:firstLineChars="0"/>
                    <w:rPr>
                      <w:rFonts w:hint="eastAsia"/>
                      <w:color w:val="auto"/>
                      <w:highlight w:val="none"/>
                    </w:rPr>
                  </w:pPr>
                  <w:r>
                    <w:rPr>
                      <w:rFonts w:hint="eastAsia"/>
                      <w:color w:val="auto"/>
                      <w:highlight w:val="none"/>
                    </w:rPr>
                    <w:t>本项目危险废物实时贮存量不超过3吨</w:t>
                  </w:r>
                </w:p>
              </w:tc>
              <w:tc>
                <w:tcPr>
                  <w:tcW w:w="383" w:type="dxa"/>
                  <w:tcBorders>
                    <w:tl2br w:val="nil"/>
                    <w:tr2bl w:val="nil"/>
                  </w:tcBorders>
                  <w:vAlign w:val="center"/>
                </w:tcPr>
                <w:p w14:paraId="6DADB0D3">
                  <w:pPr>
                    <w:pStyle w:val="24"/>
                    <w:spacing w:line="240" w:lineRule="auto"/>
                    <w:ind w:firstLine="0" w:firstLineChars="0"/>
                    <w:rPr>
                      <w:rFonts w:hint="eastAsia"/>
                      <w:color w:val="auto"/>
                      <w:highlight w:val="none"/>
                    </w:rPr>
                  </w:pPr>
                  <w:r>
                    <w:rPr>
                      <w:rFonts w:hint="eastAsia"/>
                      <w:color w:val="auto"/>
                      <w:highlight w:val="none"/>
                    </w:rPr>
                    <w:t>符合</w:t>
                  </w:r>
                </w:p>
              </w:tc>
            </w:tr>
          </w:tbl>
          <w:p w14:paraId="77F2863F">
            <w:pPr>
              <w:bidi w:val="0"/>
              <w:rPr>
                <w:b w:val="0"/>
                <w:bCs w:val="0"/>
                <w:color w:val="auto"/>
                <w:highlight w:val="none"/>
              </w:rPr>
            </w:pPr>
            <w:r>
              <w:rPr>
                <w:rFonts w:hint="eastAsia"/>
                <w:b w:val="0"/>
                <w:bCs w:val="0"/>
                <w:color w:val="auto"/>
                <w:highlight w:val="none"/>
              </w:rPr>
              <w:t>本项目与《危险废物贮存污染控制标准》（GB18597-2023）中相关内容符合。</w:t>
            </w:r>
          </w:p>
          <w:p w14:paraId="2B73AFBB">
            <w:pPr>
              <w:bidi w:val="0"/>
              <w:rPr>
                <w:rFonts w:hint="eastAsia"/>
                <w:b/>
                <w:bCs/>
                <w:color w:val="auto"/>
                <w:highlight w:val="none"/>
              </w:rPr>
            </w:pPr>
            <w:r>
              <w:rPr>
                <w:rFonts w:hint="eastAsia"/>
                <w:b/>
                <w:bCs/>
                <w:color w:val="auto"/>
                <w:highlight w:val="none"/>
              </w:rPr>
              <w:t>5.</w:t>
            </w:r>
            <w:r>
              <w:rPr>
                <w:rFonts w:hint="eastAsia"/>
                <w:b/>
                <w:bCs/>
                <w:color w:val="auto"/>
                <w:highlight w:val="none"/>
                <w:lang w:val="en-US" w:eastAsia="zh-CN"/>
              </w:rPr>
              <w:t>4</w:t>
            </w:r>
            <w:r>
              <w:rPr>
                <w:rFonts w:hint="eastAsia"/>
                <w:b/>
                <w:bCs/>
                <w:color w:val="auto"/>
                <w:highlight w:val="none"/>
              </w:rPr>
              <w:t>本项目与《危险废物转移管理办法》（部令第23号）的符合性分析</w:t>
            </w:r>
          </w:p>
          <w:p w14:paraId="7395DA72">
            <w:pPr>
              <w:pStyle w:val="25"/>
              <w:bidi w:val="0"/>
              <w:rPr>
                <w:color w:val="auto"/>
                <w:highlight w:val="none"/>
              </w:rPr>
            </w:pPr>
            <w:r>
              <w:rPr>
                <w:color w:val="auto"/>
                <w:highlight w:val="none"/>
              </w:rPr>
              <w:t>与</w:t>
            </w:r>
            <w:r>
              <w:rPr>
                <w:rFonts w:hint="eastAsia"/>
                <w:color w:val="auto"/>
                <w:highlight w:val="none"/>
              </w:rPr>
              <w:t>《危险废物转移管理办法》（部令第23号）</w:t>
            </w:r>
            <w:r>
              <w:rPr>
                <w:color w:val="auto"/>
                <w:highlight w:val="none"/>
              </w:rPr>
              <w:t>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2"/>
              <w:gridCol w:w="3762"/>
              <w:gridCol w:w="3387"/>
              <w:gridCol w:w="689"/>
            </w:tblGrid>
            <w:tr w14:paraId="0FDD13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 w:type="pct"/>
                  <w:tcBorders>
                    <w:tl2br w:val="nil"/>
                    <w:tr2bl w:val="nil"/>
                  </w:tcBorders>
                  <w:vAlign w:val="center"/>
                </w:tcPr>
                <w:p w14:paraId="29FAE9B8">
                  <w:pPr>
                    <w:pStyle w:val="27"/>
                    <w:spacing w:line="240" w:lineRule="auto"/>
                    <w:rPr>
                      <w:rFonts w:hint="default"/>
                      <w:color w:val="auto"/>
                      <w:highlight w:val="none"/>
                    </w:rPr>
                  </w:pPr>
                  <w:r>
                    <w:rPr>
                      <w:rFonts w:eastAsia="宋体"/>
                      <w:b/>
                      <w:color w:val="auto"/>
                      <w:sz w:val="21"/>
                      <w:highlight w:val="none"/>
                    </w:rPr>
                    <w:t>序号</w:t>
                  </w:r>
                </w:p>
              </w:tc>
              <w:tc>
                <w:tcPr>
                  <w:tcW w:w="2302" w:type="pct"/>
                  <w:tcBorders>
                    <w:tl2br w:val="nil"/>
                    <w:tr2bl w:val="nil"/>
                  </w:tcBorders>
                  <w:vAlign w:val="center"/>
                </w:tcPr>
                <w:p w14:paraId="41804080">
                  <w:pPr>
                    <w:pStyle w:val="27"/>
                    <w:spacing w:line="240" w:lineRule="auto"/>
                    <w:rPr>
                      <w:rFonts w:hint="default"/>
                      <w:color w:val="auto"/>
                      <w:highlight w:val="none"/>
                    </w:rPr>
                  </w:pPr>
                  <w:r>
                    <w:rPr>
                      <w:rFonts w:eastAsia="宋体"/>
                      <w:b/>
                      <w:color w:val="auto"/>
                      <w:sz w:val="21"/>
                      <w:highlight w:val="none"/>
                    </w:rPr>
                    <w:t>分析内容</w:t>
                  </w:r>
                </w:p>
              </w:tc>
              <w:tc>
                <w:tcPr>
                  <w:tcW w:w="2072" w:type="pct"/>
                  <w:tcBorders>
                    <w:tl2br w:val="nil"/>
                    <w:tr2bl w:val="nil"/>
                  </w:tcBorders>
                  <w:vAlign w:val="center"/>
                </w:tcPr>
                <w:p w14:paraId="728A272F">
                  <w:pPr>
                    <w:pStyle w:val="27"/>
                    <w:spacing w:line="240" w:lineRule="auto"/>
                    <w:rPr>
                      <w:rFonts w:hint="default"/>
                      <w:color w:val="auto"/>
                      <w:highlight w:val="none"/>
                    </w:rPr>
                  </w:pPr>
                  <w:r>
                    <w:rPr>
                      <w:rFonts w:eastAsia="宋体"/>
                      <w:b/>
                      <w:color w:val="auto"/>
                      <w:sz w:val="21"/>
                      <w:highlight w:val="none"/>
                    </w:rPr>
                    <w:t>本项目情况</w:t>
                  </w:r>
                </w:p>
              </w:tc>
              <w:tc>
                <w:tcPr>
                  <w:tcW w:w="421" w:type="pct"/>
                  <w:tcBorders>
                    <w:tl2br w:val="nil"/>
                    <w:tr2bl w:val="nil"/>
                  </w:tcBorders>
                  <w:vAlign w:val="center"/>
                </w:tcPr>
                <w:p w14:paraId="3CFAFA5C">
                  <w:pPr>
                    <w:pStyle w:val="27"/>
                    <w:spacing w:line="240" w:lineRule="auto"/>
                    <w:rPr>
                      <w:rFonts w:hint="default"/>
                      <w:color w:val="auto"/>
                      <w:highlight w:val="none"/>
                    </w:rPr>
                  </w:pPr>
                  <w:r>
                    <w:rPr>
                      <w:rFonts w:eastAsia="宋体"/>
                      <w:b/>
                      <w:color w:val="auto"/>
                      <w:sz w:val="21"/>
                      <w:highlight w:val="none"/>
                    </w:rPr>
                    <w:t>分析结果</w:t>
                  </w:r>
                </w:p>
              </w:tc>
            </w:tr>
            <w:tr w14:paraId="53A8C2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 w:type="pct"/>
                  <w:tcBorders>
                    <w:tl2br w:val="nil"/>
                    <w:tr2bl w:val="nil"/>
                  </w:tcBorders>
                  <w:vAlign w:val="center"/>
                </w:tcPr>
                <w:p w14:paraId="2BCBD601">
                  <w:pPr>
                    <w:pStyle w:val="24"/>
                    <w:spacing w:line="240" w:lineRule="auto"/>
                    <w:rPr>
                      <w:bCs/>
                      <w:color w:val="auto"/>
                      <w:highlight w:val="none"/>
                    </w:rPr>
                  </w:pPr>
                  <w:r>
                    <w:rPr>
                      <w:rFonts w:hint="eastAsia"/>
                      <w:bCs/>
                      <w:color w:val="auto"/>
                      <w:highlight w:val="none"/>
                    </w:rPr>
                    <w:t>1</w:t>
                  </w:r>
                </w:p>
              </w:tc>
              <w:tc>
                <w:tcPr>
                  <w:tcW w:w="2302" w:type="pct"/>
                  <w:tcBorders>
                    <w:tl2br w:val="nil"/>
                    <w:tr2bl w:val="nil"/>
                  </w:tcBorders>
                  <w:vAlign w:val="center"/>
                </w:tcPr>
                <w:p w14:paraId="23CAC869">
                  <w:pPr>
                    <w:pStyle w:val="24"/>
                    <w:spacing w:line="240" w:lineRule="auto"/>
                    <w:rPr>
                      <w:bCs/>
                      <w:color w:val="auto"/>
                      <w:highlight w:val="none"/>
                    </w:rPr>
                  </w:pPr>
                  <w:r>
                    <w:rPr>
                      <w:rFonts w:hint="eastAsia"/>
                      <w:bCs/>
                      <w:color w:val="auto"/>
                      <w:highlight w:val="none"/>
                    </w:rPr>
                    <w:t>危险废物转移应当遵循就近原则</w:t>
                  </w:r>
                </w:p>
              </w:tc>
              <w:tc>
                <w:tcPr>
                  <w:tcW w:w="2072" w:type="pct"/>
                  <w:tcBorders>
                    <w:tl2br w:val="nil"/>
                    <w:tr2bl w:val="nil"/>
                  </w:tcBorders>
                  <w:vAlign w:val="center"/>
                </w:tcPr>
                <w:p w14:paraId="79B9A56B">
                  <w:pPr>
                    <w:pStyle w:val="24"/>
                    <w:spacing w:line="240" w:lineRule="auto"/>
                    <w:rPr>
                      <w:bCs/>
                      <w:color w:val="auto"/>
                      <w:highlight w:val="none"/>
                    </w:rPr>
                  </w:pPr>
                  <w:r>
                    <w:rPr>
                      <w:rFonts w:hint="eastAsia"/>
                      <w:bCs/>
                      <w:color w:val="auto"/>
                      <w:highlight w:val="none"/>
                    </w:rPr>
                    <w:t>本项目危险废物转移遵循就近原则</w:t>
                  </w:r>
                </w:p>
              </w:tc>
              <w:tc>
                <w:tcPr>
                  <w:tcW w:w="421" w:type="pct"/>
                  <w:tcBorders>
                    <w:tl2br w:val="nil"/>
                    <w:tr2bl w:val="nil"/>
                  </w:tcBorders>
                  <w:vAlign w:val="center"/>
                </w:tcPr>
                <w:p w14:paraId="6A7BBB40">
                  <w:pPr>
                    <w:pStyle w:val="24"/>
                    <w:spacing w:line="240" w:lineRule="auto"/>
                    <w:rPr>
                      <w:bCs/>
                      <w:color w:val="auto"/>
                      <w:highlight w:val="none"/>
                    </w:rPr>
                  </w:pPr>
                  <w:r>
                    <w:rPr>
                      <w:rFonts w:hint="eastAsia"/>
                      <w:bCs/>
                      <w:color w:val="auto"/>
                      <w:highlight w:val="none"/>
                    </w:rPr>
                    <w:t>符合</w:t>
                  </w:r>
                </w:p>
              </w:tc>
            </w:tr>
            <w:tr w14:paraId="1FF539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 w:type="pct"/>
                  <w:tcBorders>
                    <w:tl2br w:val="nil"/>
                    <w:tr2bl w:val="nil"/>
                  </w:tcBorders>
                  <w:vAlign w:val="center"/>
                </w:tcPr>
                <w:p w14:paraId="51A7A54D">
                  <w:pPr>
                    <w:pStyle w:val="24"/>
                    <w:spacing w:line="240" w:lineRule="auto"/>
                    <w:rPr>
                      <w:bCs/>
                      <w:color w:val="auto"/>
                      <w:highlight w:val="none"/>
                    </w:rPr>
                  </w:pPr>
                  <w:r>
                    <w:rPr>
                      <w:rFonts w:hint="eastAsia"/>
                      <w:bCs/>
                      <w:color w:val="auto"/>
                      <w:highlight w:val="none"/>
                    </w:rPr>
                    <w:t>2</w:t>
                  </w:r>
                </w:p>
              </w:tc>
              <w:tc>
                <w:tcPr>
                  <w:tcW w:w="2302" w:type="pct"/>
                  <w:tcBorders>
                    <w:tl2br w:val="nil"/>
                    <w:tr2bl w:val="nil"/>
                  </w:tcBorders>
                  <w:vAlign w:val="center"/>
                </w:tcPr>
                <w:p w14:paraId="0212EFCB">
                  <w:pPr>
                    <w:pStyle w:val="24"/>
                    <w:spacing w:line="240" w:lineRule="auto"/>
                    <w:rPr>
                      <w:bCs/>
                      <w:color w:val="auto"/>
                      <w:highlight w:val="none"/>
                    </w:rPr>
                  </w:pPr>
                  <w:r>
                    <w:rPr>
                      <w:rFonts w:hint="eastAsia"/>
                      <w:bCs/>
                      <w:color w:val="auto"/>
                      <w:highlight w:val="none"/>
                    </w:rPr>
                    <w:t>转移危险废物的，应当执行危险废物转移联单制度，法律法规另有规定的除外。危险废物转移联单的格式和内容由生态环境部另行制定</w:t>
                  </w:r>
                </w:p>
              </w:tc>
              <w:tc>
                <w:tcPr>
                  <w:tcW w:w="2072" w:type="pct"/>
                  <w:tcBorders>
                    <w:tl2br w:val="nil"/>
                    <w:tr2bl w:val="nil"/>
                  </w:tcBorders>
                  <w:vAlign w:val="center"/>
                </w:tcPr>
                <w:p w14:paraId="6B600E71">
                  <w:pPr>
                    <w:pStyle w:val="24"/>
                    <w:spacing w:line="240" w:lineRule="auto"/>
                    <w:rPr>
                      <w:bCs/>
                      <w:color w:val="auto"/>
                      <w:highlight w:val="none"/>
                    </w:rPr>
                  </w:pPr>
                  <w:r>
                    <w:rPr>
                      <w:rFonts w:hint="eastAsia"/>
                      <w:bCs/>
                      <w:color w:val="auto"/>
                      <w:highlight w:val="none"/>
                    </w:rPr>
                    <w:t>本项目按规定执行危险废物转移联单制度</w:t>
                  </w:r>
                </w:p>
              </w:tc>
              <w:tc>
                <w:tcPr>
                  <w:tcW w:w="421" w:type="pct"/>
                  <w:tcBorders>
                    <w:tl2br w:val="nil"/>
                    <w:tr2bl w:val="nil"/>
                  </w:tcBorders>
                  <w:vAlign w:val="center"/>
                </w:tcPr>
                <w:p w14:paraId="0AE22248">
                  <w:pPr>
                    <w:pStyle w:val="24"/>
                    <w:spacing w:line="240" w:lineRule="auto"/>
                    <w:rPr>
                      <w:bCs/>
                      <w:color w:val="auto"/>
                      <w:highlight w:val="none"/>
                    </w:rPr>
                  </w:pPr>
                  <w:r>
                    <w:rPr>
                      <w:rFonts w:hint="eastAsia"/>
                      <w:bCs/>
                      <w:color w:val="auto"/>
                      <w:highlight w:val="none"/>
                    </w:rPr>
                    <w:t>符合</w:t>
                  </w:r>
                </w:p>
              </w:tc>
            </w:tr>
            <w:tr w14:paraId="2AD53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 w:type="pct"/>
                  <w:tcBorders>
                    <w:tl2br w:val="nil"/>
                    <w:tr2bl w:val="nil"/>
                  </w:tcBorders>
                  <w:vAlign w:val="center"/>
                </w:tcPr>
                <w:p w14:paraId="7F2A3F61">
                  <w:pPr>
                    <w:pStyle w:val="24"/>
                    <w:spacing w:line="240" w:lineRule="auto"/>
                    <w:rPr>
                      <w:bCs/>
                      <w:color w:val="auto"/>
                      <w:highlight w:val="none"/>
                    </w:rPr>
                  </w:pPr>
                  <w:r>
                    <w:rPr>
                      <w:rFonts w:hint="eastAsia"/>
                      <w:bCs/>
                      <w:color w:val="auto"/>
                      <w:highlight w:val="none"/>
                    </w:rPr>
                    <w:t>3</w:t>
                  </w:r>
                </w:p>
              </w:tc>
              <w:tc>
                <w:tcPr>
                  <w:tcW w:w="2302" w:type="pct"/>
                  <w:tcBorders>
                    <w:tl2br w:val="nil"/>
                    <w:tr2bl w:val="nil"/>
                  </w:tcBorders>
                  <w:vAlign w:val="center"/>
                </w:tcPr>
                <w:p w14:paraId="277562E8">
                  <w:pPr>
                    <w:pStyle w:val="24"/>
                    <w:spacing w:line="240" w:lineRule="auto"/>
                    <w:rPr>
                      <w:bCs/>
                      <w:color w:val="auto"/>
                      <w:highlight w:val="none"/>
                    </w:rPr>
                  </w:pPr>
                  <w:r>
                    <w:rPr>
                      <w:rFonts w:hint="eastAsia"/>
                      <w:bCs/>
                      <w:color w:val="auto"/>
                      <w:highlight w:val="none"/>
                    </w:rPr>
                    <w:t>转移危险废物的，应当通过国家危险废物信息管理系统（以下简称信息系统）填写、运行危险废物电子转移联单，并依照国家有关规定公开危险废物转移相关污染环境防治信息</w:t>
                  </w:r>
                </w:p>
              </w:tc>
              <w:tc>
                <w:tcPr>
                  <w:tcW w:w="2072" w:type="pct"/>
                  <w:tcBorders>
                    <w:tl2br w:val="nil"/>
                    <w:tr2bl w:val="nil"/>
                  </w:tcBorders>
                  <w:vAlign w:val="center"/>
                </w:tcPr>
                <w:p w14:paraId="78CB35D7">
                  <w:pPr>
                    <w:pStyle w:val="24"/>
                    <w:spacing w:line="240" w:lineRule="auto"/>
                    <w:rPr>
                      <w:bCs/>
                      <w:color w:val="auto"/>
                      <w:highlight w:val="none"/>
                    </w:rPr>
                  </w:pPr>
                  <w:r>
                    <w:rPr>
                      <w:rFonts w:hint="eastAsia"/>
                      <w:bCs/>
                      <w:color w:val="auto"/>
                      <w:highlight w:val="none"/>
                    </w:rPr>
                    <w:t>本项目按规定通过国家危险废物信息管理系统填写、运行危险废物电子转移联单，并依照国家有关规定公开危险废物转移相关污染环境防治信息</w:t>
                  </w:r>
                </w:p>
              </w:tc>
              <w:tc>
                <w:tcPr>
                  <w:tcW w:w="421" w:type="pct"/>
                  <w:tcBorders>
                    <w:tl2br w:val="nil"/>
                    <w:tr2bl w:val="nil"/>
                  </w:tcBorders>
                  <w:vAlign w:val="center"/>
                </w:tcPr>
                <w:p w14:paraId="007EA2C4">
                  <w:pPr>
                    <w:pStyle w:val="24"/>
                    <w:spacing w:line="240" w:lineRule="auto"/>
                    <w:rPr>
                      <w:bCs/>
                      <w:color w:val="auto"/>
                      <w:highlight w:val="none"/>
                    </w:rPr>
                  </w:pPr>
                  <w:r>
                    <w:rPr>
                      <w:rFonts w:hint="eastAsia"/>
                      <w:bCs/>
                      <w:color w:val="auto"/>
                      <w:highlight w:val="none"/>
                    </w:rPr>
                    <w:t>符合</w:t>
                  </w:r>
                </w:p>
              </w:tc>
            </w:tr>
          </w:tbl>
          <w:p w14:paraId="1DB6FC33">
            <w:pPr>
              <w:bidi w:val="0"/>
              <w:rPr>
                <w:color w:val="auto"/>
                <w:highlight w:val="none"/>
              </w:rPr>
            </w:pPr>
            <w:r>
              <w:rPr>
                <w:rFonts w:hint="eastAsia"/>
                <w:color w:val="auto"/>
                <w:highlight w:val="none"/>
              </w:rPr>
              <w:t>本项目与《危险废物转移管理办法》（部令 第23号）中相关内容符合。</w:t>
            </w:r>
          </w:p>
          <w:p w14:paraId="1BF23238">
            <w:pPr>
              <w:bidi w:val="0"/>
              <w:ind w:firstLine="482"/>
              <w:rPr>
                <w:rFonts w:hint="eastAsia"/>
                <w:b/>
                <w:bCs/>
                <w:color w:val="auto"/>
                <w:highlight w:val="none"/>
                <w:lang w:val="en-US" w:eastAsia="zh-CN"/>
              </w:rPr>
            </w:pPr>
            <w:r>
              <w:rPr>
                <w:rFonts w:hint="eastAsia"/>
                <w:b/>
                <w:bCs/>
                <w:color w:val="auto"/>
                <w:highlight w:val="none"/>
              </w:rPr>
              <w:t>5.</w:t>
            </w:r>
            <w:r>
              <w:rPr>
                <w:rFonts w:hint="eastAsia"/>
                <w:b/>
                <w:bCs/>
                <w:color w:val="auto"/>
                <w:highlight w:val="none"/>
                <w:lang w:val="en-US" w:eastAsia="zh-CN"/>
              </w:rPr>
              <w:t>5与《“十四五”全国危险废物规范化环境管理评估工作方案》（环办固体〔2021〕20号）符合性分析</w:t>
            </w:r>
          </w:p>
          <w:p w14:paraId="1CCE2995">
            <w:pPr>
              <w:pStyle w:val="25"/>
              <w:bidi w:val="0"/>
              <w:rPr>
                <w:color w:val="auto"/>
                <w:highlight w:val="none"/>
              </w:rPr>
            </w:pPr>
            <w:r>
              <w:rPr>
                <w:rFonts w:hint="eastAsia"/>
                <w:b/>
                <w:bCs/>
                <w:color w:val="auto"/>
                <w:highlight w:val="none"/>
                <w:lang w:val="en-US" w:eastAsia="zh-CN"/>
              </w:rPr>
              <w:t>与《“十四五”全国危险废物规范化环境管理评估工作方案》（环办固体〔2021〕20号）符合性分析</w:t>
            </w:r>
          </w:p>
          <w:tbl>
            <w:tblPr>
              <w:tblStyle w:val="16"/>
              <w:tblW w:w="817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2"/>
              <w:gridCol w:w="4279"/>
              <w:gridCol w:w="2870"/>
              <w:gridCol w:w="689"/>
            </w:tblGrid>
            <w:tr w14:paraId="5032ED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 w:type="pct"/>
                  <w:tcBorders>
                    <w:tl2br w:val="nil"/>
                    <w:tr2bl w:val="nil"/>
                  </w:tcBorders>
                  <w:vAlign w:val="center"/>
                </w:tcPr>
                <w:p w14:paraId="55641F4C">
                  <w:pPr>
                    <w:pStyle w:val="27"/>
                    <w:spacing w:line="240" w:lineRule="auto"/>
                    <w:rPr>
                      <w:rFonts w:hint="default" w:eastAsia="宋体"/>
                      <w:color w:val="auto"/>
                      <w:highlight w:val="none"/>
                    </w:rPr>
                  </w:pPr>
                  <w:r>
                    <w:rPr>
                      <w:rFonts w:eastAsia="宋体"/>
                      <w:b/>
                      <w:color w:val="auto"/>
                      <w:sz w:val="21"/>
                      <w:highlight w:val="none"/>
                    </w:rPr>
                    <w:t>序号</w:t>
                  </w:r>
                </w:p>
              </w:tc>
              <w:tc>
                <w:tcPr>
                  <w:tcW w:w="2618" w:type="pct"/>
                  <w:tcBorders>
                    <w:tl2br w:val="nil"/>
                    <w:tr2bl w:val="nil"/>
                  </w:tcBorders>
                  <w:vAlign w:val="center"/>
                </w:tcPr>
                <w:p w14:paraId="3A6B5712">
                  <w:pPr>
                    <w:pStyle w:val="27"/>
                    <w:spacing w:line="240" w:lineRule="auto"/>
                    <w:rPr>
                      <w:rFonts w:hint="default" w:eastAsia="宋体"/>
                      <w:color w:val="auto"/>
                      <w:highlight w:val="none"/>
                    </w:rPr>
                  </w:pPr>
                  <w:r>
                    <w:rPr>
                      <w:rFonts w:eastAsia="宋体"/>
                      <w:b/>
                      <w:color w:val="auto"/>
                      <w:sz w:val="21"/>
                      <w:highlight w:val="none"/>
                    </w:rPr>
                    <w:t>分析内容</w:t>
                  </w:r>
                </w:p>
              </w:tc>
              <w:tc>
                <w:tcPr>
                  <w:tcW w:w="1756" w:type="pct"/>
                  <w:tcBorders>
                    <w:tl2br w:val="nil"/>
                    <w:tr2bl w:val="nil"/>
                  </w:tcBorders>
                  <w:vAlign w:val="center"/>
                </w:tcPr>
                <w:p w14:paraId="3D0C8345">
                  <w:pPr>
                    <w:pStyle w:val="27"/>
                    <w:spacing w:line="240" w:lineRule="auto"/>
                    <w:rPr>
                      <w:rFonts w:hint="default" w:eastAsia="宋体"/>
                      <w:color w:val="auto"/>
                      <w:highlight w:val="none"/>
                    </w:rPr>
                  </w:pPr>
                  <w:r>
                    <w:rPr>
                      <w:rFonts w:eastAsia="宋体"/>
                      <w:b/>
                      <w:color w:val="auto"/>
                      <w:sz w:val="21"/>
                      <w:highlight w:val="none"/>
                    </w:rPr>
                    <w:t>本项目情况</w:t>
                  </w:r>
                </w:p>
              </w:tc>
              <w:tc>
                <w:tcPr>
                  <w:tcW w:w="421" w:type="pct"/>
                  <w:tcBorders>
                    <w:tl2br w:val="nil"/>
                    <w:tr2bl w:val="nil"/>
                  </w:tcBorders>
                  <w:vAlign w:val="center"/>
                </w:tcPr>
                <w:p w14:paraId="3364891A">
                  <w:pPr>
                    <w:pStyle w:val="27"/>
                    <w:spacing w:line="240" w:lineRule="auto"/>
                    <w:rPr>
                      <w:rFonts w:hint="default" w:eastAsia="宋体"/>
                      <w:color w:val="auto"/>
                      <w:highlight w:val="none"/>
                    </w:rPr>
                  </w:pPr>
                  <w:r>
                    <w:rPr>
                      <w:rFonts w:eastAsia="宋体"/>
                      <w:b/>
                      <w:color w:val="auto"/>
                      <w:sz w:val="21"/>
                      <w:highlight w:val="none"/>
                    </w:rPr>
                    <w:t>分析结果</w:t>
                  </w:r>
                </w:p>
              </w:tc>
            </w:tr>
            <w:tr w14:paraId="14E7F3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 w:type="pct"/>
                  <w:tcBorders>
                    <w:tl2br w:val="nil"/>
                    <w:tr2bl w:val="nil"/>
                  </w:tcBorders>
                  <w:vAlign w:val="center"/>
                </w:tcPr>
                <w:p w14:paraId="08591DBB">
                  <w:pPr>
                    <w:spacing w:before="0" w:line="240" w:lineRule="auto"/>
                    <w:ind w:left="0" w:leftChars="0" w:firstLine="0" w:firstLineChars="0"/>
                    <w:jc w:val="center"/>
                    <w:rPr>
                      <w:rFonts w:hint="eastAsia" w:eastAsiaTheme="minorEastAsia"/>
                      <w:bCs/>
                      <w:color w:val="auto"/>
                      <w:sz w:val="21"/>
                      <w:szCs w:val="21"/>
                      <w:highlight w:val="none"/>
                    </w:rPr>
                  </w:pPr>
                  <w:r>
                    <w:rPr>
                      <w:rFonts w:hint="eastAsia" w:ascii="Times New Roman" w:hAnsi="Times New Roman" w:cs="Times New Roman" w:eastAsiaTheme="minorEastAsia"/>
                      <w:bCs/>
                      <w:color w:val="auto"/>
                      <w:position w:val="0"/>
                      <w:sz w:val="21"/>
                      <w:szCs w:val="21"/>
                      <w:highlight w:val="none"/>
                    </w:rPr>
                    <w:t>1</w:t>
                  </w:r>
                </w:p>
              </w:tc>
              <w:tc>
                <w:tcPr>
                  <w:tcW w:w="2618" w:type="pct"/>
                  <w:tcBorders>
                    <w:tl2br w:val="nil"/>
                    <w:tr2bl w:val="nil"/>
                  </w:tcBorders>
                  <w:vAlign w:val="center"/>
                </w:tcPr>
                <w:p w14:paraId="2A0DC749">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产生工业固体废物的单位应当建立健全工业固体废物产生、收集、贮存、利用、处置全过程的污染环境防治责任制度，采取防治工业固体废物污染环境的措施。</w:t>
                  </w:r>
                </w:p>
              </w:tc>
              <w:tc>
                <w:tcPr>
                  <w:tcW w:w="1756" w:type="pct"/>
                  <w:tcBorders>
                    <w:tl2br w:val="nil"/>
                    <w:tr2bl w:val="nil"/>
                  </w:tcBorders>
                  <w:vAlign w:val="center"/>
                </w:tcPr>
                <w:p w14:paraId="7011AF4F">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项目运行后建立产生、收集、贮存、利用等防治责任制度</w:t>
                  </w:r>
                </w:p>
              </w:tc>
              <w:tc>
                <w:tcPr>
                  <w:tcW w:w="421" w:type="pct"/>
                  <w:tcBorders>
                    <w:tl2br w:val="nil"/>
                    <w:tr2bl w:val="nil"/>
                  </w:tcBorders>
                  <w:vAlign w:val="center"/>
                </w:tcPr>
                <w:p w14:paraId="3333B1BE">
                  <w:pPr>
                    <w:pStyle w:val="44"/>
                    <w:spacing w:before="0" w:line="240" w:lineRule="auto"/>
                    <w:ind w:left="0" w:leftChars="0" w:firstLine="0" w:firstLineChars="0"/>
                    <w:jc w:val="center"/>
                    <w:rPr>
                      <w:rFonts w:hint="eastAsia" w:ascii="Times New Roman" w:hAnsi="Times New Roman" w:cs="Times New Roman" w:eastAsiaTheme="minorEastAsia"/>
                      <w:bCs/>
                      <w:color w:val="auto"/>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符合</w:t>
                  </w:r>
                </w:p>
              </w:tc>
            </w:tr>
            <w:tr w14:paraId="402BB0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 w:type="pct"/>
                  <w:tcBorders>
                    <w:tl2br w:val="nil"/>
                    <w:tr2bl w:val="nil"/>
                  </w:tcBorders>
                  <w:vAlign w:val="center"/>
                </w:tcPr>
                <w:p w14:paraId="0F341060">
                  <w:pPr>
                    <w:spacing w:before="0" w:line="240" w:lineRule="auto"/>
                    <w:ind w:left="0" w:leftChars="0" w:firstLine="0" w:firstLineChars="0"/>
                    <w:jc w:val="center"/>
                    <w:rPr>
                      <w:rFonts w:hint="eastAsia" w:eastAsiaTheme="minorEastAsia"/>
                      <w:bCs/>
                      <w:color w:val="auto"/>
                      <w:sz w:val="21"/>
                      <w:szCs w:val="21"/>
                      <w:highlight w:val="none"/>
                    </w:rPr>
                  </w:pPr>
                  <w:r>
                    <w:rPr>
                      <w:rFonts w:hint="eastAsia" w:ascii="Times New Roman" w:hAnsi="Times New Roman" w:cs="Times New Roman" w:eastAsiaTheme="minorEastAsia"/>
                      <w:bCs/>
                      <w:color w:val="auto"/>
                      <w:position w:val="0"/>
                      <w:sz w:val="21"/>
                      <w:szCs w:val="21"/>
                      <w:highlight w:val="none"/>
                    </w:rPr>
                    <w:t>2</w:t>
                  </w:r>
                </w:p>
              </w:tc>
              <w:tc>
                <w:tcPr>
                  <w:tcW w:w="2618" w:type="pct"/>
                  <w:tcBorders>
                    <w:tl2br w:val="nil"/>
                    <w:tr2bl w:val="nil"/>
                  </w:tcBorders>
                  <w:vAlign w:val="center"/>
                </w:tcPr>
                <w:p w14:paraId="15EED3FF">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危险废物的容器和包装物应当按照规定设置危险废物识别标志；收集、贮存、利用、处置危险废物的设施、场所，应当按照规定设置危险废物识别标志。</w:t>
                  </w:r>
                </w:p>
              </w:tc>
              <w:tc>
                <w:tcPr>
                  <w:tcW w:w="1756" w:type="pct"/>
                  <w:tcBorders>
                    <w:tl2br w:val="nil"/>
                    <w:tr2bl w:val="nil"/>
                  </w:tcBorders>
                  <w:vAlign w:val="center"/>
                </w:tcPr>
                <w:p w14:paraId="0128BF83">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按照《危险废物识别标志设置技术规范》（</w:t>
                  </w:r>
                  <w:r>
                    <w:rPr>
                      <w:rFonts w:hint="eastAsia" w:ascii="Times New Roman" w:hAnsi="Times New Roman" w:cs="Times New Roman" w:eastAsiaTheme="minorEastAsia"/>
                      <w:bCs/>
                      <w:color w:val="auto"/>
                      <w:sz w:val="21"/>
                      <w:szCs w:val="21"/>
                      <w:highlight w:val="none"/>
                      <w:lang w:eastAsia="zh-CN"/>
                    </w:rPr>
                    <w:t>HJ</w:t>
                  </w:r>
                  <w:r>
                    <w:rPr>
                      <w:rFonts w:hint="eastAsia" w:ascii="Times New Roman" w:hAnsi="Times New Roman" w:cs="Times New Roman" w:eastAsiaTheme="minorEastAsia"/>
                      <w:bCs/>
                      <w:color w:val="auto"/>
                      <w:spacing w:val="0"/>
                      <w:sz w:val="21"/>
                      <w:szCs w:val="21"/>
                      <w:highlight w:val="none"/>
                      <w:lang w:eastAsia="zh-CN"/>
                    </w:rPr>
                    <w:t>1276-2022）要求设置标志、分区标志和危险废物标签等危险废物识别标</w:t>
                  </w:r>
                  <w:r>
                    <w:rPr>
                      <w:rFonts w:hint="eastAsia" w:ascii="Times New Roman" w:hAnsi="Times New Roman" w:cs="Times New Roman" w:eastAsiaTheme="minorEastAsia"/>
                      <w:bCs/>
                      <w:color w:val="auto"/>
                      <w:sz w:val="21"/>
                      <w:szCs w:val="21"/>
                      <w:highlight w:val="none"/>
                      <w:lang w:eastAsia="zh-CN"/>
                    </w:rPr>
                    <w:t>识</w:t>
                  </w:r>
                </w:p>
              </w:tc>
              <w:tc>
                <w:tcPr>
                  <w:tcW w:w="421" w:type="pct"/>
                  <w:tcBorders>
                    <w:tl2br w:val="nil"/>
                    <w:tr2bl w:val="nil"/>
                  </w:tcBorders>
                  <w:vAlign w:val="center"/>
                </w:tcPr>
                <w:p w14:paraId="6E397B08">
                  <w:pPr>
                    <w:pStyle w:val="44"/>
                    <w:spacing w:before="0" w:line="240" w:lineRule="auto"/>
                    <w:ind w:left="0" w:leftChars="0" w:firstLine="0" w:firstLineChars="0"/>
                    <w:jc w:val="center"/>
                    <w:rPr>
                      <w:rFonts w:hint="eastAsia" w:ascii="Times New Roman" w:hAnsi="Times New Roman" w:cs="Times New Roman" w:eastAsiaTheme="minorEastAsia"/>
                      <w:bCs/>
                      <w:color w:val="auto"/>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符合</w:t>
                  </w:r>
                </w:p>
              </w:tc>
            </w:tr>
            <w:tr w14:paraId="78B810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 w:type="pct"/>
                  <w:tcBorders>
                    <w:tl2br w:val="nil"/>
                    <w:tr2bl w:val="nil"/>
                  </w:tcBorders>
                  <w:vAlign w:val="center"/>
                </w:tcPr>
                <w:p w14:paraId="01562848">
                  <w:pPr>
                    <w:spacing w:before="0" w:line="240" w:lineRule="auto"/>
                    <w:ind w:left="0" w:leftChars="0" w:firstLine="0" w:firstLineChars="0"/>
                    <w:jc w:val="center"/>
                    <w:rPr>
                      <w:rFonts w:hint="eastAsia" w:ascii="Times New Roman" w:hAnsi="Times New Roman" w:cs="Times New Roman" w:eastAsiaTheme="minorEastAsia"/>
                      <w:bCs/>
                      <w:color w:val="auto"/>
                      <w:position w:val="0"/>
                      <w:sz w:val="21"/>
                      <w:szCs w:val="21"/>
                      <w:highlight w:val="none"/>
                      <w:lang w:eastAsia="zh-CN"/>
                    </w:rPr>
                  </w:pPr>
                  <w:r>
                    <w:rPr>
                      <w:rFonts w:hint="eastAsia" w:ascii="Times New Roman" w:hAnsi="Times New Roman" w:cs="Times New Roman" w:eastAsiaTheme="minorEastAsia"/>
                      <w:bCs/>
                      <w:color w:val="auto"/>
                      <w:sz w:val="21"/>
                      <w:szCs w:val="21"/>
                      <w:highlight w:val="none"/>
                      <w:lang w:eastAsia="zh-CN"/>
                    </w:rPr>
                    <w:t>3</w:t>
                  </w:r>
                </w:p>
              </w:tc>
              <w:tc>
                <w:tcPr>
                  <w:tcW w:w="2618" w:type="pct"/>
                  <w:tcBorders>
                    <w:tl2br w:val="nil"/>
                    <w:tr2bl w:val="nil"/>
                  </w:tcBorders>
                  <w:vAlign w:val="center"/>
                </w:tcPr>
                <w:p w14:paraId="4615BF25">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按照国家有关规定建立危险废物管理台账，如实记录有关信息。</w:t>
                  </w:r>
                </w:p>
              </w:tc>
              <w:tc>
                <w:tcPr>
                  <w:tcW w:w="1756" w:type="pct"/>
                  <w:tcBorders>
                    <w:tl2br w:val="nil"/>
                    <w:tr2bl w:val="nil"/>
                  </w:tcBorders>
                  <w:vAlign w:val="center"/>
                </w:tcPr>
                <w:p w14:paraId="767E8425">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本项目危险废物管理台账可参照《危险废物管理计划和管理台账制定技术导则》（</w:t>
                  </w:r>
                  <w:r>
                    <w:rPr>
                      <w:rFonts w:hint="eastAsia" w:ascii="Times New Roman" w:hAnsi="Times New Roman" w:cs="Times New Roman" w:eastAsiaTheme="minorEastAsia"/>
                      <w:bCs/>
                      <w:color w:val="auto"/>
                      <w:sz w:val="21"/>
                      <w:szCs w:val="21"/>
                      <w:highlight w:val="none"/>
                      <w:lang w:eastAsia="zh-CN"/>
                    </w:rPr>
                    <w:t>HJ</w:t>
                  </w:r>
                  <w:r>
                    <w:rPr>
                      <w:rFonts w:hint="eastAsia" w:ascii="Times New Roman" w:hAnsi="Times New Roman" w:cs="Times New Roman" w:eastAsiaTheme="minorEastAsia"/>
                      <w:bCs/>
                      <w:color w:val="auto"/>
                      <w:spacing w:val="0"/>
                      <w:w w:val="100"/>
                      <w:sz w:val="21"/>
                      <w:szCs w:val="21"/>
                      <w:highlight w:val="none"/>
                      <w:lang w:eastAsia="zh-CN"/>
                    </w:rPr>
                    <w:t xml:space="preserve"> </w:t>
                  </w:r>
                  <w:r>
                    <w:rPr>
                      <w:rFonts w:hint="eastAsia" w:ascii="Times New Roman" w:hAnsi="Times New Roman" w:cs="Times New Roman" w:eastAsiaTheme="minorEastAsia"/>
                      <w:bCs/>
                      <w:color w:val="auto"/>
                      <w:spacing w:val="0"/>
                      <w:sz w:val="21"/>
                      <w:szCs w:val="21"/>
                      <w:highlight w:val="none"/>
                      <w:lang w:eastAsia="zh-CN"/>
                    </w:rPr>
                    <w:t>1259-2022）中附录B内容设置。保存时间原则上应存档5年以</w:t>
                  </w:r>
                  <w:r>
                    <w:rPr>
                      <w:rFonts w:hint="eastAsia" w:ascii="Times New Roman" w:hAnsi="Times New Roman" w:cs="Times New Roman" w:eastAsiaTheme="minorEastAsia"/>
                      <w:bCs/>
                      <w:color w:val="auto"/>
                      <w:sz w:val="21"/>
                      <w:szCs w:val="21"/>
                      <w:highlight w:val="none"/>
                      <w:lang w:eastAsia="zh-CN"/>
                    </w:rPr>
                    <w:t>上</w:t>
                  </w:r>
                </w:p>
              </w:tc>
              <w:tc>
                <w:tcPr>
                  <w:tcW w:w="421" w:type="pct"/>
                  <w:tcBorders>
                    <w:tl2br w:val="nil"/>
                    <w:tr2bl w:val="nil"/>
                  </w:tcBorders>
                  <w:vAlign w:val="center"/>
                </w:tcPr>
                <w:p w14:paraId="3302251B">
                  <w:pPr>
                    <w:pStyle w:val="44"/>
                    <w:spacing w:before="0" w:line="240" w:lineRule="auto"/>
                    <w:ind w:left="0" w:lef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符合</w:t>
                  </w:r>
                </w:p>
              </w:tc>
            </w:tr>
            <w:tr w14:paraId="4848D3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 w:type="pct"/>
                  <w:tcBorders>
                    <w:tl2br w:val="nil"/>
                    <w:tr2bl w:val="nil"/>
                  </w:tcBorders>
                  <w:vAlign w:val="center"/>
                </w:tcPr>
                <w:p w14:paraId="2D376064">
                  <w:pPr>
                    <w:spacing w:before="0" w:line="240" w:lineRule="auto"/>
                    <w:ind w:left="0" w:leftChars="0" w:firstLine="0" w:firstLineChars="0"/>
                    <w:jc w:val="center"/>
                    <w:rPr>
                      <w:rFonts w:hint="eastAsia" w:ascii="Times New Roman" w:hAnsi="Times New Roman" w:cs="Times New Roman" w:eastAsiaTheme="minorEastAsia"/>
                      <w:bCs/>
                      <w:color w:val="auto"/>
                      <w:position w:val="0"/>
                      <w:sz w:val="21"/>
                      <w:szCs w:val="21"/>
                      <w:highlight w:val="none"/>
                      <w:lang w:eastAsia="zh-CN"/>
                    </w:rPr>
                  </w:pPr>
                  <w:r>
                    <w:rPr>
                      <w:rFonts w:hint="eastAsia" w:ascii="Times New Roman" w:hAnsi="Times New Roman" w:cs="Times New Roman" w:eastAsiaTheme="minorEastAsia"/>
                      <w:bCs/>
                      <w:color w:val="auto"/>
                      <w:sz w:val="21"/>
                      <w:szCs w:val="21"/>
                      <w:highlight w:val="none"/>
                      <w:lang w:eastAsia="zh-CN"/>
                    </w:rPr>
                    <w:t>4</w:t>
                  </w:r>
                </w:p>
              </w:tc>
              <w:tc>
                <w:tcPr>
                  <w:tcW w:w="2618" w:type="pct"/>
                  <w:tcBorders>
                    <w:tl2br w:val="nil"/>
                    <w:tr2bl w:val="nil"/>
                  </w:tcBorders>
                  <w:vAlign w:val="center"/>
                </w:tcPr>
                <w:p w14:paraId="50BC3560">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按照危险废物特性分类进行收</w:t>
                  </w:r>
                  <w:r>
                    <w:rPr>
                      <w:rFonts w:hint="eastAsia" w:ascii="Times New Roman" w:hAnsi="Times New Roman" w:cs="Times New Roman" w:eastAsiaTheme="minorEastAsia"/>
                      <w:bCs/>
                      <w:color w:val="auto"/>
                      <w:sz w:val="21"/>
                      <w:szCs w:val="21"/>
                      <w:highlight w:val="none"/>
                      <w:lang w:eastAsia="zh-CN"/>
                    </w:rPr>
                    <w:t>集。</w:t>
                  </w:r>
                </w:p>
              </w:tc>
              <w:tc>
                <w:tcPr>
                  <w:tcW w:w="1756" w:type="pct"/>
                  <w:tcBorders>
                    <w:tl2br w:val="nil"/>
                    <w:tr2bl w:val="nil"/>
                  </w:tcBorders>
                  <w:vAlign w:val="center"/>
                </w:tcPr>
                <w:p w14:paraId="43F62BEE">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所有危险废物产生环节均按种类分别收集；按种类分别存放，不同废物间有明显间隔</w:t>
                  </w:r>
                </w:p>
              </w:tc>
              <w:tc>
                <w:tcPr>
                  <w:tcW w:w="421" w:type="pct"/>
                  <w:tcBorders>
                    <w:tl2br w:val="nil"/>
                    <w:tr2bl w:val="nil"/>
                  </w:tcBorders>
                  <w:vAlign w:val="center"/>
                </w:tcPr>
                <w:p w14:paraId="02660BD6">
                  <w:pPr>
                    <w:pStyle w:val="44"/>
                    <w:spacing w:before="0" w:line="240" w:lineRule="auto"/>
                    <w:ind w:left="0" w:lef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符合</w:t>
                  </w:r>
                </w:p>
              </w:tc>
            </w:tr>
            <w:tr w14:paraId="19752A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 w:type="pct"/>
                  <w:tcBorders>
                    <w:tl2br w:val="nil"/>
                    <w:tr2bl w:val="nil"/>
                  </w:tcBorders>
                  <w:vAlign w:val="center"/>
                </w:tcPr>
                <w:p w14:paraId="2C5DF8CC">
                  <w:pPr>
                    <w:spacing w:before="0" w:line="240" w:lineRule="auto"/>
                    <w:ind w:left="0" w:leftChars="0" w:firstLine="0" w:firstLineChars="0"/>
                    <w:jc w:val="center"/>
                    <w:rPr>
                      <w:rFonts w:hint="eastAsia" w:ascii="Times New Roman" w:hAnsi="Times New Roman" w:cs="Times New Roman" w:eastAsiaTheme="minorEastAsia"/>
                      <w:bCs/>
                      <w:color w:val="auto"/>
                      <w:position w:val="0"/>
                      <w:sz w:val="21"/>
                      <w:szCs w:val="21"/>
                      <w:highlight w:val="none"/>
                      <w:lang w:eastAsia="zh-CN"/>
                    </w:rPr>
                  </w:pPr>
                  <w:r>
                    <w:rPr>
                      <w:rFonts w:hint="eastAsia" w:ascii="Times New Roman" w:hAnsi="Times New Roman" w:cs="Times New Roman" w:eastAsiaTheme="minorEastAsia"/>
                      <w:bCs/>
                      <w:color w:val="auto"/>
                      <w:position w:val="0"/>
                      <w:sz w:val="21"/>
                      <w:szCs w:val="21"/>
                      <w:highlight w:val="none"/>
                      <w:lang w:eastAsia="zh-CN"/>
                    </w:rPr>
                    <w:t>5</w:t>
                  </w:r>
                </w:p>
              </w:tc>
              <w:tc>
                <w:tcPr>
                  <w:tcW w:w="2618" w:type="pct"/>
                  <w:tcBorders>
                    <w:tl2br w:val="nil"/>
                    <w:tr2bl w:val="nil"/>
                  </w:tcBorders>
                  <w:vAlign w:val="center"/>
                </w:tcPr>
                <w:p w14:paraId="2BB845D8">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转移危险废物的，按照危险废物转移有关规定，如实填写、运行转移联单</w:t>
                  </w:r>
                </w:p>
              </w:tc>
              <w:tc>
                <w:tcPr>
                  <w:tcW w:w="1756" w:type="pct"/>
                  <w:tcBorders>
                    <w:tl2br w:val="nil"/>
                    <w:tr2bl w:val="nil"/>
                  </w:tcBorders>
                  <w:vAlign w:val="center"/>
                </w:tcPr>
                <w:p w14:paraId="7C160F02">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pacing w:val="0"/>
                      <w:sz w:val="21"/>
                      <w:szCs w:val="21"/>
                      <w:highlight w:val="none"/>
                      <w:lang w:val="en-US" w:eastAsia="zh-CN"/>
                    </w:rPr>
                  </w:pPr>
                  <w:r>
                    <w:rPr>
                      <w:rFonts w:hint="eastAsia" w:ascii="Times New Roman" w:hAnsi="Times New Roman" w:cs="Times New Roman" w:eastAsiaTheme="minorEastAsia"/>
                      <w:bCs/>
                      <w:color w:val="auto"/>
                      <w:spacing w:val="0"/>
                      <w:sz w:val="21"/>
                      <w:szCs w:val="21"/>
                      <w:highlight w:val="none"/>
                      <w:lang w:eastAsia="zh-CN"/>
                    </w:rPr>
                    <w:t>按照危险废物转移有关规定通过国家危险废物信息管理系统如实填写、运行电子联单</w:t>
                  </w:r>
                </w:p>
              </w:tc>
              <w:tc>
                <w:tcPr>
                  <w:tcW w:w="421" w:type="pct"/>
                  <w:tcBorders>
                    <w:tl2br w:val="nil"/>
                    <w:tr2bl w:val="nil"/>
                  </w:tcBorders>
                  <w:vAlign w:val="center"/>
                </w:tcPr>
                <w:p w14:paraId="20BCDCB9">
                  <w:pPr>
                    <w:pStyle w:val="44"/>
                    <w:spacing w:before="0" w:line="240" w:lineRule="auto"/>
                    <w:ind w:left="0" w:lef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符合</w:t>
                  </w:r>
                </w:p>
              </w:tc>
            </w:tr>
            <w:tr w14:paraId="2B2261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 w:type="pct"/>
                  <w:tcBorders>
                    <w:tl2br w:val="nil"/>
                    <w:tr2bl w:val="nil"/>
                  </w:tcBorders>
                  <w:vAlign w:val="center"/>
                </w:tcPr>
                <w:p w14:paraId="03FD4AB0">
                  <w:pPr>
                    <w:spacing w:before="0" w:line="240" w:lineRule="auto"/>
                    <w:ind w:left="0" w:leftChars="0" w:firstLine="0" w:firstLineChars="0"/>
                    <w:jc w:val="center"/>
                    <w:rPr>
                      <w:rFonts w:hint="eastAsia" w:ascii="Times New Roman" w:hAnsi="Times New Roman" w:cs="Times New Roman" w:eastAsiaTheme="minorEastAsia"/>
                      <w:bCs/>
                      <w:color w:val="auto"/>
                      <w:position w:val="0"/>
                      <w:sz w:val="21"/>
                      <w:szCs w:val="21"/>
                      <w:highlight w:val="none"/>
                      <w:lang w:eastAsia="zh-CN"/>
                    </w:rPr>
                  </w:pPr>
                  <w:r>
                    <w:rPr>
                      <w:rFonts w:hint="eastAsia" w:ascii="Times New Roman" w:hAnsi="Times New Roman" w:cs="Times New Roman" w:eastAsiaTheme="minorEastAsia"/>
                      <w:bCs/>
                      <w:color w:val="auto"/>
                      <w:position w:val="0"/>
                      <w:sz w:val="21"/>
                      <w:szCs w:val="21"/>
                      <w:highlight w:val="none"/>
                      <w:lang w:eastAsia="zh-CN"/>
                    </w:rPr>
                    <w:t>6</w:t>
                  </w:r>
                </w:p>
              </w:tc>
              <w:tc>
                <w:tcPr>
                  <w:tcW w:w="2618" w:type="pct"/>
                  <w:tcBorders>
                    <w:tl2br w:val="nil"/>
                    <w:tr2bl w:val="nil"/>
                  </w:tcBorders>
                  <w:vAlign w:val="center"/>
                </w:tcPr>
                <w:p w14:paraId="406BB827">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依法制定意外事故的环境污染防范措施和应急预案；向所在地生态环境主管部门和其他负有固体废物污染环境防治监督管理职责的部门备案；按照预案要求定期组织应急演练。</w:t>
                  </w:r>
                </w:p>
              </w:tc>
              <w:tc>
                <w:tcPr>
                  <w:tcW w:w="1756" w:type="pct"/>
                  <w:tcBorders>
                    <w:tl2br w:val="nil"/>
                    <w:tr2bl w:val="nil"/>
                  </w:tcBorders>
                  <w:vAlign w:val="center"/>
                </w:tcPr>
                <w:p w14:paraId="20BF1364">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依法制定意外事故的环境污染防范措施和应急预案；环境应急预案报所在地生态环境主管部门和其他负有固体废物污染环境防治监督管理职责的部门备案；定期组织应急演练</w:t>
                  </w:r>
                </w:p>
              </w:tc>
              <w:tc>
                <w:tcPr>
                  <w:tcW w:w="421" w:type="pct"/>
                  <w:tcBorders>
                    <w:tl2br w:val="nil"/>
                    <w:tr2bl w:val="nil"/>
                  </w:tcBorders>
                  <w:vAlign w:val="center"/>
                </w:tcPr>
                <w:p w14:paraId="1A925B86">
                  <w:pPr>
                    <w:pStyle w:val="44"/>
                    <w:spacing w:before="0" w:line="240" w:lineRule="auto"/>
                    <w:ind w:left="0" w:lef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符合</w:t>
                  </w:r>
                </w:p>
              </w:tc>
            </w:tr>
            <w:tr w14:paraId="10FDA4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 w:type="pct"/>
                  <w:tcBorders>
                    <w:tl2br w:val="nil"/>
                    <w:tr2bl w:val="nil"/>
                  </w:tcBorders>
                  <w:vAlign w:val="center"/>
                </w:tcPr>
                <w:p w14:paraId="5038A6FC">
                  <w:pPr>
                    <w:spacing w:before="0" w:line="240" w:lineRule="auto"/>
                    <w:ind w:left="0" w:leftChars="0" w:firstLine="0" w:firstLineChars="0"/>
                    <w:jc w:val="center"/>
                    <w:rPr>
                      <w:rFonts w:hint="eastAsia" w:ascii="Times New Roman" w:hAnsi="Times New Roman" w:cs="Times New Roman" w:eastAsiaTheme="minorEastAsia"/>
                      <w:bCs/>
                      <w:color w:val="auto"/>
                      <w:position w:val="0"/>
                      <w:sz w:val="21"/>
                      <w:szCs w:val="21"/>
                      <w:highlight w:val="none"/>
                      <w:lang w:eastAsia="zh-CN"/>
                    </w:rPr>
                  </w:pPr>
                  <w:r>
                    <w:rPr>
                      <w:rFonts w:hint="eastAsia" w:ascii="Times New Roman" w:hAnsi="Times New Roman" w:cs="Times New Roman" w:eastAsiaTheme="minorEastAsia"/>
                      <w:bCs/>
                      <w:color w:val="auto"/>
                      <w:spacing w:val="0"/>
                      <w:position w:val="0"/>
                      <w:sz w:val="21"/>
                      <w:szCs w:val="21"/>
                      <w:highlight w:val="none"/>
                      <w:lang w:eastAsia="zh-CN"/>
                    </w:rPr>
                    <w:t>7</w:t>
                  </w:r>
                </w:p>
              </w:tc>
              <w:tc>
                <w:tcPr>
                  <w:tcW w:w="2618" w:type="pct"/>
                  <w:tcBorders>
                    <w:tl2br w:val="nil"/>
                    <w:tr2bl w:val="nil"/>
                  </w:tcBorders>
                  <w:vAlign w:val="center"/>
                </w:tcPr>
                <w:p w14:paraId="31EF17F6">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依法进行环境影响评价，完成“三同时”验收；按照国家有关规定和环境保护标准要求贮存危险废</w:t>
                  </w:r>
                  <w:r>
                    <w:rPr>
                      <w:rFonts w:hint="eastAsia" w:ascii="Times New Roman" w:hAnsi="Times New Roman" w:cs="Times New Roman" w:eastAsiaTheme="minorEastAsia"/>
                      <w:bCs/>
                      <w:color w:val="auto"/>
                      <w:sz w:val="21"/>
                      <w:szCs w:val="21"/>
                      <w:highlight w:val="none"/>
                      <w:lang w:eastAsia="zh-CN"/>
                    </w:rPr>
                    <w:t>物。</w:t>
                  </w:r>
                </w:p>
              </w:tc>
              <w:tc>
                <w:tcPr>
                  <w:tcW w:w="1756" w:type="pct"/>
                  <w:tcBorders>
                    <w:tl2br w:val="nil"/>
                    <w:tr2bl w:val="nil"/>
                  </w:tcBorders>
                  <w:vAlign w:val="center"/>
                </w:tcPr>
                <w:p w14:paraId="310BBBD0">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项目现阶段进行环境影响评价，待建设完成后，完成“三同时”验收</w:t>
                  </w:r>
                </w:p>
              </w:tc>
              <w:tc>
                <w:tcPr>
                  <w:tcW w:w="421" w:type="pct"/>
                  <w:tcBorders>
                    <w:tl2br w:val="nil"/>
                    <w:tr2bl w:val="nil"/>
                  </w:tcBorders>
                  <w:vAlign w:val="center"/>
                </w:tcPr>
                <w:p w14:paraId="2D302F2B">
                  <w:pPr>
                    <w:pStyle w:val="44"/>
                    <w:spacing w:before="0" w:line="240" w:lineRule="auto"/>
                    <w:ind w:left="0" w:lef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符合</w:t>
                  </w:r>
                </w:p>
              </w:tc>
            </w:tr>
            <w:tr w14:paraId="2DD36A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 w:type="pct"/>
                  <w:tcBorders>
                    <w:tl2br w:val="nil"/>
                    <w:tr2bl w:val="nil"/>
                  </w:tcBorders>
                  <w:vAlign w:val="center"/>
                </w:tcPr>
                <w:p w14:paraId="218F55D0">
                  <w:pPr>
                    <w:spacing w:before="0" w:line="240" w:lineRule="auto"/>
                    <w:ind w:left="0" w:leftChars="0" w:firstLine="0" w:firstLineChars="0"/>
                    <w:jc w:val="center"/>
                    <w:rPr>
                      <w:rFonts w:hint="eastAsia" w:ascii="Times New Roman" w:hAnsi="Times New Roman" w:cs="Times New Roman" w:eastAsiaTheme="minorEastAsia"/>
                      <w:bCs/>
                      <w:color w:val="auto"/>
                      <w:position w:val="0"/>
                      <w:sz w:val="21"/>
                      <w:szCs w:val="21"/>
                      <w:highlight w:val="none"/>
                      <w:lang w:eastAsia="zh-CN"/>
                    </w:rPr>
                  </w:pPr>
                  <w:r>
                    <w:rPr>
                      <w:rFonts w:hint="eastAsia" w:ascii="Times New Roman" w:hAnsi="Times New Roman" w:cs="Times New Roman" w:eastAsiaTheme="minorEastAsia"/>
                      <w:bCs/>
                      <w:color w:val="auto"/>
                      <w:spacing w:val="0"/>
                      <w:position w:val="0"/>
                      <w:sz w:val="21"/>
                      <w:szCs w:val="21"/>
                      <w:highlight w:val="none"/>
                      <w:lang w:eastAsia="zh-CN"/>
                    </w:rPr>
                    <w:t>8</w:t>
                  </w:r>
                </w:p>
              </w:tc>
              <w:tc>
                <w:tcPr>
                  <w:tcW w:w="2618" w:type="pct"/>
                  <w:tcBorders>
                    <w:tl2br w:val="nil"/>
                    <w:tr2bl w:val="nil"/>
                  </w:tcBorders>
                  <w:vAlign w:val="center"/>
                </w:tcPr>
                <w:p w14:paraId="541B9B47">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产生固体废物的单位，应当依法及时公开固体废物污染环境防治信息，主动接受社会监督。</w:t>
                  </w:r>
                </w:p>
              </w:tc>
              <w:tc>
                <w:tcPr>
                  <w:tcW w:w="1756" w:type="pct"/>
                  <w:tcBorders>
                    <w:tl2br w:val="nil"/>
                    <w:tr2bl w:val="nil"/>
                  </w:tcBorders>
                  <w:vAlign w:val="center"/>
                </w:tcPr>
                <w:p w14:paraId="74107357">
                  <w:pPr>
                    <w:pStyle w:val="44"/>
                    <w:spacing w:before="0" w:line="240" w:lineRule="auto"/>
                    <w:ind w:left="0" w:leftChars="0" w:right="0" w:righ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通过企业网站等途径依法公开当年危险废物污染环境防治信息</w:t>
                  </w:r>
                </w:p>
              </w:tc>
              <w:tc>
                <w:tcPr>
                  <w:tcW w:w="421" w:type="pct"/>
                  <w:tcBorders>
                    <w:tl2br w:val="nil"/>
                    <w:tr2bl w:val="nil"/>
                  </w:tcBorders>
                  <w:vAlign w:val="center"/>
                </w:tcPr>
                <w:p w14:paraId="238B3D7B">
                  <w:pPr>
                    <w:pStyle w:val="44"/>
                    <w:spacing w:before="0" w:line="240" w:lineRule="auto"/>
                    <w:ind w:left="0" w:leftChars="0" w:firstLine="0" w:firstLineChars="0"/>
                    <w:jc w:val="center"/>
                    <w:rPr>
                      <w:rFonts w:hint="eastAsia" w:ascii="Times New Roman" w:hAnsi="Times New Roman" w:cs="Times New Roman" w:eastAsiaTheme="minorEastAsia"/>
                      <w:bCs/>
                      <w:color w:val="auto"/>
                      <w:spacing w:val="0"/>
                      <w:sz w:val="21"/>
                      <w:szCs w:val="21"/>
                      <w:highlight w:val="none"/>
                      <w:lang w:eastAsia="zh-CN"/>
                    </w:rPr>
                  </w:pPr>
                  <w:r>
                    <w:rPr>
                      <w:rFonts w:hint="eastAsia" w:ascii="Times New Roman" w:hAnsi="Times New Roman" w:cs="Times New Roman" w:eastAsiaTheme="minorEastAsia"/>
                      <w:bCs/>
                      <w:color w:val="auto"/>
                      <w:spacing w:val="0"/>
                      <w:sz w:val="21"/>
                      <w:szCs w:val="21"/>
                      <w:highlight w:val="none"/>
                      <w:lang w:eastAsia="zh-CN"/>
                    </w:rPr>
                    <w:t>符合</w:t>
                  </w:r>
                </w:p>
              </w:tc>
            </w:tr>
          </w:tbl>
          <w:p w14:paraId="78450D44">
            <w:pPr>
              <w:bidi w:val="0"/>
              <w:rPr>
                <w:rFonts w:hint="eastAsia"/>
                <w:b/>
                <w:bCs/>
                <w:color w:val="auto"/>
                <w:highlight w:val="none"/>
              </w:rPr>
            </w:pPr>
            <w:r>
              <w:rPr>
                <w:rFonts w:hint="eastAsia"/>
                <w:b/>
                <w:bCs/>
                <w:color w:val="auto"/>
                <w:highlight w:val="none"/>
                <w:lang w:val="en-US" w:eastAsia="zh-CN"/>
              </w:rPr>
              <w:t>5.6</w:t>
            </w:r>
            <w:r>
              <w:rPr>
                <w:rFonts w:hint="eastAsia"/>
                <w:b/>
                <w:bCs/>
                <w:color w:val="auto"/>
                <w:highlight w:val="none"/>
              </w:rPr>
              <w:t>本项目与辽宁省《“十三五”挥发性有机物污染防治与削减工作实施方案》（辽环发〔2018〕69号）符合性分析</w:t>
            </w:r>
          </w:p>
          <w:p w14:paraId="50FDA992">
            <w:pPr>
              <w:bidi w:val="0"/>
              <w:rPr>
                <w:rFonts w:hint="eastAsia"/>
                <w:b/>
                <w:bCs/>
                <w:color w:val="auto"/>
                <w:highlight w:val="none"/>
              </w:rPr>
            </w:pPr>
          </w:p>
          <w:p w14:paraId="150F317E">
            <w:pPr>
              <w:bidi w:val="0"/>
              <w:ind w:firstLine="0" w:firstLineChars="0"/>
              <w:rPr>
                <w:rFonts w:hint="eastAsia" w:eastAsia="宋体"/>
                <w:b/>
                <w:bCs/>
                <w:color w:val="auto"/>
                <w:highlight w:val="none"/>
                <w:lang w:eastAsia="zh-CN"/>
              </w:rPr>
            </w:pPr>
          </w:p>
          <w:p w14:paraId="1E0807CB">
            <w:pPr>
              <w:bidi w:val="0"/>
              <w:rPr>
                <w:rFonts w:hint="eastAsia"/>
                <w:b/>
                <w:bCs/>
                <w:color w:val="auto"/>
                <w:highlight w:val="none"/>
              </w:rPr>
            </w:pPr>
          </w:p>
          <w:p w14:paraId="2240D7CB">
            <w:pPr>
              <w:pStyle w:val="25"/>
              <w:bidi w:val="0"/>
              <w:rPr>
                <w:color w:val="auto"/>
                <w:highlight w:val="none"/>
              </w:rPr>
            </w:pPr>
            <w:r>
              <w:rPr>
                <w:color w:val="auto"/>
                <w:highlight w:val="none"/>
              </w:rPr>
              <w:t>与</w:t>
            </w:r>
            <w:r>
              <w:rPr>
                <w:rFonts w:hint="eastAsia"/>
                <w:color w:val="auto"/>
                <w:highlight w:val="none"/>
              </w:rPr>
              <w:t>辽宁省《“十三五”挥发性有机物污染防治与削减工作实施方案》（辽环发〔2018〕69号）</w:t>
            </w:r>
            <w:r>
              <w:rPr>
                <w:color w:val="auto"/>
                <w:highlight w:val="none"/>
              </w:rPr>
              <w:t>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5640"/>
              <w:gridCol w:w="1442"/>
              <w:gridCol w:w="661"/>
            </w:tblGrid>
            <w:tr w14:paraId="7CBD5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tcBorders>
                    <w:tl2br w:val="nil"/>
                    <w:tr2bl w:val="nil"/>
                  </w:tcBorders>
                  <w:vAlign w:val="center"/>
                </w:tcPr>
                <w:p w14:paraId="4515DA26">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highlight w:val="none"/>
                    </w:rPr>
                  </w:pPr>
                  <w:r>
                    <w:rPr>
                      <w:rFonts w:eastAsia="宋体"/>
                      <w:b/>
                      <w:color w:val="auto"/>
                      <w:sz w:val="21"/>
                      <w:highlight w:val="none"/>
                    </w:rPr>
                    <w:t>序号</w:t>
                  </w:r>
                </w:p>
              </w:tc>
              <w:tc>
                <w:tcPr>
                  <w:tcW w:w="3451" w:type="pct"/>
                  <w:tcBorders>
                    <w:tl2br w:val="nil"/>
                    <w:tr2bl w:val="nil"/>
                  </w:tcBorders>
                  <w:vAlign w:val="center"/>
                </w:tcPr>
                <w:p w14:paraId="4BC40E28">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highlight w:val="none"/>
                    </w:rPr>
                  </w:pPr>
                  <w:r>
                    <w:rPr>
                      <w:rFonts w:eastAsia="宋体"/>
                      <w:b/>
                      <w:color w:val="auto"/>
                      <w:sz w:val="21"/>
                      <w:highlight w:val="none"/>
                    </w:rPr>
                    <w:t>分析内容</w:t>
                  </w:r>
                </w:p>
              </w:tc>
              <w:tc>
                <w:tcPr>
                  <w:tcW w:w="882" w:type="pct"/>
                  <w:tcBorders>
                    <w:tl2br w:val="nil"/>
                    <w:tr2bl w:val="nil"/>
                  </w:tcBorders>
                  <w:vAlign w:val="center"/>
                </w:tcPr>
                <w:p w14:paraId="0805F311">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highlight w:val="none"/>
                    </w:rPr>
                  </w:pPr>
                  <w:r>
                    <w:rPr>
                      <w:rFonts w:eastAsia="宋体"/>
                      <w:b/>
                      <w:color w:val="auto"/>
                      <w:sz w:val="21"/>
                      <w:highlight w:val="none"/>
                    </w:rPr>
                    <w:t>本项目情况</w:t>
                  </w:r>
                </w:p>
              </w:tc>
              <w:tc>
                <w:tcPr>
                  <w:tcW w:w="404" w:type="pct"/>
                  <w:tcBorders>
                    <w:tl2br w:val="nil"/>
                    <w:tr2bl w:val="nil"/>
                  </w:tcBorders>
                  <w:vAlign w:val="center"/>
                </w:tcPr>
                <w:p w14:paraId="687A4588">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highlight w:val="none"/>
                    </w:rPr>
                  </w:pPr>
                  <w:r>
                    <w:rPr>
                      <w:rFonts w:eastAsia="宋体"/>
                      <w:b/>
                      <w:color w:val="auto"/>
                      <w:sz w:val="21"/>
                      <w:highlight w:val="none"/>
                    </w:rPr>
                    <w:t>分析结果</w:t>
                  </w:r>
                </w:p>
              </w:tc>
            </w:tr>
            <w:tr w14:paraId="117A6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tcBorders>
                    <w:tl2br w:val="nil"/>
                    <w:tr2bl w:val="nil"/>
                  </w:tcBorders>
                  <w:vAlign w:val="center"/>
                </w:tcPr>
                <w:p w14:paraId="365F78B9">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Cs/>
                      <w:color w:val="auto"/>
                      <w:highlight w:val="none"/>
                    </w:rPr>
                  </w:pPr>
                  <w:r>
                    <w:rPr>
                      <w:rFonts w:hint="eastAsia"/>
                      <w:bCs/>
                      <w:color w:val="auto"/>
                      <w:highlight w:val="none"/>
                    </w:rPr>
                    <w:t>1</w:t>
                  </w:r>
                </w:p>
              </w:tc>
              <w:tc>
                <w:tcPr>
                  <w:tcW w:w="3451" w:type="pct"/>
                  <w:tcBorders>
                    <w:tl2br w:val="nil"/>
                    <w:tr2bl w:val="nil"/>
                  </w:tcBorders>
                  <w:vAlign w:val="center"/>
                </w:tcPr>
                <w:p w14:paraId="6FEB9ADD">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Cs/>
                      <w:color w:val="auto"/>
                      <w:highlight w:val="none"/>
                    </w:rPr>
                  </w:pPr>
                  <w:r>
                    <w:rPr>
                      <w:rFonts w:hint="eastAsia"/>
                      <w:bCs/>
                      <w:color w:val="auto"/>
                      <w:highlight w:val="none"/>
                    </w:rPr>
                    <w:t>以改善环境空气质量为核心，因地制宜、突出重点，实施源头削减、过程控制、末端治理的全过程防治措施。实施VOCs与氮氧化物（NO</w:t>
                  </w:r>
                  <w:r>
                    <w:rPr>
                      <w:rFonts w:hint="eastAsia"/>
                      <w:bCs/>
                      <w:color w:val="auto"/>
                      <w:highlight w:val="none"/>
                      <w:vertAlign w:val="subscript"/>
                    </w:rPr>
                    <w:t>X</w:t>
                  </w:r>
                  <w:r>
                    <w:rPr>
                      <w:rFonts w:hint="eastAsia"/>
                      <w:bCs/>
                      <w:color w:val="auto"/>
                      <w:highlight w:val="none"/>
                    </w:rPr>
                    <w:t>）协同减排、点源与面源协同减排、有组织与无组织协同减排，突出重点行业和活性强的VOCs物质及恶臭类VOCs物质的排放控制。全面实施石化行业达标排放，深入推进化工、包装印刷行业VOCs综合治理，加大工业涂装VOCs治理力度，因地制宜推进其他工业行业VOCs综合治理。强化交通源、生活源、农业源等领域VOCs污染减排，以重点企业的深化治理为抓手，推动实施一批重点减排工程，切实削减VOCs排放总量。强化新增污染物排放控制，严格固定污染源排污许可，加强监测监控和执法监管，建立VOCs污染防治长效机制，促进环境空气质量持续改善和产业绿色发展</w:t>
                  </w:r>
                </w:p>
              </w:tc>
              <w:tc>
                <w:tcPr>
                  <w:tcW w:w="882" w:type="pct"/>
                  <w:tcBorders>
                    <w:tl2br w:val="nil"/>
                    <w:tr2bl w:val="nil"/>
                  </w:tcBorders>
                  <w:vAlign w:val="center"/>
                </w:tcPr>
                <w:p w14:paraId="52DD014E">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Cs/>
                      <w:color w:val="auto"/>
                      <w:highlight w:val="none"/>
                    </w:rPr>
                  </w:pPr>
                  <w:r>
                    <w:rPr>
                      <w:bCs/>
                      <w:color w:val="auto"/>
                      <w:highlight w:val="none"/>
                    </w:rPr>
                    <w:t>本项目</w:t>
                  </w:r>
                  <w:r>
                    <w:rPr>
                      <w:rFonts w:hint="eastAsia"/>
                      <w:bCs/>
                      <w:color w:val="auto"/>
                      <w:highlight w:val="none"/>
                      <w:lang w:eastAsia="zh-CN"/>
                    </w:rPr>
                    <w:t>危险废物贮存点</w:t>
                  </w:r>
                  <w:r>
                    <w:rPr>
                      <w:rFonts w:hint="eastAsia"/>
                      <w:bCs/>
                      <w:color w:val="auto"/>
                      <w:highlight w:val="none"/>
                    </w:rPr>
                    <w:t>贮存废液压油、废空压机油、废汽轮机油、废变压器油、废润滑油、废油漆桶、废油桶通过</w:t>
                  </w:r>
                  <w:r>
                    <w:rPr>
                      <w:rFonts w:hint="eastAsia"/>
                      <w:bCs/>
                      <w:color w:val="auto"/>
                      <w:highlight w:val="none"/>
                      <w:lang w:eastAsia="zh-CN"/>
                    </w:rPr>
                    <w:t>桶装加盖贮存</w:t>
                  </w:r>
                  <w:r>
                    <w:rPr>
                      <w:rFonts w:hint="eastAsia"/>
                      <w:bCs/>
                      <w:color w:val="auto"/>
                      <w:highlight w:val="none"/>
                    </w:rPr>
                    <w:t>等防治措施减少VOCs排放</w:t>
                  </w:r>
                </w:p>
              </w:tc>
              <w:tc>
                <w:tcPr>
                  <w:tcW w:w="404" w:type="pct"/>
                  <w:tcBorders>
                    <w:tl2br w:val="nil"/>
                    <w:tr2bl w:val="nil"/>
                  </w:tcBorders>
                  <w:vAlign w:val="center"/>
                </w:tcPr>
                <w:p w14:paraId="0B0C9FCF">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Cs/>
                      <w:color w:val="auto"/>
                      <w:highlight w:val="none"/>
                    </w:rPr>
                  </w:pPr>
                  <w:r>
                    <w:rPr>
                      <w:rFonts w:hint="eastAsia"/>
                      <w:bCs/>
                      <w:color w:val="auto"/>
                      <w:highlight w:val="none"/>
                    </w:rPr>
                    <w:t>符合</w:t>
                  </w:r>
                </w:p>
              </w:tc>
            </w:tr>
          </w:tbl>
          <w:p w14:paraId="381C3282">
            <w:pPr>
              <w:bidi w:val="0"/>
              <w:rPr>
                <w:rFonts w:hint="eastAsia"/>
                <w:color w:val="auto"/>
                <w:highlight w:val="none"/>
              </w:rPr>
            </w:pPr>
            <w:r>
              <w:rPr>
                <w:rFonts w:hint="eastAsia"/>
                <w:color w:val="auto"/>
                <w:highlight w:val="none"/>
              </w:rPr>
              <w:t>本项目与辽宁省《“十三五”挥发性有机物污染防治与削减工作实施方案》（辽环发〔2018〕69号）中相关内容符合。</w:t>
            </w:r>
          </w:p>
          <w:p w14:paraId="3AA5CFE2">
            <w:pPr>
              <w:bidi w:val="0"/>
              <w:rPr>
                <w:rFonts w:hint="eastAsia"/>
                <w:b/>
                <w:bCs/>
                <w:color w:val="auto"/>
                <w:highlight w:val="none"/>
              </w:rPr>
            </w:pPr>
            <w:r>
              <w:rPr>
                <w:rFonts w:hint="eastAsia"/>
                <w:b/>
                <w:bCs/>
                <w:color w:val="auto"/>
                <w:highlight w:val="none"/>
              </w:rPr>
              <w:t>5.</w:t>
            </w:r>
            <w:r>
              <w:rPr>
                <w:rFonts w:hint="eastAsia"/>
                <w:b/>
                <w:bCs/>
                <w:color w:val="auto"/>
                <w:highlight w:val="none"/>
                <w:lang w:val="en-US" w:eastAsia="zh-CN"/>
              </w:rPr>
              <w:t>7</w:t>
            </w:r>
            <w:r>
              <w:rPr>
                <w:rFonts w:hint="eastAsia"/>
                <w:b/>
                <w:bCs/>
                <w:color w:val="auto"/>
                <w:highlight w:val="none"/>
              </w:rPr>
              <w:t>本项目与《“十三五”挥发性有机物污染防治工作方案》（环大气〔2017〕121号）符合性分析</w:t>
            </w:r>
          </w:p>
          <w:p w14:paraId="0C48BA92">
            <w:pPr>
              <w:pStyle w:val="25"/>
              <w:bidi w:val="0"/>
              <w:rPr>
                <w:rFonts w:cs="Times New Roman"/>
                <w:color w:val="auto"/>
                <w:sz w:val="24"/>
                <w:szCs w:val="24"/>
                <w:highlight w:val="none"/>
              </w:rPr>
            </w:pPr>
            <w:r>
              <w:rPr>
                <w:rFonts w:cs="Times New Roman"/>
                <w:color w:val="auto"/>
                <w:sz w:val="24"/>
                <w:szCs w:val="24"/>
                <w:highlight w:val="none"/>
              </w:rPr>
              <w:t>与</w:t>
            </w:r>
            <w:r>
              <w:rPr>
                <w:rFonts w:hint="eastAsia" w:cs="Times New Roman"/>
                <w:color w:val="auto"/>
                <w:sz w:val="24"/>
                <w:szCs w:val="24"/>
                <w:highlight w:val="none"/>
              </w:rPr>
              <w:t>《“十三五”挥发性有机物污染防治工作方案》（环大气〔2017〕121号）</w:t>
            </w:r>
            <w:r>
              <w:rPr>
                <w:rFonts w:cs="Times New Roman"/>
                <w:color w:val="auto"/>
                <w:sz w:val="24"/>
                <w:szCs w:val="24"/>
                <w:highlight w:val="none"/>
              </w:rPr>
              <w:t>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5"/>
              <w:gridCol w:w="4237"/>
              <w:gridCol w:w="2906"/>
              <w:gridCol w:w="682"/>
            </w:tblGrid>
            <w:tr w14:paraId="0CC5CD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1" w:type="pct"/>
                  <w:tcBorders>
                    <w:tl2br w:val="nil"/>
                    <w:tr2bl w:val="nil"/>
                  </w:tcBorders>
                  <w:vAlign w:val="center"/>
                </w:tcPr>
                <w:p w14:paraId="2AEA1333">
                  <w:pPr>
                    <w:pStyle w:val="27"/>
                    <w:spacing w:line="240" w:lineRule="auto"/>
                    <w:rPr>
                      <w:rFonts w:hint="default"/>
                      <w:color w:val="auto"/>
                      <w:highlight w:val="none"/>
                    </w:rPr>
                  </w:pPr>
                  <w:r>
                    <w:rPr>
                      <w:rFonts w:eastAsia="宋体"/>
                      <w:b/>
                      <w:color w:val="auto"/>
                      <w:sz w:val="21"/>
                      <w:highlight w:val="none"/>
                    </w:rPr>
                    <w:t>序号</w:t>
                  </w:r>
                </w:p>
              </w:tc>
              <w:tc>
                <w:tcPr>
                  <w:tcW w:w="2593" w:type="pct"/>
                  <w:tcBorders>
                    <w:tl2br w:val="nil"/>
                    <w:tr2bl w:val="nil"/>
                  </w:tcBorders>
                  <w:vAlign w:val="center"/>
                </w:tcPr>
                <w:p w14:paraId="17A2BE5A">
                  <w:pPr>
                    <w:pStyle w:val="27"/>
                    <w:spacing w:line="240" w:lineRule="auto"/>
                    <w:rPr>
                      <w:rFonts w:hint="default"/>
                      <w:color w:val="auto"/>
                      <w:highlight w:val="none"/>
                    </w:rPr>
                  </w:pPr>
                  <w:r>
                    <w:rPr>
                      <w:rFonts w:eastAsia="宋体"/>
                      <w:b/>
                      <w:color w:val="auto"/>
                      <w:sz w:val="21"/>
                      <w:highlight w:val="none"/>
                    </w:rPr>
                    <w:t>分析内容</w:t>
                  </w:r>
                </w:p>
              </w:tc>
              <w:tc>
                <w:tcPr>
                  <w:tcW w:w="1778" w:type="pct"/>
                  <w:tcBorders>
                    <w:tl2br w:val="nil"/>
                    <w:tr2bl w:val="nil"/>
                  </w:tcBorders>
                  <w:vAlign w:val="center"/>
                </w:tcPr>
                <w:p w14:paraId="43FF3CC5">
                  <w:pPr>
                    <w:pStyle w:val="27"/>
                    <w:spacing w:line="240" w:lineRule="auto"/>
                    <w:rPr>
                      <w:rFonts w:hint="default"/>
                      <w:color w:val="auto"/>
                      <w:highlight w:val="none"/>
                    </w:rPr>
                  </w:pPr>
                  <w:r>
                    <w:rPr>
                      <w:rFonts w:eastAsia="宋体"/>
                      <w:b/>
                      <w:color w:val="auto"/>
                      <w:sz w:val="21"/>
                      <w:highlight w:val="none"/>
                    </w:rPr>
                    <w:t>本项目情况</w:t>
                  </w:r>
                </w:p>
              </w:tc>
              <w:tc>
                <w:tcPr>
                  <w:tcW w:w="417" w:type="pct"/>
                  <w:tcBorders>
                    <w:tl2br w:val="nil"/>
                    <w:tr2bl w:val="nil"/>
                  </w:tcBorders>
                  <w:vAlign w:val="center"/>
                </w:tcPr>
                <w:p w14:paraId="0C0B55AB">
                  <w:pPr>
                    <w:pStyle w:val="27"/>
                    <w:spacing w:line="240" w:lineRule="auto"/>
                    <w:rPr>
                      <w:rFonts w:hint="default"/>
                      <w:color w:val="auto"/>
                      <w:highlight w:val="none"/>
                    </w:rPr>
                  </w:pPr>
                  <w:r>
                    <w:rPr>
                      <w:rFonts w:eastAsia="宋体"/>
                      <w:b/>
                      <w:color w:val="auto"/>
                      <w:sz w:val="21"/>
                      <w:highlight w:val="none"/>
                    </w:rPr>
                    <w:t>分析结果</w:t>
                  </w:r>
                </w:p>
              </w:tc>
            </w:tr>
            <w:tr w14:paraId="3E60D8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1" w:type="pct"/>
                  <w:tcBorders>
                    <w:tl2br w:val="nil"/>
                    <w:tr2bl w:val="nil"/>
                  </w:tcBorders>
                  <w:vAlign w:val="center"/>
                </w:tcPr>
                <w:p w14:paraId="53DD4D50">
                  <w:pPr>
                    <w:pStyle w:val="24"/>
                    <w:spacing w:line="240" w:lineRule="auto"/>
                    <w:rPr>
                      <w:bCs/>
                      <w:color w:val="auto"/>
                      <w:highlight w:val="none"/>
                    </w:rPr>
                  </w:pPr>
                  <w:r>
                    <w:rPr>
                      <w:rFonts w:hint="eastAsia"/>
                      <w:bCs/>
                      <w:color w:val="auto"/>
                      <w:highlight w:val="none"/>
                    </w:rPr>
                    <w:t>1</w:t>
                  </w:r>
                </w:p>
              </w:tc>
              <w:tc>
                <w:tcPr>
                  <w:tcW w:w="2593" w:type="pct"/>
                  <w:tcBorders>
                    <w:tl2br w:val="nil"/>
                    <w:tr2bl w:val="nil"/>
                  </w:tcBorders>
                  <w:vAlign w:val="center"/>
                </w:tcPr>
                <w:p w14:paraId="543B2CE4">
                  <w:pPr>
                    <w:pStyle w:val="24"/>
                    <w:spacing w:line="240" w:lineRule="auto"/>
                    <w:rPr>
                      <w:bCs/>
                      <w:color w:val="auto"/>
                      <w:highlight w:val="none"/>
                    </w:rPr>
                  </w:pPr>
                  <w:r>
                    <w:rPr>
                      <w:rFonts w:hint="eastAsia"/>
                      <w:bCs/>
                      <w:color w:val="auto"/>
                      <w:highlight w:val="none"/>
                    </w:rPr>
                    <w:t>以改善环境空气质量为核心，以重点地区为主要着力点，以重点行业和重点污染物为主要控制对象，推进VOCs与NOx协同减排，强化新增污染物排放控制，实施固定污染源排污许可，全面加强基础能力建设和政策支持保障，因地制宜，突出重点，源头防控，分业施策，建立VOCs污染防治长效机制，促进环境空气质量持续改善和产业绿色发展</w:t>
                  </w:r>
                </w:p>
              </w:tc>
              <w:tc>
                <w:tcPr>
                  <w:tcW w:w="1778" w:type="pct"/>
                  <w:tcBorders>
                    <w:tl2br w:val="nil"/>
                    <w:tr2bl w:val="nil"/>
                  </w:tcBorders>
                  <w:vAlign w:val="center"/>
                </w:tcPr>
                <w:p w14:paraId="780176F0">
                  <w:pPr>
                    <w:pStyle w:val="24"/>
                    <w:spacing w:line="240" w:lineRule="auto"/>
                    <w:rPr>
                      <w:rFonts w:hint="eastAsia" w:eastAsiaTheme="minorEastAsia"/>
                      <w:bCs/>
                      <w:color w:val="auto"/>
                      <w:highlight w:val="none"/>
                      <w:lang w:eastAsia="zh-CN"/>
                    </w:rPr>
                  </w:pPr>
                  <w:r>
                    <w:rPr>
                      <w:rFonts w:hint="eastAsia"/>
                      <w:bCs/>
                      <w:color w:val="auto"/>
                      <w:highlight w:val="none"/>
                      <w:lang w:eastAsia="zh-CN"/>
                    </w:rPr>
                    <w:t>危险废物贮存点</w:t>
                  </w:r>
                  <w:r>
                    <w:rPr>
                      <w:rFonts w:hint="eastAsia"/>
                      <w:bCs/>
                      <w:color w:val="auto"/>
                      <w:highlight w:val="none"/>
                    </w:rPr>
                    <w:t>贮存废液压油、废空压机油、废汽轮机油、废变压器油、废润滑油、废油漆桶、废油桶通过</w:t>
                  </w:r>
                  <w:r>
                    <w:rPr>
                      <w:rFonts w:hint="eastAsia"/>
                      <w:bCs/>
                      <w:color w:val="auto"/>
                      <w:highlight w:val="none"/>
                      <w:lang w:eastAsia="zh-CN"/>
                    </w:rPr>
                    <w:t>桶装密封</w:t>
                  </w:r>
                  <w:r>
                    <w:rPr>
                      <w:rFonts w:hint="eastAsia"/>
                      <w:bCs/>
                      <w:color w:val="auto"/>
                      <w:highlight w:val="none"/>
                    </w:rPr>
                    <w:t>等防治措施减少VOCs排放。北票发电有限责任公司已取得排污许可证，待本项目发生实际排污前变更排污许可</w:t>
                  </w:r>
                  <w:r>
                    <w:rPr>
                      <w:rFonts w:hint="eastAsia"/>
                      <w:bCs/>
                      <w:color w:val="auto"/>
                      <w:highlight w:val="none"/>
                      <w:lang w:eastAsia="zh-CN"/>
                    </w:rPr>
                    <w:t>证</w:t>
                  </w:r>
                </w:p>
              </w:tc>
              <w:tc>
                <w:tcPr>
                  <w:tcW w:w="417" w:type="pct"/>
                  <w:tcBorders>
                    <w:tl2br w:val="nil"/>
                    <w:tr2bl w:val="nil"/>
                  </w:tcBorders>
                  <w:vAlign w:val="center"/>
                </w:tcPr>
                <w:p w14:paraId="4D187489">
                  <w:pPr>
                    <w:pStyle w:val="24"/>
                    <w:spacing w:line="240" w:lineRule="auto"/>
                    <w:rPr>
                      <w:bCs/>
                      <w:color w:val="auto"/>
                      <w:highlight w:val="none"/>
                    </w:rPr>
                  </w:pPr>
                  <w:r>
                    <w:rPr>
                      <w:rFonts w:hint="eastAsia"/>
                      <w:bCs/>
                      <w:color w:val="auto"/>
                      <w:highlight w:val="none"/>
                    </w:rPr>
                    <w:t>符合</w:t>
                  </w:r>
                </w:p>
              </w:tc>
            </w:tr>
          </w:tbl>
          <w:p w14:paraId="6069833B">
            <w:pPr>
              <w:bidi w:val="0"/>
              <w:rPr>
                <w:color w:val="auto"/>
                <w:highlight w:val="none"/>
              </w:rPr>
            </w:pPr>
            <w:r>
              <w:rPr>
                <w:rFonts w:hint="eastAsia"/>
                <w:color w:val="auto"/>
                <w:highlight w:val="none"/>
              </w:rPr>
              <w:t>本项目与《“十三五”挥发性有机物污染防治工作方案》（环大气〔2017〕121号）中相关内容符合。</w:t>
            </w:r>
          </w:p>
          <w:p w14:paraId="169C5275">
            <w:pPr>
              <w:bidi w:val="0"/>
              <w:rPr>
                <w:rFonts w:hint="eastAsia"/>
                <w:b/>
                <w:bCs/>
                <w:color w:val="auto"/>
                <w:highlight w:val="none"/>
              </w:rPr>
            </w:pPr>
            <w:r>
              <w:rPr>
                <w:rFonts w:hint="eastAsia"/>
                <w:b/>
                <w:bCs/>
                <w:color w:val="auto"/>
                <w:highlight w:val="none"/>
              </w:rPr>
              <w:t>5.</w:t>
            </w:r>
            <w:r>
              <w:rPr>
                <w:rFonts w:hint="eastAsia"/>
                <w:b/>
                <w:bCs/>
                <w:color w:val="auto"/>
                <w:highlight w:val="none"/>
                <w:lang w:val="en-US" w:eastAsia="zh-CN"/>
              </w:rPr>
              <w:t>8</w:t>
            </w:r>
            <w:r>
              <w:rPr>
                <w:rFonts w:hint="eastAsia"/>
                <w:b/>
                <w:bCs/>
                <w:color w:val="auto"/>
                <w:highlight w:val="none"/>
              </w:rPr>
              <w:t>本项目与《挥发性有机物（VOCs）污染防治技术政策》（公告2013年第31号）符合性分析</w:t>
            </w:r>
          </w:p>
          <w:p w14:paraId="4F80999E">
            <w:pPr>
              <w:bidi w:val="0"/>
              <w:rPr>
                <w:rFonts w:hint="eastAsia"/>
                <w:b/>
                <w:bCs/>
                <w:color w:val="auto"/>
                <w:highlight w:val="none"/>
              </w:rPr>
            </w:pPr>
          </w:p>
          <w:p w14:paraId="6E89C531">
            <w:pPr>
              <w:bidi w:val="0"/>
              <w:rPr>
                <w:rFonts w:hint="eastAsia"/>
                <w:b/>
                <w:bCs/>
                <w:color w:val="auto"/>
                <w:highlight w:val="none"/>
              </w:rPr>
            </w:pPr>
          </w:p>
          <w:p w14:paraId="39D93752">
            <w:pPr>
              <w:pStyle w:val="25"/>
              <w:bidi w:val="0"/>
              <w:rPr>
                <w:rFonts w:cs="Times New Roman"/>
                <w:color w:val="auto"/>
                <w:sz w:val="24"/>
                <w:szCs w:val="24"/>
                <w:highlight w:val="none"/>
              </w:rPr>
            </w:pPr>
            <w:r>
              <w:rPr>
                <w:rFonts w:cs="Times New Roman"/>
                <w:color w:val="auto"/>
                <w:sz w:val="24"/>
                <w:szCs w:val="24"/>
                <w:highlight w:val="none"/>
              </w:rPr>
              <w:t>与</w:t>
            </w:r>
            <w:r>
              <w:rPr>
                <w:rFonts w:hint="eastAsia" w:cs="Times New Roman"/>
                <w:color w:val="auto"/>
                <w:sz w:val="24"/>
                <w:szCs w:val="24"/>
                <w:highlight w:val="none"/>
              </w:rPr>
              <w:t>《挥发性有机物（VOCs）污染防治技术政策》（公告2013年第31号）</w:t>
            </w:r>
            <w:r>
              <w:rPr>
                <w:rFonts w:cs="Times New Roman"/>
                <w:color w:val="auto"/>
                <w:sz w:val="24"/>
                <w:szCs w:val="24"/>
                <w:highlight w:val="none"/>
              </w:rPr>
              <w:t>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7"/>
              <w:gridCol w:w="4530"/>
              <w:gridCol w:w="2593"/>
              <w:gridCol w:w="710"/>
            </w:tblGrid>
            <w:tr w14:paraId="06DD25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6" w:type="pct"/>
                  <w:tcBorders>
                    <w:tl2br w:val="nil"/>
                    <w:tr2bl w:val="nil"/>
                  </w:tcBorders>
                  <w:vAlign w:val="center"/>
                </w:tcPr>
                <w:p w14:paraId="65D6C939">
                  <w:pPr>
                    <w:pStyle w:val="27"/>
                    <w:spacing w:line="240" w:lineRule="auto"/>
                    <w:rPr>
                      <w:rFonts w:hint="default"/>
                      <w:color w:val="auto"/>
                      <w:highlight w:val="none"/>
                    </w:rPr>
                  </w:pPr>
                  <w:r>
                    <w:rPr>
                      <w:rFonts w:eastAsia="宋体"/>
                      <w:b/>
                      <w:color w:val="auto"/>
                      <w:sz w:val="21"/>
                      <w:highlight w:val="none"/>
                    </w:rPr>
                    <w:t>序号</w:t>
                  </w:r>
                </w:p>
              </w:tc>
              <w:tc>
                <w:tcPr>
                  <w:tcW w:w="2772" w:type="pct"/>
                  <w:tcBorders>
                    <w:tl2br w:val="nil"/>
                    <w:tr2bl w:val="nil"/>
                  </w:tcBorders>
                  <w:vAlign w:val="center"/>
                </w:tcPr>
                <w:p w14:paraId="2FC6369F">
                  <w:pPr>
                    <w:pStyle w:val="27"/>
                    <w:spacing w:line="240" w:lineRule="auto"/>
                    <w:rPr>
                      <w:rFonts w:hint="default"/>
                      <w:color w:val="auto"/>
                      <w:highlight w:val="none"/>
                    </w:rPr>
                  </w:pPr>
                  <w:r>
                    <w:rPr>
                      <w:rFonts w:eastAsia="宋体"/>
                      <w:b/>
                      <w:color w:val="auto"/>
                      <w:sz w:val="21"/>
                      <w:highlight w:val="none"/>
                    </w:rPr>
                    <w:t>分析内容</w:t>
                  </w:r>
                </w:p>
              </w:tc>
              <w:tc>
                <w:tcPr>
                  <w:tcW w:w="1586" w:type="pct"/>
                  <w:tcBorders>
                    <w:tl2br w:val="nil"/>
                    <w:tr2bl w:val="nil"/>
                  </w:tcBorders>
                  <w:vAlign w:val="center"/>
                </w:tcPr>
                <w:p w14:paraId="21A22DD0">
                  <w:pPr>
                    <w:pStyle w:val="27"/>
                    <w:spacing w:line="240" w:lineRule="auto"/>
                    <w:rPr>
                      <w:rFonts w:hint="default"/>
                      <w:color w:val="auto"/>
                      <w:highlight w:val="none"/>
                    </w:rPr>
                  </w:pPr>
                  <w:r>
                    <w:rPr>
                      <w:rFonts w:eastAsia="宋体"/>
                      <w:b/>
                      <w:color w:val="auto"/>
                      <w:sz w:val="21"/>
                      <w:highlight w:val="none"/>
                    </w:rPr>
                    <w:t>本项目情况</w:t>
                  </w:r>
                </w:p>
              </w:tc>
              <w:tc>
                <w:tcPr>
                  <w:tcW w:w="434" w:type="pct"/>
                  <w:tcBorders>
                    <w:tl2br w:val="nil"/>
                    <w:tr2bl w:val="nil"/>
                  </w:tcBorders>
                  <w:vAlign w:val="center"/>
                </w:tcPr>
                <w:p w14:paraId="7B0BA785">
                  <w:pPr>
                    <w:pStyle w:val="27"/>
                    <w:spacing w:line="240" w:lineRule="auto"/>
                    <w:rPr>
                      <w:rFonts w:hint="default"/>
                      <w:color w:val="auto"/>
                      <w:highlight w:val="none"/>
                    </w:rPr>
                  </w:pPr>
                  <w:r>
                    <w:rPr>
                      <w:rFonts w:eastAsia="宋体"/>
                      <w:b/>
                      <w:color w:val="auto"/>
                      <w:sz w:val="21"/>
                      <w:highlight w:val="none"/>
                    </w:rPr>
                    <w:t>分析结果</w:t>
                  </w:r>
                </w:p>
              </w:tc>
            </w:tr>
            <w:tr w14:paraId="654CE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6" w:type="pct"/>
                  <w:tcBorders>
                    <w:tl2br w:val="nil"/>
                    <w:tr2bl w:val="nil"/>
                  </w:tcBorders>
                  <w:vAlign w:val="center"/>
                </w:tcPr>
                <w:p w14:paraId="77530549">
                  <w:pPr>
                    <w:pStyle w:val="24"/>
                    <w:spacing w:line="240" w:lineRule="auto"/>
                    <w:rPr>
                      <w:bCs/>
                      <w:color w:val="auto"/>
                      <w:highlight w:val="none"/>
                    </w:rPr>
                  </w:pPr>
                  <w:r>
                    <w:rPr>
                      <w:rFonts w:hint="eastAsia"/>
                      <w:bCs/>
                      <w:color w:val="auto"/>
                      <w:highlight w:val="none"/>
                    </w:rPr>
                    <w:t>1</w:t>
                  </w:r>
                </w:p>
              </w:tc>
              <w:tc>
                <w:tcPr>
                  <w:tcW w:w="2772" w:type="pct"/>
                  <w:tcBorders>
                    <w:tl2br w:val="nil"/>
                    <w:tr2bl w:val="nil"/>
                  </w:tcBorders>
                  <w:vAlign w:val="center"/>
                </w:tcPr>
                <w:p w14:paraId="4520DEEF">
                  <w:pPr>
                    <w:pStyle w:val="24"/>
                    <w:spacing w:line="240" w:lineRule="auto"/>
                    <w:rPr>
                      <w:bCs/>
                      <w:color w:val="auto"/>
                      <w:highlight w:val="none"/>
                    </w:rPr>
                  </w:pPr>
                  <w:r>
                    <w:rPr>
                      <w:rFonts w:hint="eastAsia"/>
                      <w:bCs/>
                      <w:color w:val="auto"/>
                      <w:highlight w:val="none"/>
                    </w:rPr>
                    <w:t>VOCs污染防治应遵循源头和过程控制与末端治理相结合的综合防治原则。在工业生产中采用清洁生产技术，严格控制含VOCs原料与产品在生产和储运销过程中的VOCs排放，鼓励对资源和能源的回收利用；鼓励在生产和生活中使用不含VOCs的替代产品或低VOCs含量的产品</w:t>
                  </w:r>
                </w:p>
              </w:tc>
              <w:tc>
                <w:tcPr>
                  <w:tcW w:w="1586" w:type="pct"/>
                  <w:tcBorders>
                    <w:tl2br w:val="nil"/>
                    <w:tr2bl w:val="nil"/>
                  </w:tcBorders>
                  <w:vAlign w:val="center"/>
                </w:tcPr>
                <w:p w14:paraId="12B5A117">
                  <w:pPr>
                    <w:pStyle w:val="24"/>
                    <w:spacing w:line="240" w:lineRule="auto"/>
                    <w:rPr>
                      <w:bCs/>
                      <w:color w:val="auto"/>
                      <w:highlight w:val="none"/>
                    </w:rPr>
                  </w:pPr>
                  <w:r>
                    <w:rPr>
                      <w:rFonts w:hint="eastAsia"/>
                      <w:bCs/>
                      <w:color w:val="auto"/>
                      <w:highlight w:val="none"/>
                      <w:lang w:eastAsia="zh-CN"/>
                    </w:rPr>
                    <w:t>危险废物贮存点</w:t>
                  </w:r>
                  <w:r>
                    <w:rPr>
                      <w:rFonts w:hint="eastAsia"/>
                      <w:bCs/>
                      <w:color w:val="auto"/>
                      <w:highlight w:val="none"/>
                    </w:rPr>
                    <w:t>贮存废液压油、废空压机油、废汽轮机油、废变压器油、废润滑油、废油漆桶、废油桶通过</w:t>
                  </w:r>
                  <w:r>
                    <w:rPr>
                      <w:rFonts w:hint="eastAsia"/>
                      <w:bCs/>
                      <w:color w:val="auto"/>
                      <w:highlight w:val="none"/>
                      <w:lang w:eastAsia="zh-CN"/>
                    </w:rPr>
                    <w:t>桶装密封</w:t>
                  </w:r>
                  <w:r>
                    <w:rPr>
                      <w:rFonts w:hint="eastAsia"/>
                      <w:bCs/>
                      <w:color w:val="auto"/>
                      <w:highlight w:val="none"/>
                    </w:rPr>
                    <w:t>等防治措施</w:t>
                  </w:r>
                  <w:r>
                    <w:rPr>
                      <w:rFonts w:hint="eastAsia"/>
                      <w:bCs/>
                      <w:color w:val="auto"/>
                      <w:highlight w:val="none"/>
                      <w:lang w:eastAsia="zh-CN"/>
                    </w:rPr>
                    <w:t>，</w:t>
                  </w:r>
                  <w:r>
                    <w:rPr>
                      <w:rFonts w:hint="eastAsia"/>
                      <w:bCs/>
                      <w:color w:val="auto"/>
                      <w:highlight w:val="none"/>
                    </w:rPr>
                    <w:t>实现贮存过程控制</w:t>
                  </w:r>
                </w:p>
              </w:tc>
              <w:tc>
                <w:tcPr>
                  <w:tcW w:w="434" w:type="pct"/>
                  <w:tcBorders>
                    <w:tl2br w:val="nil"/>
                    <w:tr2bl w:val="nil"/>
                  </w:tcBorders>
                  <w:vAlign w:val="center"/>
                </w:tcPr>
                <w:p w14:paraId="2294968E">
                  <w:pPr>
                    <w:pStyle w:val="24"/>
                    <w:spacing w:line="240" w:lineRule="auto"/>
                    <w:rPr>
                      <w:bCs/>
                      <w:color w:val="auto"/>
                      <w:highlight w:val="none"/>
                    </w:rPr>
                  </w:pPr>
                  <w:r>
                    <w:rPr>
                      <w:rFonts w:hint="eastAsia"/>
                      <w:bCs/>
                      <w:color w:val="auto"/>
                      <w:highlight w:val="none"/>
                    </w:rPr>
                    <w:t>符合</w:t>
                  </w:r>
                </w:p>
              </w:tc>
            </w:tr>
          </w:tbl>
          <w:p w14:paraId="54575A49">
            <w:pPr>
              <w:bidi w:val="0"/>
              <w:ind w:firstLine="0" w:firstLineChars="0"/>
              <w:rPr>
                <w:rFonts w:hint="eastAsia"/>
                <w:color w:val="auto"/>
                <w:highlight w:val="none"/>
              </w:rPr>
            </w:pPr>
            <w:r>
              <w:rPr>
                <w:rFonts w:hint="eastAsia"/>
                <w:color w:val="auto"/>
                <w:highlight w:val="none"/>
              </w:rPr>
              <w:t>本项目与《挥发性有机物（VOCs）污染防治技术政策》（公告2013年第31号）中相关内容符合。</w:t>
            </w:r>
          </w:p>
          <w:p w14:paraId="2FB03353">
            <w:pPr>
              <w:bidi w:val="0"/>
              <w:ind w:firstLine="482"/>
              <w:rPr>
                <w:rFonts w:hint="eastAsia"/>
                <w:b/>
                <w:bCs/>
                <w:color w:val="auto"/>
                <w:highlight w:val="none"/>
              </w:rPr>
            </w:pPr>
            <w:r>
              <w:rPr>
                <w:rFonts w:hint="eastAsia"/>
                <w:b/>
                <w:bCs/>
                <w:color w:val="auto"/>
                <w:highlight w:val="none"/>
              </w:rPr>
              <w:t>5.</w:t>
            </w:r>
            <w:r>
              <w:rPr>
                <w:rFonts w:hint="eastAsia"/>
                <w:b/>
                <w:bCs/>
                <w:color w:val="auto"/>
                <w:highlight w:val="none"/>
                <w:lang w:val="en-US" w:eastAsia="zh-CN"/>
              </w:rPr>
              <w:t>9</w:t>
            </w:r>
            <w:r>
              <w:rPr>
                <w:rFonts w:hint="eastAsia"/>
                <w:b/>
                <w:bCs/>
                <w:color w:val="auto"/>
                <w:highlight w:val="none"/>
              </w:rPr>
              <w:t>本项目与《关于印发2020年挥发性有机物治理攻坚方案的通知》（环大气〔2020〕33号）符合性分析</w:t>
            </w:r>
          </w:p>
          <w:p w14:paraId="220AF929">
            <w:pPr>
              <w:pStyle w:val="25"/>
              <w:bidi w:val="0"/>
              <w:rPr>
                <w:color w:val="auto"/>
                <w:highlight w:val="none"/>
              </w:rPr>
            </w:pPr>
            <w:r>
              <w:rPr>
                <w:color w:val="auto"/>
                <w:highlight w:val="none"/>
              </w:rPr>
              <w:t>与</w:t>
            </w:r>
            <w:r>
              <w:rPr>
                <w:rFonts w:hint="eastAsia"/>
                <w:color w:val="auto"/>
                <w:highlight w:val="none"/>
              </w:rPr>
              <w:t>《关于印发2020年挥发性有机物治理攻坚方案的通知》（环大气〔2020〕33号）</w:t>
            </w:r>
            <w:r>
              <w:rPr>
                <w:color w:val="auto"/>
                <w:highlight w:val="none"/>
              </w:rPr>
              <w:t>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5059"/>
              <w:gridCol w:w="1970"/>
              <w:gridCol w:w="714"/>
            </w:tblGrid>
            <w:tr w14:paraId="57092D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tcBorders>
                    <w:tl2br w:val="nil"/>
                    <w:tr2bl w:val="nil"/>
                  </w:tcBorders>
                  <w:vAlign w:val="center"/>
                </w:tcPr>
                <w:p w14:paraId="0B9AC0D2">
                  <w:pPr>
                    <w:pStyle w:val="27"/>
                    <w:spacing w:line="240" w:lineRule="auto"/>
                    <w:rPr>
                      <w:rFonts w:hint="default" w:ascii="Times New Roman" w:hAnsi="Times New Roman" w:eastAsia="宋体" w:cs="Times New Roman"/>
                      <w:color w:val="auto"/>
                      <w:sz w:val="21"/>
                      <w:highlight w:val="none"/>
                    </w:rPr>
                  </w:pPr>
                  <w:r>
                    <w:rPr>
                      <w:rFonts w:ascii="Times New Roman" w:hAnsi="Times New Roman" w:eastAsia="宋体" w:cs="Times New Roman"/>
                      <w:b/>
                      <w:color w:val="auto"/>
                      <w:sz w:val="21"/>
                      <w:highlight w:val="none"/>
                    </w:rPr>
                    <w:t>序号</w:t>
                  </w:r>
                </w:p>
              </w:tc>
              <w:tc>
                <w:tcPr>
                  <w:tcW w:w="3096" w:type="pct"/>
                  <w:tcBorders>
                    <w:tl2br w:val="nil"/>
                    <w:tr2bl w:val="nil"/>
                  </w:tcBorders>
                  <w:vAlign w:val="center"/>
                </w:tcPr>
                <w:p w14:paraId="11314EB6">
                  <w:pPr>
                    <w:pStyle w:val="27"/>
                    <w:spacing w:line="240" w:lineRule="auto"/>
                    <w:rPr>
                      <w:rFonts w:hint="default" w:ascii="Times New Roman" w:hAnsi="Times New Roman" w:eastAsia="宋体" w:cs="Times New Roman"/>
                      <w:color w:val="auto"/>
                      <w:sz w:val="21"/>
                      <w:highlight w:val="none"/>
                    </w:rPr>
                  </w:pPr>
                  <w:r>
                    <w:rPr>
                      <w:rFonts w:ascii="Times New Roman" w:hAnsi="Times New Roman" w:eastAsia="宋体" w:cs="Times New Roman"/>
                      <w:b/>
                      <w:color w:val="auto"/>
                      <w:sz w:val="21"/>
                      <w:highlight w:val="none"/>
                    </w:rPr>
                    <w:t>分析内容</w:t>
                  </w:r>
                </w:p>
              </w:tc>
              <w:tc>
                <w:tcPr>
                  <w:tcW w:w="1205" w:type="pct"/>
                  <w:tcBorders>
                    <w:tl2br w:val="nil"/>
                    <w:tr2bl w:val="nil"/>
                  </w:tcBorders>
                  <w:vAlign w:val="center"/>
                </w:tcPr>
                <w:p w14:paraId="6AC61D5F">
                  <w:pPr>
                    <w:pStyle w:val="27"/>
                    <w:spacing w:line="240" w:lineRule="auto"/>
                    <w:rPr>
                      <w:rFonts w:hint="default" w:ascii="Times New Roman" w:hAnsi="Times New Roman" w:eastAsia="宋体" w:cs="Times New Roman"/>
                      <w:color w:val="auto"/>
                      <w:sz w:val="21"/>
                      <w:highlight w:val="none"/>
                    </w:rPr>
                  </w:pPr>
                  <w:r>
                    <w:rPr>
                      <w:rFonts w:ascii="Times New Roman" w:hAnsi="Times New Roman" w:eastAsia="宋体" w:cs="Times New Roman"/>
                      <w:b/>
                      <w:color w:val="auto"/>
                      <w:sz w:val="21"/>
                      <w:highlight w:val="none"/>
                    </w:rPr>
                    <w:t>本项目情况</w:t>
                  </w:r>
                </w:p>
              </w:tc>
              <w:tc>
                <w:tcPr>
                  <w:tcW w:w="436" w:type="pct"/>
                  <w:tcBorders>
                    <w:tl2br w:val="nil"/>
                    <w:tr2bl w:val="nil"/>
                  </w:tcBorders>
                  <w:vAlign w:val="center"/>
                </w:tcPr>
                <w:p w14:paraId="47E35C6A">
                  <w:pPr>
                    <w:pStyle w:val="27"/>
                    <w:spacing w:line="240" w:lineRule="auto"/>
                    <w:rPr>
                      <w:rFonts w:hint="default" w:ascii="Times New Roman" w:hAnsi="Times New Roman" w:eastAsia="宋体" w:cs="Times New Roman"/>
                      <w:color w:val="auto"/>
                      <w:sz w:val="21"/>
                      <w:highlight w:val="none"/>
                    </w:rPr>
                  </w:pPr>
                  <w:r>
                    <w:rPr>
                      <w:rFonts w:ascii="Times New Roman" w:hAnsi="Times New Roman" w:eastAsia="宋体" w:cs="Times New Roman"/>
                      <w:b/>
                      <w:color w:val="auto"/>
                      <w:sz w:val="21"/>
                      <w:highlight w:val="none"/>
                    </w:rPr>
                    <w:t>分析结果</w:t>
                  </w:r>
                </w:p>
              </w:tc>
            </w:tr>
            <w:tr w14:paraId="2C970E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tcBorders>
                    <w:tl2br w:val="nil"/>
                    <w:tr2bl w:val="nil"/>
                  </w:tcBorders>
                  <w:vAlign w:val="center"/>
                </w:tcPr>
                <w:p w14:paraId="0BEDE254">
                  <w:pPr>
                    <w:pStyle w:val="24"/>
                    <w:spacing w:line="240" w:lineRule="auto"/>
                    <w:rPr>
                      <w:rFonts w:ascii="Times New Roman" w:hAnsi="Times New Roman" w:eastAsia="宋体" w:cs="Times New Roman"/>
                      <w:bCs/>
                      <w:color w:val="auto"/>
                      <w:sz w:val="21"/>
                      <w:highlight w:val="none"/>
                    </w:rPr>
                  </w:pPr>
                  <w:r>
                    <w:rPr>
                      <w:rFonts w:hint="eastAsia" w:ascii="Times New Roman" w:hAnsi="Times New Roman" w:eastAsia="宋体" w:cs="Times New Roman"/>
                      <w:bCs/>
                      <w:color w:val="auto"/>
                      <w:sz w:val="21"/>
                      <w:highlight w:val="none"/>
                    </w:rPr>
                    <w:t>1</w:t>
                  </w:r>
                </w:p>
              </w:tc>
              <w:tc>
                <w:tcPr>
                  <w:tcW w:w="3096" w:type="pct"/>
                  <w:tcBorders>
                    <w:tl2br w:val="nil"/>
                    <w:tr2bl w:val="nil"/>
                  </w:tcBorders>
                  <w:vAlign w:val="center"/>
                </w:tcPr>
                <w:p w14:paraId="27B5E7E8">
                  <w:pPr>
                    <w:pStyle w:val="24"/>
                    <w:spacing w:line="240" w:lineRule="auto"/>
                    <w:rPr>
                      <w:rFonts w:ascii="Times New Roman" w:hAnsi="Times New Roman" w:eastAsia="宋体" w:cs="Times New Roman"/>
                      <w:bCs/>
                      <w:color w:val="auto"/>
                      <w:sz w:val="21"/>
                      <w:highlight w:val="none"/>
                    </w:rPr>
                  </w:pPr>
                  <w:r>
                    <w:rPr>
                      <w:rFonts w:hint="eastAsia" w:ascii="Times New Roman" w:hAnsi="Times New Roman" w:eastAsia="宋体" w:cs="Times New Roman"/>
                      <w:bCs/>
                      <w:color w:val="auto"/>
                      <w:sz w:val="21"/>
                      <w:highlight w:val="none"/>
                    </w:rPr>
                    <w:t>企业在无组织排放排查整治过程中，在保证安全的前提下，加强含VOCs物料全方位、全链条、全环节密闭管理。储存环节应采用密闭容器、包装袋，高效密封储罐，封闭式储库、料仓等。装卸、转移和输送环节应采用密闭管道或密闭容器、罐车等。生产和使用环节应采用密闭设备，或在密闭空间中操作并有效收集废气，或进行局部气体收集；非取用状态时容器应密闭。处置环节应将盛装过VOCs物料的包装容器、含VOCs废料（渣、液）、废吸附剂等通过加盖、封装等方式密闭，妥善存放，不得随意丢弃，7月15日前集中清运一次，交有资质的单位处置；处置单位在贮存、清洗、破碎等环节应按要求对VOCs无组织排放废气进行收集、处理。高VOCs含量废水的集输、储存和处理环节，应加盖密闭</w:t>
                  </w:r>
                </w:p>
              </w:tc>
              <w:tc>
                <w:tcPr>
                  <w:tcW w:w="1205" w:type="pct"/>
                  <w:tcBorders>
                    <w:tl2br w:val="nil"/>
                    <w:tr2bl w:val="nil"/>
                  </w:tcBorders>
                  <w:vAlign w:val="center"/>
                </w:tcPr>
                <w:p w14:paraId="124D39E3">
                  <w:pPr>
                    <w:pStyle w:val="24"/>
                    <w:spacing w:line="240" w:lineRule="auto"/>
                    <w:rPr>
                      <w:rFonts w:ascii="Times New Roman" w:hAnsi="Times New Roman" w:eastAsia="宋体" w:cs="Times New Roman"/>
                      <w:bCs/>
                      <w:color w:val="auto"/>
                      <w:sz w:val="21"/>
                      <w:highlight w:val="none"/>
                    </w:rPr>
                  </w:pPr>
                  <w:r>
                    <w:rPr>
                      <w:rFonts w:ascii="Times New Roman" w:hAnsi="Times New Roman" w:eastAsia="宋体" w:cs="Times New Roman"/>
                      <w:bCs/>
                      <w:color w:val="auto"/>
                      <w:sz w:val="21"/>
                      <w:highlight w:val="none"/>
                    </w:rPr>
                    <w:t>本项目</w:t>
                  </w:r>
                  <w:r>
                    <w:rPr>
                      <w:rFonts w:hint="eastAsia"/>
                      <w:bCs/>
                      <w:color w:val="auto"/>
                      <w:highlight w:val="none"/>
                    </w:rPr>
                    <w:t>贮存废液压油、废空压机油、废汽轮机油、废变压器油、废润滑油、废油漆桶、废油桶通过</w:t>
                  </w:r>
                  <w:r>
                    <w:rPr>
                      <w:rFonts w:hint="eastAsia"/>
                      <w:bCs/>
                      <w:color w:val="auto"/>
                      <w:highlight w:val="none"/>
                      <w:lang w:eastAsia="zh-CN"/>
                    </w:rPr>
                    <w:t>桶装加盖密封贮存</w:t>
                  </w:r>
                  <w:r>
                    <w:rPr>
                      <w:rFonts w:hint="eastAsia"/>
                      <w:bCs/>
                      <w:color w:val="auto"/>
                      <w:highlight w:val="none"/>
                      <w:lang w:val="en-US" w:eastAsia="zh-CN"/>
                    </w:rPr>
                    <w:t>+密闭车间</w:t>
                  </w:r>
                  <w:r>
                    <w:rPr>
                      <w:rFonts w:hint="eastAsia"/>
                      <w:bCs/>
                      <w:color w:val="auto"/>
                      <w:highlight w:val="none"/>
                    </w:rPr>
                    <w:t>等防治措施</w:t>
                  </w:r>
                  <w:r>
                    <w:rPr>
                      <w:rFonts w:hint="eastAsia" w:ascii="Times New Roman" w:hAnsi="Times New Roman" w:eastAsia="宋体" w:cs="Times New Roman"/>
                      <w:bCs/>
                      <w:color w:val="auto"/>
                      <w:sz w:val="21"/>
                      <w:highlight w:val="none"/>
                    </w:rPr>
                    <w:t>，在保证安全可操作性强的前提下，加强含VOCs物料全方位、全链条、全环节密闭管理</w:t>
                  </w:r>
                </w:p>
              </w:tc>
              <w:tc>
                <w:tcPr>
                  <w:tcW w:w="436" w:type="pct"/>
                  <w:tcBorders>
                    <w:tl2br w:val="nil"/>
                    <w:tr2bl w:val="nil"/>
                  </w:tcBorders>
                  <w:vAlign w:val="center"/>
                </w:tcPr>
                <w:p w14:paraId="20C77119">
                  <w:pPr>
                    <w:pStyle w:val="24"/>
                    <w:spacing w:line="240" w:lineRule="auto"/>
                    <w:rPr>
                      <w:rFonts w:ascii="Times New Roman" w:hAnsi="Times New Roman" w:eastAsia="宋体" w:cs="Times New Roman"/>
                      <w:bCs/>
                      <w:color w:val="auto"/>
                      <w:sz w:val="21"/>
                      <w:highlight w:val="none"/>
                    </w:rPr>
                  </w:pPr>
                  <w:r>
                    <w:rPr>
                      <w:rFonts w:hint="eastAsia" w:ascii="Times New Roman" w:hAnsi="Times New Roman" w:eastAsia="宋体" w:cs="Times New Roman"/>
                      <w:bCs/>
                      <w:color w:val="auto"/>
                      <w:sz w:val="21"/>
                      <w:highlight w:val="none"/>
                    </w:rPr>
                    <w:t>符合</w:t>
                  </w:r>
                </w:p>
              </w:tc>
            </w:tr>
          </w:tbl>
          <w:p w14:paraId="542374D7">
            <w:pPr>
              <w:bidi w:val="0"/>
              <w:rPr>
                <w:color w:val="auto"/>
                <w:highlight w:val="none"/>
              </w:rPr>
            </w:pPr>
            <w:r>
              <w:rPr>
                <w:rFonts w:hint="eastAsia"/>
                <w:color w:val="auto"/>
                <w:highlight w:val="none"/>
              </w:rPr>
              <w:t>本项目与《关于印发《2020年挥发性有机物治理攻坚方案》的通知》（环大气〔2020〕33号）中相关内容符合。</w:t>
            </w:r>
          </w:p>
          <w:p w14:paraId="640E220B">
            <w:pPr>
              <w:bidi w:val="0"/>
              <w:rPr>
                <w:rFonts w:hint="eastAsia"/>
                <w:b/>
                <w:bCs/>
                <w:color w:val="auto"/>
                <w:highlight w:val="none"/>
              </w:rPr>
            </w:pPr>
            <w:r>
              <w:rPr>
                <w:rFonts w:hint="eastAsia"/>
                <w:b/>
                <w:bCs/>
                <w:color w:val="auto"/>
                <w:highlight w:val="none"/>
              </w:rPr>
              <w:t>5.</w:t>
            </w:r>
            <w:r>
              <w:rPr>
                <w:rFonts w:hint="eastAsia"/>
                <w:b/>
                <w:bCs/>
                <w:color w:val="auto"/>
                <w:highlight w:val="none"/>
                <w:lang w:val="en-US" w:eastAsia="zh-CN"/>
              </w:rPr>
              <w:t>10</w:t>
            </w:r>
            <w:r>
              <w:rPr>
                <w:rFonts w:hint="eastAsia"/>
                <w:b/>
                <w:bCs/>
                <w:color w:val="auto"/>
                <w:highlight w:val="none"/>
              </w:rPr>
              <w:t>本项目与《关于加快解决当前挥发性有机物治理突出问题的通知》（环大气〔2021〕65号）的符合性分析</w:t>
            </w:r>
          </w:p>
          <w:p w14:paraId="50391B95">
            <w:pPr>
              <w:bidi w:val="0"/>
              <w:rPr>
                <w:rFonts w:hint="eastAsia"/>
                <w:b/>
                <w:bCs/>
                <w:color w:val="auto"/>
                <w:highlight w:val="none"/>
              </w:rPr>
            </w:pPr>
          </w:p>
          <w:p w14:paraId="2AD74413">
            <w:pPr>
              <w:bidi w:val="0"/>
              <w:ind w:firstLine="0" w:firstLineChars="0"/>
              <w:rPr>
                <w:rFonts w:hint="eastAsia"/>
                <w:b/>
                <w:bCs/>
                <w:color w:val="auto"/>
                <w:highlight w:val="none"/>
              </w:rPr>
            </w:pPr>
          </w:p>
          <w:p w14:paraId="4206107A">
            <w:pPr>
              <w:pStyle w:val="25"/>
              <w:bidi w:val="0"/>
              <w:rPr>
                <w:rFonts w:cs="Times New Roman"/>
                <w:color w:val="auto"/>
                <w:sz w:val="24"/>
                <w:szCs w:val="24"/>
                <w:highlight w:val="none"/>
              </w:rPr>
            </w:pPr>
            <w:r>
              <w:rPr>
                <w:rFonts w:cs="Times New Roman"/>
                <w:color w:val="auto"/>
                <w:sz w:val="24"/>
                <w:szCs w:val="24"/>
                <w:highlight w:val="none"/>
              </w:rPr>
              <w:t>与</w:t>
            </w:r>
            <w:r>
              <w:rPr>
                <w:rFonts w:hint="eastAsia" w:cs="Times New Roman"/>
                <w:color w:val="auto"/>
                <w:sz w:val="24"/>
                <w:szCs w:val="24"/>
                <w:highlight w:val="none"/>
              </w:rPr>
              <w:t>《关于加快解决当前挥发性有机物治理突出问题的通知》（环大气〔2021〕65号）</w:t>
            </w:r>
            <w:r>
              <w:rPr>
                <w:rFonts w:cs="Times New Roman"/>
                <w:color w:val="auto"/>
                <w:sz w:val="24"/>
                <w:szCs w:val="24"/>
                <w:highlight w:val="none"/>
              </w:rPr>
              <w:t>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6"/>
              <w:gridCol w:w="3354"/>
              <w:gridCol w:w="3763"/>
              <w:gridCol w:w="687"/>
            </w:tblGrid>
            <w:tr w14:paraId="1649E1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3" w:type="pct"/>
                  <w:tcBorders>
                    <w:tl2br w:val="nil"/>
                    <w:tr2bl w:val="nil"/>
                  </w:tcBorders>
                  <w:vAlign w:val="center"/>
                </w:tcPr>
                <w:p w14:paraId="24C32979">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序号</w:t>
                  </w:r>
                </w:p>
              </w:tc>
              <w:tc>
                <w:tcPr>
                  <w:tcW w:w="2052" w:type="pct"/>
                  <w:tcBorders>
                    <w:tl2br w:val="nil"/>
                    <w:tr2bl w:val="nil"/>
                  </w:tcBorders>
                  <w:vAlign w:val="center"/>
                </w:tcPr>
                <w:p w14:paraId="267A9375">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分析内容</w:t>
                  </w:r>
                </w:p>
              </w:tc>
              <w:tc>
                <w:tcPr>
                  <w:tcW w:w="2302" w:type="pct"/>
                  <w:tcBorders>
                    <w:tl2br w:val="nil"/>
                    <w:tr2bl w:val="nil"/>
                  </w:tcBorders>
                  <w:vAlign w:val="center"/>
                </w:tcPr>
                <w:p w14:paraId="3C2614F9">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本项目情况</w:t>
                  </w:r>
                </w:p>
              </w:tc>
              <w:tc>
                <w:tcPr>
                  <w:tcW w:w="420" w:type="pct"/>
                  <w:tcBorders>
                    <w:tl2br w:val="nil"/>
                    <w:tr2bl w:val="nil"/>
                  </w:tcBorders>
                  <w:vAlign w:val="center"/>
                </w:tcPr>
                <w:p w14:paraId="24209FAE">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分析结果</w:t>
                  </w:r>
                </w:p>
              </w:tc>
            </w:tr>
            <w:tr w14:paraId="2B579B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3" w:type="pct"/>
                  <w:tcBorders>
                    <w:tl2br w:val="nil"/>
                    <w:tr2bl w:val="nil"/>
                  </w:tcBorders>
                  <w:vAlign w:val="center"/>
                </w:tcPr>
                <w:p w14:paraId="0E38505A">
                  <w:pPr>
                    <w:pStyle w:val="24"/>
                    <w:spacing w:line="240" w:lineRule="auto"/>
                    <w:rPr>
                      <w:rFonts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1</w:t>
                  </w:r>
                </w:p>
              </w:tc>
              <w:tc>
                <w:tcPr>
                  <w:tcW w:w="2052" w:type="pct"/>
                  <w:tcBorders>
                    <w:tl2br w:val="nil"/>
                    <w:tr2bl w:val="nil"/>
                  </w:tcBorders>
                  <w:vAlign w:val="center"/>
                </w:tcPr>
                <w:p w14:paraId="61EF5E11">
                  <w:pPr>
                    <w:pStyle w:val="24"/>
                    <w:spacing w:line="240" w:lineRule="auto"/>
                    <w:rPr>
                      <w:rFonts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含VOCs废水集输、储存和处理过程未按照标准要求密闭或密闭不严，敞开液面逸散VOCs排放未得到有效收集；高低浓度VOCs废气未分质收集；治理设施简易低效，无法实现稳定达标排放</w:t>
                  </w:r>
                </w:p>
              </w:tc>
              <w:tc>
                <w:tcPr>
                  <w:tcW w:w="2302" w:type="pct"/>
                  <w:tcBorders>
                    <w:tl2br w:val="nil"/>
                    <w:tr2bl w:val="nil"/>
                  </w:tcBorders>
                  <w:vAlign w:val="center"/>
                </w:tcPr>
                <w:p w14:paraId="316E9B63">
                  <w:pPr>
                    <w:pStyle w:val="24"/>
                    <w:spacing w:line="240" w:lineRule="auto"/>
                    <w:rPr>
                      <w:rFonts w:ascii="Times New Roman" w:hAnsi="Times New Roman" w:eastAsia="宋体" w:cs="Times New Roman"/>
                      <w:bCs/>
                      <w:color w:val="auto"/>
                      <w:sz w:val="21"/>
                      <w:szCs w:val="21"/>
                      <w:highlight w:val="none"/>
                    </w:rPr>
                  </w:pPr>
                  <w:r>
                    <w:rPr>
                      <w:rFonts w:ascii="Times New Roman" w:hAnsi="Times New Roman" w:eastAsia="宋体" w:cs="Times New Roman"/>
                      <w:bCs/>
                      <w:color w:val="auto"/>
                      <w:sz w:val="21"/>
                      <w:highlight w:val="none"/>
                    </w:rPr>
                    <w:t>本项目</w:t>
                  </w:r>
                  <w:r>
                    <w:rPr>
                      <w:rFonts w:hint="eastAsia"/>
                      <w:bCs/>
                      <w:color w:val="auto"/>
                      <w:highlight w:val="none"/>
                    </w:rPr>
                    <w:t>贮存废液压油、废空压机油、废汽轮机油、废变压器油、废润滑油、废油漆桶、废油桶通过</w:t>
                  </w:r>
                  <w:r>
                    <w:rPr>
                      <w:rFonts w:hint="eastAsia"/>
                      <w:bCs/>
                      <w:color w:val="auto"/>
                      <w:highlight w:val="none"/>
                      <w:lang w:eastAsia="zh-CN"/>
                    </w:rPr>
                    <w:t>桶装加盖密封贮存</w:t>
                  </w:r>
                  <w:r>
                    <w:rPr>
                      <w:rFonts w:hint="eastAsia"/>
                      <w:bCs/>
                      <w:color w:val="auto"/>
                      <w:highlight w:val="none"/>
                      <w:lang w:val="en-US" w:eastAsia="zh-CN"/>
                    </w:rPr>
                    <w:t>+密闭车间</w:t>
                  </w:r>
                  <w:r>
                    <w:rPr>
                      <w:rFonts w:hint="eastAsia"/>
                      <w:bCs/>
                      <w:color w:val="auto"/>
                      <w:highlight w:val="none"/>
                    </w:rPr>
                    <w:t>等防治措施</w:t>
                  </w:r>
                  <w:r>
                    <w:rPr>
                      <w:rFonts w:hint="eastAsia"/>
                      <w:bCs/>
                      <w:color w:val="auto"/>
                      <w:highlight w:val="none"/>
                      <w:lang w:eastAsia="zh-CN"/>
                    </w:rPr>
                    <w:t>，</w:t>
                  </w:r>
                  <w:r>
                    <w:rPr>
                      <w:rFonts w:hint="eastAsia" w:ascii="Times New Roman" w:hAnsi="Times New Roman" w:eastAsia="宋体" w:cs="Times New Roman"/>
                      <w:bCs/>
                      <w:color w:val="auto"/>
                      <w:sz w:val="21"/>
                      <w:szCs w:val="21"/>
                      <w:highlight w:val="none"/>
                    </w:rPr>
                    <w:t>减少敞开液面逸散VOCs排放</w:t>
                  </w:r>
                </w:p>
              </w:tc>
              <w:tc>
                <w:tcPr>
                  <w:tcW w:w="420" w:type="pct"/>
                  <w:tcBorders>
                    <w:tl2br w:val="nil"/>
                    <w:tr2bl w:val="nil"/>
                  </w:tcBorders>
                  <w:vAlign w:val="center"/>
                </w:tcPr>
                <w:p w14:paraId="44849497">
                  <w:pPr>
                    <w:pStyle w:val="24"/>
                    <w:spacing w:line="240" w:lineRule="auto"/>
                    <w:rPr>
                      <w:rFonts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符合</w:t>
                  </w:r>
                </w:p>
              </w:tc>
            </w:tr>
          </w:tbl>
          <w:p w14:paraId="02AF1BF5">
            <w:pPr>
              <w:bidi w:val="0"/>
              <w:rPr>
                <w:color w:val="auto"/>
                <w:highlight w:val="none"/>
              </w:rPr>
            </w:pPr>
            <w:r>
              <w:rPr>
                <w:rFonts w:hint="eastAsia"/>
                <w:color w:val="auto"/>
                <w:highlight w:val="none"/>
              </w:rPr>
              <w:t>本项目与《关于加快解决当前挥发性有机物治理突出问题的通知》（环大气〔2021〕65号）中相关内容符合。</w:t>
            </w:r>
          </w:p>
          <w:p w14:paraId="63D2F72E">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eastAsia"/>
                <w:b/>
                <w:bCs/>
                <w:color w:val="auto"/>
                <w:highlight w:val="none"/>
              </w:rPr>
            </w:pPr>
            <w:r>
              <w:rPr>
                <w:rFonts w:hint="eastAsia"/>
                <w:b/>
                <w:bCs/>
                <w:color w:val="auto"/>
                <w:highlight w:val="none"/>
              </w:rPr>
              <w:t>5.</w:t>
            </w:r>
            <w:r>
              <w:rPr>
                <w:rFonts w:hint="eastAsia"/>
                <w:b/>
                <w:bCs/>
                <w:color w:val="auto"/>
                <w:highlight w:val="none"/>
                <w:lang w:val="en-US" w:eastAsia="zh-CN"/>
              </w:rPr>
              <w:t>11</w:t>
            </w:r>
            <w:r>
              <w:rPr>
                <w:rFonts w:hint="eastAsia"/>
                <w:b/>
                <w:bCs/>
                <w:color w:val="auto"/>
                <w:highlight w:val="none"/>
              </w:rPr>
              <w:t>本项目与关于印发《朝阳市深入打好重污染天气消除、臭氧污染防治和柴油货车污染治理攻坚战新突破三年行动方案》的通知（朝环发〔2023〕44号）的符合性分析</w:t>
            </w:r>
          </w:p>
          <w:p w14:paraId="2C71B77E">
            <w:pPr>
              <w:pStyle w:val="25"/>
              <w:bidi w:val="0"/>
              <w:rPr>
                <w:color w:val="auto"/>
                <w:highlight w:val="none"/>
              </w:rPr>
            </w:pPr>
            <w:r>
              <w:rPr>
                <w:color w:val="auto"/>
                <w:highlight w:val="none"/>
              </w:rPr>
              <w:t>与</w:t>
            </w:r>
            <w:r>
              <w:rPr>
                <w:rFonts w:hint="eastAsia"/>
                <w:color w:val="auto"/>
                <w:highlight w:val="none"/>
              </w:rPr>
              <w:t>关于印发《朝阳市深入打好重污染天气消除、臭氧污染防治和柴油货车污染治理攻坚战新突破三年行动方案》的通知（朝环发〔2023〕44号）</w:t>
            </w:r>
            <w:r>
              <w:rPr>
                <w:color w:val="auto"/>
                <w:highlight w:val="none"/>
              </w:rPr>
              <w:t>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6"/>
              <w:gridCol w:w="5544"/>
              <w:gridCol w:w="1575"/>
              <w:gridCol w:w="665"/>
            </w:tblGrid>
            <w:tr w14:paraId="34530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tcBorders>
                    <w:tl2br w:val="nil"/>
                    <w:tr2bl w:val="nil"/>
                  </w:tcBorders>
                  <w:vAlign w:val="center"/>
                </w:tcPr>
                <w:p w14:paraId="5DB6F40B">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序号</w:t>
                  </w:r>
                </w:p>
              </w:tc>
              <w:tc>
                <w:tcPr>
                  <w:tcW w:w="3391" w:type="pct"/>
                  <w:tcBorders>
                    <w:tl2br w:val="nil"/>
                    <w:tr2bl w:val="nil"/>
                  </w:tcBorders>
                  <w:vAlign w:val="center"/>
                </w:tcPr>
                <w:p w14:paraId="16A1D911">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分析内容</w:t>
                  </w:r>
                </w:p>
              </w:tc>
              <w:tc>
                <w:tcPr>
                  <w:tcW w:w="963" w:type="pct"/>
                  <w:tcBorders>
                    <w:tl2br w:val="nil"/>
                    <w:tr2bl w:val="nil"/>
                  </w:tcBorders>
                  <w:vAlign w:val="center"/>
                </w:tcPr>
                <w:p w14:paraId="471DB96E">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本项目情况</w:t>
                  </w:r>
                </w:p>
              </w:tc>
              <w:tc>
                <w:tcPr>
                  <w:tcW w:w="407" w:type="pct"/>
                  <w:tcBorders>
                    <w:tl2br w:val="nil"/>
                    <w:tr2bl w:val="nil"/>
                  </w:tcBorders>
                  <w:vAlign w:val="center"/>
                </w:tcPr>
                <w:p w14:paraId="60B7D808">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分析结果</w:t>
                  </w:r>
                </w:p>
              </w:tc>
            </w:tr>
            <w:tr w14:paraId="0C6535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 w:type="pct"/>
                  <w:tcBorders>
                    <w:tl2br w:val="nil"/>
                    <w:tr2bl w:val="nil"/>
                  </w:tcBorders>
                  <w:vAlign w:val="center"/>
                </w:tcPr>
                <w:p w14:paraId="6703EE5A">
                  <w:pPr>
                    <w:pStyle w:val="24"/>
                    <w:spacing w:line="240" w:lineRule="auto"/>
                    <w:rPr>
                      <w:rFonts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1</w:t>
                  </w:r>
                </w:p>
              </w:tc>
              <w:tc>
                <w:tcPr>
                  <w:tcW w:w="3391" w:type="pct"/>
                  <w:tcBorders>
                    <w:tl2br w:val="nil"/>
                    <w:tr2bl w:val="nil"/>
                  </w:tcBorders>
                  <w:vAlign w:val="center"/>
                </w:tcPr>
                <w:p w14:paraId="47C4A955">
                  <w:pPr>
                    <w:pStyle w:val="24"/>
                    <w:spacing w:line="240" w:lineRule="auto"/>
                    <w:rPr>
                      <w:rFonts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统筹大气污染防治与“双碳”目标要求，将打好重污染天气消除、臭氧污染防治和柴油货车污染治理三个标志性战役任务措施与降碳措施一体谋划、一体推进，优化调整产业、能源、运输结构，从源头减少大气污染物和碳排放，推进绿色低碳发展实现新突破。促进产业绿色转型升级，坚决遏制高耗能、高排放、低水平项目盲目发展，开展传统产业集群和工业园区升级改造。推动能源清洁低碳转型，开展散煤清洁化替代和供热管网覆盖范围内燃煤锅炉关停整合。构建绿色交通运输体系，坚持“车、油、路、企”统筹，以柴油货车和非道路移动机械为监管重点，聚焦煤炭、焦炭、矿石等大宗物料运输通道，坚持源头防控、过程防控和协同防控，加快推进“公转铁”，提高机动车和非道路移动机械绿色低碳水平。聚焦挥发性有机物（VOCs）、氮氧化物（NOx）等多污染物协同减排。以化工、涂装、制药、包装印刷和油品储运销等为重点，加强VOCs源头、无组织、末端全流程治理。高质量完成钢铁行业超低排放改造，推动玻璃、矿物棉、铸造、石灰、电石等行业深度治理。严把治理工程质量，多措并举治理低价中标乱象。统筹做好大气污染防治过程中安全防范工作</w:t>
                  </w:r>
                </w:p>
              </w:tc>
              <w:tc>
                <w:tcPr>
                  <w:tcW w:w="963" w:type="pct"/>
                  <w:tcBorders>
                    <w:tl2br w:val="nil"/>
                    <w:tr2bl w:val="nil"/>
                  </w:tcBorders>
                  <w:vAlign w:val="center"/>
                </w:tcPr>
                <w:p w14:paraId="38F372B7">
                  <w:pPr>
                    <w:pStyle w:val="24"/>
                    <w:spacing w:line="240" w:lineRule="auto"/>
                    <w:rPr>
                      <w:rFonts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本项目为北票发电有限责任公司配套建设的危险废物贮存项目，项目</w:t>
                  </w:r>
                  <w:r>
                    <w:rPr>
                      <w:rFonts w:hint="eastAsia" w:ascii="Times New Roman" w:hAnsi="Times New Roman" w:eastAsia="宋体" w:cs="Times New Roman"/>
                      <w:color w:val="auto"/>
                      <w:sz w:val="21"/>
                      <w:szCs w:val="21"/>
                      <w:highlight w:val="none"/>
                    </w:rPr>
                    <w:t>单纯收集、贮存企业产生的危险废物，不属于</w:t>
                  </w:r>
                  <w:r>
                    <w:rPr>
                      <w:rFonts w:hint="eastAsia" w:ascii="Times New Roman" w:hAnsi="Times New Roman" w:eastAsia="宋体" w:cs="Times New Roman"/>
                      <w:bCs/>
                      <w:color w:val="auto"/>
                      <w:sz w:val="21"/>
                      <w:szCs w:val="21"/>
                      <w:highlight w:val="none"/>
                    </w:rPr>
                    <w:t>高耗能、高排放、低水平项目；</w:t>
                  </w:r>
                  <w:r>
                    <w:rPr>
                      <w:rFonts w:hint="eastAsia"/>
                      <w:color w:val="auto"/>
                      <w:highlight w:val="none"/>
                    </w:rPr>
                    <w:t>本项目大气污染物产生量较小，并</w:t>
                  </w:r>
                  <w:r>
                    <w:rPr>
                      <w:rFonts w:hint="eastAsia"/>
                      <w:color w:val="auto"/>
                      <w:highlight w:val="none"/>
                      <w:lang w:eastAsia="zh-CN"/>
                    </w:rPr>
                    <w:t>通过桶装加盖贮存</w:t>
                  </w:r>
                  <w:r>
                    <w:rPr>
                      <w:rFonts w:hint="eastAsia"/>
                      <w:color w:val="auto"/>
                      <w:highlight w:val="none"/>
                    </w:rPr>
                    <w:t>等措施综合减少污染物排放</w:t>
                  </w:r>
                </w:p>
              </w:tc>
              <w:tc>
                <w:tcPr>
                  <w:tcW w:w="407" w:type="pct"/>
                  <w:tcBorders>
                    <w:tl2br w:val="nil"/>
                    <w:tr2bl w:val="nil"/>
                  </w:tcBorders>
                  <w:vAlign w:val="center"/>
                </w:tcPr>
                <w:p w14:paraId="540F97CB">
                  <w:pPr>
                    <w:pStyle w:val="24"/>
                    <w:spacing w:line="240" w:lineRule="auto"/>
                    <w:rPr>
                      <w:rFonts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rPr>
                    <w:t>符合</w:t>
                  </w:r>
                </w:p>
              </w:tc>
            </w:tr>
          </w:tbl>
          <w:p w14:paraId="10CB14BB">
            <w:pPr>
              <w:bidi w:val="0"/>
              <w:rPr>
                <w:color w:val="auto"/>
                <w:highlight w:val="none"/>
              </w:rPr>
            </w:pPr>
            <w:r>
              <w:rPr>
                <w:rFonts w:hint="eastAsia"/>
                <w:color w:val="auto"/>
                <w:highlight w:val="none"/>
              </w:rPr>
              <w:t>本项目与《关于印发《朝阳市深入打好重污染天气消除、臭氧污染防治和柴油货车污染治理攻坚战新突破三年行动方案》的通知》（朝环发〔2023〕44号）中相关内容符合。</w:t>
            </w:r>
          </w:p>
          <w:p w14:paraId="750AFBC1">
            <w:pPr>
              <w:bidi w:val="0"/>
              <w:rPr>
                <w:b/>
                <w:bCs/>
                <w:color w:val="auto"/>
                <w:highlight w:val="none"/>
              </w:rPr>
            </w:pPr>
            <w:r>
              <w:rPr>
                <w:rFonts w:hint="eastAsia"/>
                <w:b/>
                <w:bCs/>
                <w:color w:val="auto"/>
                <w:highlight w:val="none"/>
              </w:rPr>
              <w:t>5.1</w:t>
            </w:r>
            <w:r>
              <w:rPr>
                <w:rFonts w:hint="eastAsia"/>
                <w:b/>
                <w:bCs/>
                <w:color w:val="auto"/>
                <w:highlight w:val="none"/>
                <w:lang w:val="en-US" w:eastAsia="zh-CN"/>
              </w:rPr>
              <w:t>2</w:t>
            </w:r>
            <w:r>
              <w:rPr>
                <w:rFonts w:hint="eastAsia"/>
                <w:b/>
                <w:bCs/>
                <w:color w:val="auto"/>
                <w:highlight w:val="none"/>
              </w:rPr>
              <w:t>本项目与《中华人民共和国防沙治沙法》的符合性分析</w:t>
            </w:r>
          </w:p>
          <w:p w14:paraId="7C3400E1">
            <w:pPr>
              <w:pStyle w:val="25"/>
              <w:bidi w:val="0"/>
              <w:rPr>
                <w:color w:val="auto"/>
                <w:highlight w:val="none"/>
              </w:rPr>
            </w:pPr>
            <w:r>
              <w:rPr>
                <w:color w:val="auto"/>
                <w:highlight w:val="none"/>
              </w:rPr>
              <w:t>与</w:t>
            </w:r>
            <w:r>
              <w:rPr>
                <w:rFonts w:hint="eastAsia"/>
                <w:color w:val="auto"/>
                <w:highlight w:val="none"/>
              </w:rPr>
              <w:t>《中华人民共和国防沙治沙法》</w:t>
            </w:r>
            <w:r>
              <w:rPr>
                <w:color w:val="auto"/>
                <w:highlight w:val="none"/>
              </w:rPr>
              <w:t>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4"/>
              <w:gridCol w:w="3643"/>
              <w:gridCol w:w="3441"/>
              <w:gridCol w:w="672"/>
            </w:tblGrid>
            <w:tr w14:paraId="68519B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3" w:type="pct"/>
                  <w:tcBorders>
                    <w:tl2br w:val="nil"/>
                    <w:tr2bl w:val="nil"/>
                  </w:tcBorders>
                  <w:vAlign w:val="center"/>
                </w:tcPr>
                <w:p w14:paraId="5F227C88">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序号</w:t>
                  </w:r>
                </w:p>
              </w:tc>
              <w:tc>
                <w:tcPr>
                  <w:tcW w:w="2229" w:type="pct"/>
                  <w:tcBorders>
                    <w:tl2br w:val="nil"/>
                    <w:tr2bl w:val="nil"/>
                  </w:tcBorders>
                  <w:vAlign w:val="center"/>
                </w:tcPr>
                <w:p w14:paraId="00291D52">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分析内容</w:t>
                  </w:r>
                </w:p>
              </w:tc>
              <w:tc>
                <w:tcPr>
                  <w:tcW w:w="2105" w:type="pct"/>
                  <w:tcBorders>
                    <w:tl2br w:val="nil"/>
                    <w:tr2bl w:val="nil"/>
                  </w:tcBorders>
                  <w:vAlign w:val="center"/>
                </w:tcPr>
                <w:p w14:paraId="380A6EAD">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本项目情况</w:t>
                  </w:r>
                </w:p>
              </w:tc>
              <w:tc>
                <w:tcPr>
                  <w:tcW w:w="411" w:type="pct"/>
                  <w:tcBorders>
                    <w:tl2br w:val="nil"/>
                    <w:tr2bl w:val="nil"/>
                  </w:tcBorders>
                  <w:vAlign w:val="center"/>
                </w:tcPr>
                <w:p w14:paraId="738EDF9A">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分析结果</w:t>
                  </w:r>
                </w:p>
              </w:tc>
            </w:tr>
            <w:tr w14:paraId="6D4BA3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3" w:type="pct"/>
                  <w:tcBorders>
                    <w:tl2br w:val="nil"/>
                    <w:tr2bl w:val="nil"/>
                  </w:tcBorders>
                  <w:vAlign w:val="center"/>
                </w:tcPr>
                <w:p w14:paraId="55495A5E">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w:t>
                  </w:r>
                </w:p>
              </w:tc>
              <w:tc>
                <w:tcPr>
                  <w:tcW w:w="2229" w:type="pct"/>
                  <w:tcBorders>
                    <w:tl2br w:val="nil"/>
                    <w:tr2bl w:val="nil"/>
                  </w:tcBorders>
                  <w:vAlign w:val="center"/>
                </w:tcPr>
                <w:p w14:paraId="5A43E89A">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第二十一条：在沙化土地范围内从事开发建设活动的，必须事先就该项目可能对当地及相关地区生态产生的影响进行环境影响评价，依法提交环境影响报告；环境影响报告应当包括有关防沙治沙的内容</w:t>
                  </w:r>
                </w:p>
              </w:tc>
              <w:tc>
                <w:tcPr>
                  <w:tcW w:w="2105" w:type="pct"/>
                  <w:tcBorders>
                    <w:tl2br w:val="nil"/>
                    <w:tr2bl w:val="nil"/>
                  </w:tcBorders>
                  <w:vAlign w:val="center"/>
                </w:tcPr>
                <w:p w14:paraId="6C719B11">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项目利用北票发电有限责任公司闲置库房进行改造</w:t>
                  </w:r>
                  <w:r>
                    <w:rPr>
                      <w:rFonts w:hint="eastAsia"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项目依法进行环境影响评价编制，并提出</w:t>
                  </w:r>
                  <w:r>
                    <w:rPr>
                      <w:rFonts w:hint="eastAsia" w:eastAsia="宋体" w:cs="Times New Roman"/>
                      <w:color w:val="auto"/>
                      <w:sz w:val="21"/>
                      <w:szCs w:val="21"/>
                      <w:highlight w:val="none"/>
                      <w:lang w:eastAsia="zh-CN"/>
                    </w:rPr>
                    <w:t>危险废物贮存点</w:t>
                  </w:r>
                  <w:r>
                    <w:rPr>
                      <w:rFonts w:hint="eastAsia" w:ascii="Times New Roman" w:hAnsi="Times New Roman" w:eastAsia="宋体" w:cs="Times New Roman"/>
                      <w:color w:val="auto"/>
                      <w:sz w:val="21"/>
                      <w:szCs w:val="21"/>
                      <w:highlight w:val="none"/>
                    </w:rPr>
                    <w:t>地面硬化及防渗等处理措施，项目施工期设置围挡、洒水抑尘等措施</w:t>
                  </w:r>
                </w:p>
              </w:tc>
              <w:tc>
                <w:tcPr>
                  <w:tcW w:w="411" w:type="pct"/>
                  <w:tcBorders>
                    <w:tl2br w:val="nil"/>
                    <w:tr2bl w:val="nil"/>
                  </w:tcBorders>
                  <w:vAlign w:val="center"/>
                </w:tcPr>
                <w:p w14:paraId="41FF833F">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bl>
          <w:p w14:paraId="3F68050F">
            <w:pPr>
              <w:bidi w:val="0"/>
              <w:rPr>
                <w:color w:val="auto"/>
                <w:highlight w:val="none"/>
              </w:rPr>
            </w:pPr>
            <w:r>
              <w:rPr>
                <w:rFonts w:hint="eastAsia"/>
                <w:color w:val="auto"/>
                <w:highlight w:val="none"/>
              </w:rPr>
              <w:t>本项目与《中华人民共和国防沙治沙法》中相关内容符合。</w:t>
            </w:r>
          </w:p>
          <w:p w14:paraId="4C4B5828">
            <w:pPr>
              <w:keepNext w:val="0"/>
              <w:keepLines w:val="0"/>
              <w:pageBreakBefore w:val="0"/>
              <w:widowControl w:val="0"/>
              <w:kinsoku/>
              <w:wordWrap/>
              <w:overflowPunct/>
              <w:topLinePunct w:val="0"/>
              <w:autoSpaceDE/>
              <w:autoSpaceDN/>
              <w:bidi w:val="0"/>
              <w:adjustRightInd/>
              <w:snapToGrid/>
              <w:ind w:firstLine="482" w:firstLineChars="200"/>
              <w:textAlignment w:val="auto"/>
              <w:rPr>
                <w:color w:val="auto"/>
                <w:highlight w:val="none"/>
              </w:rPr>
            </w:pPr>
            <w:r>
              <w:rPr>
                <w:rFonts w:hint="eastAsia"/>
                <w:b/>
                <w:bCs/>
                <w:color w:val="auto"/>
                <w:highlight w:val="none"/>
              </w:rPr>
              <w:t>5.1</w:t>
            </w:r>
            <w:r>
              <w:rPr>
                <w:rFonts w:hint="eastAsia"/>
                <w:b/>
                <w:bCs/>
                <w:color w:val="auto"/>
                <w:highlight w:val="none"/>
                <w:lang w:val="en-US" w:eastAsia="zh-CN"/>
              </w:rPr>
              <w:t>3</w:t>
            </w:r>
            <w:r>
              <w:rPr>
                <w:rFonts w:hint="eastAsia"/>
                <w:b/>
                <w:bCs/>
                <w:color w:val="auto"/>
                <w:highlight w:val="none"/>
              </w:rPr>
              <w:t>本项目与《辽宁省防沙治沙条例》的符合性分析</w:t>
            </w:r>
          </w:p>
          <w:p w14:paraId="30033B13">
            <w:pPr>
              <w:pStyle w:val="25"/>
              <w:bidi w:val="0"/>
              <w:rPr>
                <w:color w:val="auto"/>
                <w:highlight w:val="none"/>
              </w:rPr>
            </w:pPr>
            <w:r>
              <w:rPr>
                <w:color w:val="auto"/>
                <w:highlight w:val="none"/>
              </w:rPr>
              <w:t>与</w:t>
            </w:r>
            <w:r>
              <w:rPr>
                <w:rFonts w:hint="eastAsia"/>
                <w:color w:val="auto"/>
                <w:highlight w:val="none"/>
              </w:rPr>
              <w:t>《辽宁省防沙治沙条例》</w:t>
            </w:r>
            <w:r>
              <w:rPr>
                <w:color w:val="auto"/>
                <w:highlight w:val="none"/>
              </w:rPr>
              <w:t>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4770"/>
              <w:gridCol w:w="2309"/>
              <w:gridCol w:w="664"/>
            </w:tblGrid>
            <w:tr w14:paraId="6BA369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tcBorders>
                    <w:tl2br w:val="nil"/>
                    <w:tr2bl w:val="nil"/>
                  </w:tcBorders>
                  <w:vAlign w:val="center"/>
                </w:tcPr>
                <w:p w14:paraId="1E805CEB">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序号</w:t>
                  </w:r>
                </w:p>
              </w:tc>
              <w:tc>
                <w:tcPr>
                  <w:tcW w:w="2919" w:type="pct"/>
                  <w:tcBorders>
                    <w:tl2br w:val="nil"/>
                    <w:tr2bl w:val="nil"/>
                  </w:tcBorders>
                  <w:vAlign w:val="center"/>
                </w:tcPr>
                <w:p w14:paraId="63629CE5">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分析内容</w:t>
                  </w:r>
                </w:p>
              </w:tc>
              <w:tc>
                <w:tcPr>
                  <w:tcW w:w="1413" w:type="pct"/>
                  <w:tcBorders>
                    <w:tl2br w:val="nil"/>
                    <w:tr2bl w:val="nil"/>
                  </w:tcBorders>
                  <w:vAlign w:val="center"/>
                </w:tcPr>
                <w:p w14:paraId="30FD6BD2">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本项目情况</w:t>
                  </w:r>
                </w:p>
              </w:tc>
              <w:tc>
                <w:tcPr>
                  <w:tcW w:w="406" w:type="pct"/>
                  <w:tcBorders>
                    <w:tl2br w:val="nil"/>
                    <w:tr2bl w:val="nil"/>
                  </w:tcBorders>
                  <w:vAlign w:val="center"/>
                </w:tcPr>
                <w:p w14:paraId="426F02E9">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分析结果</w:t>
                  </w:r>
                </w:p>
              </w:tc>
            </w:tr>
            <w:tr w14:paraId="17878E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tcBorders>
                    <w:tl2br w:val="nil"/>
                    <w:tr2bl w:val="nil"/>
                  </w:tcBorders>
                  <w:vAlign w:val="center"/>
                </w:tcPr>
                <w:p w14:paraId="3C17DF7C">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w:t>
                  </w:r>
                </w:p>
              </w:tc>
              <w:tc>
                <w:tcPr>
                  <w:tcW w:w="2919" w:type="pct"/>
                  <w:tcBorders>
                    <w:tl2br w:val="nil"/>
                    <w:tr2bl w:val="nil"/>
                  </w:tcBorders>
                  <w:vAlign w:val="center"/>
                </w:tcPr>
                <w:p w14:paraId="368F243F">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第二十条 林业、畜牧、国土资源等行政主管部门应当加强沙化土地所在地区林地、草地资源的保护，严格限制征收、征用沙化土地所在地区的林地、草地。禁止非法改变林地、草地用途</w:t>
                  </w:r>
                </w:p>
              </w:tc>
              <w:tc>
                <w:tcPr>
                  <w:tcW w:w="1413" w:type="pct"/>
                  <w:tcBorders>
                    <w:tl2br w:val="nil"/>
                    <w:tr2bl w:val="nil"/>
                  </w:tcBorders>
                  <w:vAlign w:val="center"/>
                </w:tcPr>
                <w:p w14:paraId="7E64411E">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项目利用北票发电有限责任公司闲置库房进行改造，不涉及改变林地、草地用途等事项</w:t>
                  </w:r>
                </w:p>
              </w:tc>
              <w:tc>
                <w:tcPr>
                  <w:tcW w:w="406" w:type="pct"/>
                  <w:tcBorders>
                    <w:tl2br w:val="nil"/>
                    <w:tr2bl w:val="nil"/>
                  </w:tcBorders>
                  <w:vAlign w:val="center"/>
                </w:tcPr>
                <w:p w14:paraId="37204BCD">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r w14:paraId="477382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tcBorders>
                    <w:tl2br w:val="nil"/>
                    <w:tr2bl w:val="nil"/>
                  </w:tcBorders>
                  <w:vAlign w:val="center"/>
                </w:tcPr>
                <w:p w14:paraId="44A4BF8A">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w:t>
                  </w:r>
                </w:p>
              </w:tc>
              <w:tc>
                <w:tcPr>
                  <w:tcW w:w="2919" w:type="pct"/>
                  <w:tcBorders>
                    <w:tl2br w:val="nil"/>
                    <w:tr2bl w:val="nil"/>
                  </w:tcBorders>
                  <w:vAlign w:val="center"/>
                </w:tcPr>
                <w:p w14:paraId="65B0AFCD">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第二十二条 省及沙化土地所在地区的县级以上人民政府应当采取有效措施，鼓励发展替代燃料，开发利用沼气、太阳能、风能等能源，推广节能技术，提高能源利用率；在安排对农业和农村节能技术、节能产品推广应用资金投入中，应当将沙化土地所在地区的新能源开发及节能技术、节能产品推广列为重要内容</w:t>
                  </w:r>
                </w:p>
              </w:tc>
              <w:tc>
                <w:tcPr>
                  <w:tcW w:w="1413" w:type="pct"/>
                  <w:tcBorders>
                    <w:tl2br w:val="nil"/>
                    <w:tr2bl w:val="nil"/>
                  </w:tcBorders>
                  <w:vAlign w:val="center"/>
                </w:tcPr>
                <w:p w14:paraId="4B809854">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本项目运营过程消耗的能源主要为电，不涉及燃料</w:t>
                  </w:r>
                </w:p>
              </w:tc>
              <w:tc>
                <w:tcPr>
                  <w:tcW w:w="406" w:type="pct"/>
                  <w:tcBorders>
                    <w:tl2br w:val="nil"/>
                    <w:tr2bl w:val="nil"/>
                  </w:tcBorders>
                  <w:vAlign w:val="center"/>
                </w:tcPr>
                <w:p w14:paraId="29119FC4">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r w14:paraId="5AAA0F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1" w:type="pct"/>
                  <w:tcBorders>
                    <w:tl2br w:val="nil"/>
                    <w:tr2bl w:val="nil"/>
                  </w:tcBorders>
                  <w:vAlign w:val="center"/>
                </w:tcPr>
                <w:p w14:paraId="5B514DA6">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w:t>
                  </w:r>
                </w:p>
              </w:tc>
              <w:tc>
                <w:tcPr>
                  <w:tcW w:w="2919" w:type="pct"/>
                  <w:tcBorders>
                    <w:tl2br w:val="nil"/>
                    <w:tr2bl w:val="nil"/>
                  </w:tcBorders>
                  <w:vAlign w:val="center"/>
                </w:tcPr>
                <w:p w14:paraId="56ED935A">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第二十三条：在沙化土地范围内从事开发建设活动的，必须依法进行环境影响评价，提交环境影响报告。环境影响报告应当包括有关防沙治沙的内容。环境保护行政主管部门在审批环境影响报告时，应当就报告中有关防沙治沙的内容征求同级林业行政主管部门的意见。开发建设项目中的防沙治沙工程设施建设和生态保护措施的实施，必须与开发建设同步进行</w:t>
                  </w:r>
                </w:p>
              </w:tc>
              <w:tc>
                <w:tcPr>
                  <w:tcW w:w="1413" w:type="pct"/>
                  <w:tcBorders>
                    <w:tl2br w:val="nil"/>
                    <w:tr2bl w:val="nil"/>
                  </w:tcBorders>
                  <w:vAlign w:val="center"/>
                </w:tcPr>
                <w:p w14:paraId="424D5D65">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项目利用北票发电有限责任公司闲置库房进行改造，项目依法进行环境影响评价编制，并包括防沙治沙的内容，项目施工期设置围挡、洒水抑尘等措施</w:t>
                  </w:r>
                </w:p>
              </w:tc>
              <w:tc>
                <w:tcPr>
                  <w:tcW w:w="406" w:type="pct"/>
                  <w:tcBorders>
                    <w:tl2br w:val="nil"/>
                    <w:tr2bl w:val="nil"/>
                  </w:tcBorders>
                  <w:vAlign w:val="center"/>
                </w:tcPr>
                <w:p w14:paraId="036FB5B6">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符合</w:t>
                  </w:r>
                </w:p>
              </w:tc>
            </w:tr>
          </w:tbl>
          <w:p w14:paraId="1653DAF2">
            <w:pPr>
              <w:bidi w:val="0"/>
              <w:rPr>
                <w:color w:val="auto"/>
                <w:highlight w:val="none"/>
              </w:rPr>
            </w:pPr>
            <w:r>
              <w:rPr>
                <w:rFonts w:hint="eastAsia"/>
                <w:color w:val="auto"/>
                <w:highlight w:val="none"/>
              </w:rPr>
              <w:t>本项目与《辽宁省防沙治沙条例》中相关内容符合。</w:t>
            </w:r>
          </w:p>
          <w:p w14:paraId="32E19E58">
            <w:pPr>
              <w:bidi w:val="0"/>
              <w:rPr>
                <w:rFonts w:hint="eastAsia"/>
                <w:b/>
                <w:bCs/>
                <w:color w:val="auto"/>
                <w:highlight w:val="none"/>
              </w:rPr>
            </w:pPr>
            <w:r>
              <w:rPr>
                <w:rFonts w:hint="eastAsia"/>
                <w:b/>
                <w:bCs/>
                <w:color w:val="auto"/>
                <w:highlight w:val="none"/>
              </w:rPr>
              <w:t>5.1</w:t>
            </w:r>
            <w:r>
              <w:rPr>
                <w:rFonts w:hint="eastAsia"/>
                <w:b/>
                <w:bCs/>
                <w:color w:val="auto"/>
                <w:highlight w:val="none"/>
                <w:lang w:val="en-US" w:eastAsia="zh-CN"/>
              </w:rPr>
              <w:t>4</w:t>
            </w:r>
            <w:r>
              <w:rPr>
                <w:rFonts w:hint="eastAsia"/>
                <w:b/>
                <w:bCs/>
                <w:color w:val="auto"/>
                <w:highlight w:val="none"/>
              </w:rPr>
              <w:t>本项目与《辽宁省科尔沁沙地歼灭战和荒漠化综合防治行动方案（2023-2030年）的通知》（辽政办发</w:t>
            </w:r>
            <w:r>
              <w:rPr>
                <w:rFonts w:hint="eastAsia"/>
                <w:b/>
                <w:bCs/>
                <w:color w:val="auto"/>
                <w:highlight w:val="none"/>
                <w:lang w:eastAsia="zh-CN"/>
              </w:rPr>
              <w:t>〔2023〕9号</w:t>
            </w:r>
            <w:r>
              <w:rPr>
                <w:rFonts w:hint="eastAsia"/>
                <w:b/>
                <w:bCs/>
                <w:color w:val="auto"/>
                <w:highlight w:val="none"/>
              </w:rPr>
              <w:t>）符合性分析</w:t>
            </w:r>
          </w:p>
          <w:p w14:paraId="3EDE4145">
            <w:pPr>
              <w:bidi w:val="0"/>
              <w:ind w:firstLine="0" w:firstLineChars="0"/>
              <w:rPr>
                <w:rFonts w:hint="eastAsia"/>
                <w:b/>
                <w:bCs/>
                <w:color w:val="auto"/>
                <w:highlight w:val="none"/>
              </w:rPr>
            </w:pPr>
          </w:p>
          <w:p w14:paraId="29001081">
            <w:pPr>
              <w:pStyle w:val="25"/>
              <w:bidi w:val="0"/>
              <w:rPr>
                <w:rFonts w:cs="Times New Roman"/>
                <w:color w:val="auto"/>
                <w:sz w:val="24"/>
                <w:szCs w:val="24"/>
                <w:highlight w:val="none"/>
              </w:rPr>
            </w:pPr>
            <w:r>
              <w:rPr>
                <w:rFonts w:hint="eastAsia" w:cs="Times New Roman"/>
                <w:color w:val="auto"/>
                <w:sz w:val="24"/>
                <w:szCs w:val="24"/>
                <w:highlight w:val="none"/>
              </w:rPr>
              <w:t>与《辽宁省科尔沁沙地歼灭战和荒漠化综合防治行动方案》符合性分析</w:t>
            </w:r>
          </w:p>
          <w:tbl>
            <w:tblPr>
              <w:tblStyle w:val="16"/>
              <w:tblW w:w="4993"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315"/>
              <w:gridCol w:w="4926"/>
              <w:gridCol w:w="2254"/>
              <w:gridCol w:w="672"/>
            </w:tblGrid>
            <w:tr w14:paraId="17E5300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2" w:type="pct"/>
                  <w:vAlign w:val="center"/>
                </w:tcPr>
                <w:p w14:paraId="5C413268">
                  <w:pPr>
                    <w:pStyle w:val="39"/>
                    <w:adjustRightInd w:val="0"/>
                    <w:snapToGrid w:val="0"/>
                    <w:spacing w:line="240" w:lineRule="auto"/>
                    <w:ind w:firstLine="0" w:firstLineChars="0"/>
                    <w:jc w:val="center"/>
                    <w:rPr>
                      <w:rFonts w:ascii="Times New Roman"/>
                      <w:b/>
                      <w:bCs/>
                      <w:color w:val="auto"/>
                      <w:kern w:val="21"/>
                      <w:sz w:val="21"/>
                      <w:szCs w:val="21"/>
                      <w:highlight w:val="none"/>
                    </w:rPr>
                  </w:pPr>
                  <w:r>
                    <w:rPr>
                      <w:rFonts w:hint="eastAsia" w:ascii="Times New Roman"/>
                      <w:b/>
                      <w:bCs/>
                      <w:color w:val="auto"/>
                      <w:kern w:val="21"/>
                      <w:sz w:val="21"/>
                      <w:szCs w:val="21"/>
                      <w:highlight w:val="none"/>
                    </w:rPr>
                    <w:t>序号</w:t>
                  </w:r>
                </w:p>
              </w:tc>
              <w:tc>
                <w:tcPr>
                  <w:tcW w:w="3015" w:type="pct"/>
                  <w:vAlign w:val="center"/>
                </w:tcPr>
                <w:p w14:paraId="6BD69B55">
                  <w:pPr>
                    <w:pStyle w:val="27"/>
                    <w:spacing w:line="240" w:lineRule="auto"/>
                    <w:rPr>
                      <w:rFonts w:hint="default"/>
                      <w:bCs/>
                      <w:color w:val="auto"/>
                      <w:kern w:val="21"/>
                      <w:highlight w:val="none"/>
                    </w:rPr>
                  </w:pPr>
                  <w:r>
                    <w:rPr>
                      <w:rFonts w:hint="default" w:eastAsia="宋体"/>
                      <w:b/>
                      <w:color w:val="auto"/>
                      <w:sz w:val="21"/>
                      <w:highlight w:val="none"/>
                    </w:rPr>
                    <w:t>分析内容</w:t>
                  </w:r>
                </w:p>
              </w:tc>
              <w:tc>
                <w:tcPr>
                  <w:tcW w:w="1379" w:type="pct"/>
                  <w:vAlign w:val="center"/>
                </w:tcPr>
                <w:p w14:paraId="6414968B">
                  <w:pPr>
                    <w:pStyle w:val="27"/>
                    <w:spacing w:line="240" w:lineRule="auto"/>
                    <w:rPr>
                      <w:rFonts w:hint="default" w:eastAsia="宋体"/>
                      <w:bCs/>
                      <w:color w:val="auto"/>
                      <w:kern w:val="21"/>
                      <w:highlight w:val="none"/>
                    </w:rPr>
                  </w:pPr>
                  <w:r>
                    <w:rPr>
                      <w:rFonts w:hint="default" w:eastAsia="宋体"/>
                      <w:b/>
                      <w:color w:val="auto"/>
                      <w:sz w:val="21"/>
                      <w:highlight w:val="none"/>
                    </w:rPr>
                    <w:t>本项目情况</w:t>
                  </w:r>
                </w:p>
              </w:tc>
              <w:tc>
                <w:tcPr>
                  <w:tcW w:w="411" w:type="pct"/>
                  <w:vAlign w:val="center"/>
                </w:tcPr>
                <w:p w14:paraId="406581AB">
                  <w:pPr>
                    <w:pStyle w:val="39"/>
                    <w:adjustRightInd w:val="0"/>
                    <w:snapToGrid w:val="0"/>
                    <w:spacing w:line="240" w:lineRule="auto"/>
                    <w:ind w:firstLine="0" w:firstLineChars="0"/>
                    <w:jc w:val="center"/>
                    <w:rPr>
                      <w:rFonts w:ascii="Times New Roman"/>
                      <w:b/>
                      <w:bCs/>
                      <w:color w:val="auto"/>
                      <w:kern w:val="21"/>
                      <w:sz w:val="21"/>
                      <w:szCs w:val="21"/>
                      <w:highlight w:val="none"/>
                    </w:rPr>
                  </w:pPr>
                  <w:r>
                    <w:rPr>
                      <w:rFonts w:hint="eastAsia" w:ascii="Times New Roman"/>
                      <w:b/>
                      <w:bCs/>
                      <w:color w:val="auto"/>
                      <w:kern w:val="21"/>
                      <w:sz w:val="21"/>
                      <w:szCs w:val="21"/>
                      <w:highlight w:val="none"/>
                    </w:rPr>
                    <w:t>分析结果</w:t>
                  </w:r>
                </w:p>
              </w:tc>
            </w:tr>
            <w:tr w14:paraId="343AE65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2" w:type="pct"/>
                  <w:vAlign w:val="center"/>
                </w:tcPr>
                <w:p w14:paraId="00B26424">
                  <w:pPr>
                    <w:pStyle w:val="24"/>
                    <w:spacing w:line="240" w:lineRule="auto"/>
                    <w:rPr>
                      <w:color w:val="auto"/>
                      <w:highlight w:val="none"/>
                    </w:rPr>
                  </w:pPr>
                  <w:r>
                    <w:rPr>
                      <w:rFonts w:hint="eastAsia"/>
                      <w:color w:val="auto"/>
                      <w:highlight w:val="none"/>
                    </w:rPr>
                    <w:t>1</w:t>
                  </w:r>
                </w:p>
              </w:tc>
              <w:tc>
                <w:tcPr>
                  <w:tcW w:w="3015" w:type="pct"/>
                  <w:vAlign w:val="center"/>
                </w:tcPr>
                <w:p w14:paraId="27902F93">
                  <w:pPr>
                    <w:pStyle w:val="24"/>
                    <w:spacing w:line="240" w:lineRule="auto"/>
                    <w:rPr>
                      <w:color w:val="auto"/>
                      <w:highlight w:val="none"/>
                    </w:rPr>
                  </w:pPr>
                  <w:r>
                    <w:rPr>
                      <w:rFonts w:hint="eastAsia"/>
                      <w:color w:val="auto"/>
                      <w:highlight w:val="none"/>
                    </w:rPr>
                    <w:t>二、总体要求</w:t>
                  </w:r>
                </w:p>
                <w:p w14:paraId="24AA382C">
                  <w:pPr>
                    <w:pStyle w:val="24"/>
                    <w:spacing w:line="240" w:lineRule="auto"/>
                    <w:rPr>
                      <w:color w:val="auto"/>
                      <w:highlight w:val="none"/>
                    </w:rPr>
                  </w:pPr>
                  <w:r>
                    <w:rPr>
                      <w:rFonts w:hint="eastAsia"/>
                      <w:color w:val="auto"/>
                      <w:highlight w:val="none"/>
                    </w:rPr>
                    <w:t>明确了指导思想和基本原则。依据整体工作安排，科学量化目标任务，分阶段提出了近期目标(2025年)和远期目标(2030年)。到2030年，全面打赢科尔沁沙地歼灭战，荒漠化综合防治取得决定性进展，区域生态系统稳定性显著提高。1、持续提升植被综合盖度。2030年现有沙化林草用地植被综合盖度达到80%以上。2、加大沙化耕地治理力度。对具备灌溉条件的沙化荒漠化耕地，农田防护林配置率2030年不低于70%；沙化耕地治理覆盖率2030年达到100%。3、提高荒漠化林草用地植被综合盖度。2030年达到70%以上。4、合理利用水资源。区域水土保持率目标值 2030年为77.68%。10条重点河流15个控制断面的生态流量保证率不低于90%，生态水量保证率不低于75%。5、扭转林草资源保护形势。2030年林草资源保护形势实现根本性扭转，建立完善的林草资源保护长效机制。6、推广应用绿色惠民模式。新能源开发、生态修复和产业发展相结合的绿色惠民模式2030年得到广泛应用</w:t>
                  </w:r>
                </w:p>
              </w:tc>
              <w:tc>
                <w:tcPr>
                  <w:tcW w:w="1379" w:type="pct"/>
                  <w:vAlign w:val="center"/>
                </w:tcPr>
                <w:p w14:paraId="4A5ADB35">
                  <w:pPr>
                    <w:pStyle w:val="24"/>
                    <w:spacing w:line="240" w:lineRule="auto"/>
                    <w:rPr>
                      <w:color w:val="auto"/>
                      <w:highlight w:val="none"/>
                    </w:rPr>
                  </w:pPr>
                  <w:r>
                    <w:rPr>
                      <w:rFonts w:hint="eastAsia"/>
                      <w:color w:val="auto"/>
                      <w:highlight w:val="none"/>
                    </w:rPr>
                    <w:t>项目占地范围内不涉及沙化林草用地、沙化耕地、荒漠化林草用地。项目不新增用水，不涉及水土保持，河流生态流量等内容。项目不涉及林草资源</w:t>
                  </w:r>
                </w:p>
              </w:tc>
              <w:tc>
                <w:tcPr>
                  <w:tcW w:w="411" w:type="pct"/>
                  <w:vAlign w:val="center"/>
                </w:tcPr>
                <w:p w14:paraId="62CAFE41">
                  <w:pPr>
                    <w:pStyle w:val="24"/>
                    <w:spacing w:line="240" w:lineRule="auto"/>
                    <w:rPr>
                      <w:color w:val="auto"/>
                      <w:highlight w:val="none"/>
                    </w:rPr>
                  </w:pPr>
                  <w:r>
                    <w:rPr>
                      <w:color w:val="auto"/>
                      <w:highlight w:val="none"/>
                    </w:rPr>
                    <w:t>符合</w:t>
                  </w:r>
                </w:p>
              </w:tc>
            </w:tr>
            <w:tr w14:paraId="1E75FC7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2" w:type="pct"/>
                  <w:vAlign w:val="center"/>
                </w:tcPr>
                <w:p w14:paraId="133F3CD7">
                  <w:pPr>
                    <w:pStyle w:val="24"/>
                    <w:spacing w:line="240" w:lineRule="auto"/>
                    <w:rPr>
                      <w:color w:val="auto"/>
                      <w:highlight w:val="none"/>
                    </w:rPr>
                  </w:pPr>
                  <w:r>
                    <w:rPr>
                      <w:rFonts w:hint="eastAsia"/>
                      <w:color w:val="auto"/>
                      <w:highlight w:val="none"/>
                    </w:rPr>
                    <w:t>2</w:t>
                  </w:r>
                </w:p>
              </w:tc>
              <w:tc>
                <w:tcPr>
                  <w:tcW w:w="3015" w:type="pct"/>
                  <w:vAlign w:val="center"/>
                </w:tcPr>
                <w:p w14:paraId="3186EE7E">
                  <w:pPr>
                    <w:pStyle w:val="24"/>
                    <w:spacing w:line="240" w:lineRule="auto"/>
                    <w:rPr>
                      <w:color w:val="auto"/>
                      <w:highlight w:val="none"/>
                    </w:rPr>
                  </w:pPr>
                  <w:r>
                    <w:rPr>
                      <w:rFonts w:hint="eastAsia"/>
                      <w:color w:val="auto"/>
                      <w:highlight w:val="none"/>
                    </w:rPr>
                    <w:t>三、分区布局</w:t>
                  </w:r>
                </w:p>
                <w:p w14:paraId="49BB9F6D">
                  <w:pPr>
                    <w:pStyle w:val="24"/>
                    <w:spacing w:line="240" w:lineRule="auto"/>
                    <w:rPr>
                      <w:color w:val="auto"/>
                      <w:highlight w:val="none"/>
                    </w:rPr>
                  </w:pPr>
                  <w:r>
                    <w:rPr>
                      <w:rFonts w:hint="eastAsia"/>
                      <w:color w:val="auto"/>
                      <w:highlight w:val="none"/>
                    </w:rPr>
                    <w:t>行动范围为全省沙化荒漠化土地分布的9市24县(市、区)，区划为科尔沁沙地歼灭战攻坚区、科尔沁沙地南缘阻击区、沿海沿河沙地治理区和荒漠化综合防治区等4个治理区。1、科尔沁沙地歼灭战攻坚区。包括沈阳市、阜新市和朝阳市的康平县、阜蒙县、彰武县、建平县、北票市5个县(市)。沙化土地面积427万亩，占全省沙化土地面积的63.4%。主要以沙化土地全面治理为重点，实施退化林草修复、沙化耕地治理和小流域综合治理等，实现治理全覆盖。2、科尔沁沙地南缘阻击区。包括沈阳市、锦州市、铁岭市的法库县、新民市、黑山县、义县、昌图县5个县(市)。沙化土地面积 160.50万亩，占全省沙化土地面积的23.9%。主要以沙化耕地治理为重点，开展农田防护林网建设，实施保护性耕作，大力营造科尔沁沙地南缘锁边林草带，阻击科尔沁沙地南侵。3、沿海沿河沙地治理区。包括沈阳市、大连市、鞍山市、盘锦市和葫芦岛市的辽中区、瓦房店市、台安县、盘山县、连山区、龙港区、南票区、绥中县、兴城市9个县(市、区)。主要以海防林等防护林体系建设为重点，加强退化林草修复和湿地生态系统保护修复，提升沿海沿河生态系统质量。4、荒漠化综合防治区。包括朝阳市的双塔区、龙城区、朝阳县、建平县、喀左县、北票市、凌源市7个县(市、区，建平县、北票市与科尔沁沙地歼灭战攻坚区重叠)。荒漠化土地总面积742.53万亩。加强以水土保持林草建设为主的综合治理，提升植被综合盖度，防止水土流失，改善生态环境，有效遏制土地荒漠化</w:t>
                  </w:r>
                </w:p>
              </w:tc>
              <w:tc>
                <w:tcPr>
                  <w:tcW w:w="1379" w:type="pct"/>
                  <w:vAlign w:val="center"/>
                </w:tcPr>
                <w:p w14:paraId="60A3DA6A">
                  <w:pPr>
                    <w:pStyle w:val="24"/>
                    <w:spacing w:line="240" w:lineRule="auto"/>
                    <w:rPr>
                      <w:color w:val="auto"/>
                      <w:highlight w:val="none"/>
                    </w:rPr>
                  </w:pPr>
                  <w:r>
                    <w:rPr>
                      <w:rFonts w:hint="eastAsia" w:ascii="Times New Roman" w:hAnsi="Times New Roman" w:eastAsia="宋体" w:cs="Times New Roman"/>
                      <w:color w:val="auto"/>
                      <w:sz w:val="21"/>
                      <w:szCs w:val="21"/>
                      <w:highlight w:val="none"/>
                    </w:rPr>
                    <w:t>本项目利用北票发电有限责任公司闲置库房进行改造</w:t>
                  </w:r>
                  <w:r>
                    <w:rPr>
                      <w:rFonts w:hint="eastAsia"/>
                      <w:color w:val="auto"/>
                      <w:highlight w:val="none"/>
                    </w:rPr>
                    <w:t>，不涉及退化林草修复、沙化耕地治理和小流域综合治理等内容。本项目不在科尔沁沙地南缘阻击区和沿海沿河沙地治理区。本项目建成后，应防止水土流失，改善生态环境，有效遏制土地荒漠化</w:t>
                  </w:r>
                </w:p>
              </w:tc>
              <w:tc>
                <w:tcPr>
                  <w:tcW w:w="411" w:type="pct"/>
                  <w:vAlign w:val="center"/>
                </w:tcPr>
                <w:p w14:paraId="6E103CE7">
                  <w:pPr>
                    <w:pStyle w:val="24"/>
                    <w:spacing w:line="240" w:lineRule="auto"/>
                    <w:rPr>
                      <w:color w:val="auto"/>
                      <w:highlight w:val="none"/>
                    </w:rPr>
                  </w:pPr>
                  <w:r>
                    <w:rPr>
                      <w:rFonts w:hint="eastAsia"/>
                      <w:color w:val="auto"/>
                      <w:highlight w:val="none"/>
                    </w:rPr>
                    <w:t>符合</w:t>
                  </w:r>
                </w:p>
              </w:tc>
            </w:tr>
            <w:tr w14:paraId="506EC11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92" w:type="pct"/>
                  <w:vAlign w:val="center"/>
                </w:tcPr>
                <w:p w14:paraId="4A2CF2BE">
                  <w:pPr>
                    <w:pStyle w:val="24"/>
                    <w:spacing w:line="240" w:lineRule="auto"/>
                    <w:rPr>
                      <w:color w:val="auto"/>
                      <w:highlight w:val="none"/>
                    </w:rPr>
                  </w:pPr>
                  <w:r>
                    <w:rPr>
                      <w:rFonts w:hint="eastAsia"/>
                      <w:color w:val="auto"/>
                      <w:highlight w:val="none"/>
                    </w:rPr>
                    <w:t>3</w:t>
                  </w:r>
                </w:p>
              </w:tc>
              <w:tc>
                <w:tcPr>
                  <w:tcW w:w="3015" w:type="pct"/>
                  <w:vAlign w:val="center"/>
                </w:tcPr>
                <w:p w14:paraId="1F2B5E44">
                  <w:pPr>
                    <w:pStyle w:val="24"/>
                    <w:spacing w:line="240" w:lineRule="auto"/>
                    <w:rPr>
                      <w:color w:val="auto"/>
                      <w:highlight w:val="none"/>
                    </w:rPr>
                  </w:pPr>
                  <w:r>
                    <w:rPr>
                      <w:rFonts w:hint="eastAsia"/>
                      <w:color w:val="auto"/>
                      <w:highlight w:val="none"/>
                    </w:rPr>
                    <w:t>四、重点任务</w:t>
                  </w:r>
                </w:p>
                <w:p w14:paraId="74F943B4">
                  <w:pPr>
                    <w:pStyle w:val="24"/>
                    <w:spacing w:line="240" w:lineRule="auto"/>
                    <w:rPr>
                      <w:color w:val="auto"/>
                      <w:highlight w:val="none"/>
                    </w:rPr>
                  </w:pPr>
                  <w:r>
                    <w:rPr>
                      <w:rFonts w:hint="eastAsia"/>
                      <w:color w:val="auto"/>
                      <w:highlight w:val="none"/>
                    </w:rPr>
                    <w:t>坚持全省统筹，上下联动，将科尔沁沙地歼灭战和荒漠化综合防治融入全省生态文明建设总体布局，以全面振兴新突破三年行动为契机，实施植被综合盖度精准提升、沙化耕地精准治理、水资源利用与保护、自然资源生态保护修复、湿地保护修复、重大科技攻关和技术推广、试点示范、监测评估8大重点任务，23个项目。计划投资98亿元，完成治理总任务2400万亩，其中林草任务1800万亩</w:t>
                  </w:r>
                </w:p>
              </w:tc>
              <w:tc>
                <w:tcPr>
                  <w:tcW w:w="1379" w:type="pct"/>
                  <w:vAlign w:val="center"/>
                </w:tcPr>
                <w:p w14:paraId="21B17A02">
                  <w:pPr>
                    <w:pStyle w:val="24"/>
                    <w:spacing w:line="240" w:lineRule="auto"/>
                    <w:rPr>
                      <w:color w:val="auto"/>
                      <w:highlight w:val="none"/>
                    </w:rPr>
                  </w:pPr>
                  <w:r>
                    <w:rPr>
                      <w:rFonts w:hint="eastAsia"/>
                      <w:color w:val="auto"/>
                      <w:highlight w:val="none"/>
                    </w:rPr>
                    <w:t>本项目用地范围内不涉及沙化土地区域，影响范围内不涉及植被综合盖度精准提升区域、沙化耕地精准治理区域、水资源保护区、自然保护区、湿地保护区等</w:t>
                  </w:r>
                </w:p>
              </w:tc>
              <w:tc>
                <w:tcPr>
                  <w:tcW w:w="411" w:type="pct"/>
                  <w:vAlign w:val="center"/>
                </w:tcPr>
                <w:p w14:paraId="29C816B3">
                  <w:pPr>
                    <w:pStyle w:val="24"/>
                    <w:spacing w:line="240" w:lineRule="auto"/>
                    <w:rPr>
                      <w:color w:val="auto"/>
                      <w:highlight w:val="none"/>
                    </w:rPr>
                  </w:pPr>
                  <w:r>
                    <w:rPr>
                      <w:rFonts w:hint="eastAsia"/>
                      <w:color w:val="auto"/>
                      <w:highlight w:val="none"/>
                    </w:rPr>
                    <w:t>符合</w:t>
                  </w:r>
                </w:p>
              </w:tc>
            </w:tr>
          </w:tbl>
          <w:p w14:paraId="7A9D3ABE">
            <w:pPr>
              <w:bidi w:val="0"/>
              <w:rPr>
                <w:color w:val="auto"/>
                <w:highlight w:val="none"/>
              </w:rPr>
            </w:pPr>
            <w:r>
              <w:rPr>
                <w:rFonts w:hint="eastAsia"/>
                <w:color w:val="auto"/>
                <w:highlight w:val="none"/>
              </w:rPr>
              <w:t>本项目与《辽宁省科尔沁沙地歼灭战和荒漠化综合防治行动方案》中相关内容符合。</w:t>
            </w:r>
          </w:p>
          <w:p w14:paraId="30052350">
            <w:pPr>
              <w:keepNext w:val="0"/>
              <w:keepLines w:val="0"/>
              <w:pageBreakBefore w:val="0"/>
              <w:widowControl w:val="0"/>
              <w:kinsoku/>
              <w:wordWrap/>
              <w:overflowPunct/>
              <w:topLinePunct w:val="0"/>
              <w:autoSpaceDE/>
              <w:autoSpaceDN/>
              <w:bidi w:val="0"/>
              <w:adjustRightInd/>
              <w:snapToGrid/>
              <w:ind w:firstLine="482" w:firstLineChars="200"/>
              <w:textAlignment w:val="auto"/>
              <w:rPr>
                <w:color w:val="auto"/>
                <w:highlight w:val="none"/>
              </w:rPr>
            </w:pPr>
            <w:r>
              <w:rPr>
                <w:rFonts w:hint="eastAsia"/>
                <w:b/>
                <w:bCs/>
                <w:color w:val="auto"/>
                <w:highlight w:val="none"/>
              </w:rPr>
              <w:t>5.1</w:t>
            </w:r>
            <w:r>
              <w:rPr>
                <w:rFonts w:hint="eastAsia"/>
                <w:b/>
                <w:bCs/>
                <w:color w:val="auto"/>
                <w:highlight w:val="none"/>
                <w:lang w:val="en-US" w:eastAsia="zh-CN"/>
              </w:rPr>
              <w:t>5</w:t>
            </w:r>
            <w:r>
              <w:rPr>
                <w:rFonts w:hint="eastAsia"/>
                <w:b/>
                <w:bCs/>
                <w:color w:val="auto"/>
                <w:highlight w:val="none"/>
              </w:rPr>
              <w:t>本项目与《国务院办公厅关于印发强化危险废物监管和利用处置能力改革实施方案的通知》（国办函〔2021〕47号）符合性分析</w:t>
            </w:r>
          </w:p>
          <w:p w14:paraId="526583D5">
            <w:pPr>
              <w:pStyle w:val="25"/>
              <w:bidi w:val="0"/>
              <w:rPr>
                <w:color w:val="auto"/>
                <w:highlight w:val="none"/>
              </w:rPr>
            </w:pPr>
            <w:r>
              <w:rPr>
                <w:rFonts w:hint="eastAsia"/>
                <w:color w:val="auto"/>
                <w:highlight w:val="none"/>
              </w:rPr>
              <w:t>与《国务院办公厅关于印发强化危险废物监管和利用处置能力改革实施方案的通知》（国办函〔2021〕47号）符合性分析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374"/>
              <w:gridCol w:w="4342"/>
              <w:gridCol w:w="2716"/>
              <w:gridCol w:w="738"/>
            </w:tblGrid>
            <w:tr w14:paraId="219D5EB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28" w:type="pct"/>
                  <w:vAlign w:val="center"/>
                </w:tcPr>
                <w:p w14:paraId="69ED9443">
                  <w:pPr>
                    <w:pStyle w:val="39"/>
                    <w:adjustRightInd w:val="0"/>
                    <w:snapToGrid w:val="0"/>
                    <w:spacing w:line="240" w:lineRule="auto"/>
                    <w:ind w:firstLine="0" w:firstLineChars="0"/>
                    <w:jc w:val="center"/>
                    <w:rPr>
                      <w:rFonts w:ascii="Times New Roman"/>
                      <w:b/>
                      <w:bCs/>
                      <w:color w:val="auto"/>
                      <w:kern w:val="21"/>
                      <w:sz w:val="21"/>
                      <w:szCs w:val="21"/>
                      <w:highlight w:val="none"/>
                    </w:rPr>
                  </w:pPr>
                  <w:r>
                    <w:rPr>
                      <w:rFonts w:hint="eastAsia" w:ascii="Times New Roman"/>
                      <w:b/>
                      <w:bCs/>
                      <w:color w:val="auto"/>
                      <w:kern w:val="21"/>
                      <w:sz w:val="21"/>
                      <w:szCs w:val="21"/>
                      <w:highlight w:val="none"/>
                    </w:rPr>
                    <w:t>序号</w:t>
                  </w:r>
                </w:p>
              </w:tc>
              <w:tc>
                <w:tcPr>
                  <w:tcW w:w="2657" w:type="pct"/>
                  <w:vAlign w:val="center"/>
                </w:tcPr>
                <w:p w14:paraId="1DE82331">
                  <w:pPr>
                    <w:pStyle w:val="27"/>
                    <w:spacing w:line="240" w:lineRule="auto"/>
                    <w:rPr>
                      <w:rFonts w:hint="default"/>
                      <w:bCs/>
                      <w:color w:val="auto"/>
                      <w:kern w:val="21"/>
                      <w:highlight w:val="none"/>
                    </w:rPr>
                  </w:pPr>
                  <w:r>
                    <w:rPr>
                      <w:rFonts w:hint="default" w:eastAsia="宋体"/>
                      <w:b/>
                      <w:color w:val="auto"/>
                      <w:sz w:val="21"/>
                      <w:highlight w:val="none"/>
                    </w:rPr>
                    <w:t>分析内容</w:t>
                  </w:r>
                </w:p>
              </w:tc>
              <w:tc>
                <w:tcPr>
                  <w:tcW w:w="1662" w:type="pct"/>
                  <w:vAlign w:val="center"/>
                </w:tcPr>
                <w:p w14:paraId="094ABBF7">
                  <w:pPr>
                    <w:pStyle w:val="27"/>
                    <w:spacing w:line="240" w:lineRule="auto"/>
                    <w:rPr>
                      <w:rFonts w:hint="default" w:eastAsia="宋体"/>
                      <w:bCs/>
                      <w:color w:val="auto"/>
                      <w:kern w:val="21"/>
                      <w:highlight w:val="none"/>
                    </w:rPr>
                  </w:pPr>
                  <w:r>
                    <w:rPr>
                      <w:rFonts w:hint="default" w:eastAsia="宋体"/>
                      <w:b/>
                      <w:color w:val="auto"/>
                      <w:sz w:val="21"/>
                      <w:highlight w:val="none"/>
                    </w:rPr>
                    <w:t>本项目情况</w:t>
                  </w:r>
                </w:p>
              </w:tc>
              <w:tc>
                <w:tcPr>
                  <w:tcW w:w="451" w:type="pct"/>
                  <w:vAlign w:val="center"/>
                </w:tcPr>
                <w:p w14:paraId="406CAA75">
                  <w:pPr>
                    <w:pStyle w:val="39"/>
                    <w:adjustRightInd w:val="0"/>
                    <w:snapToGrid w:val="0"/>
                    <w:spacing w:line="240" w:lineRule="auto"/>
                    <w:ind w:firstLine="0" w:firstLineChars="0"/>
                    <w:jc w:val="center"/>
                    <w:rPr>
                      <w:rFonts w:ascii="Times New Roman"/>
                      <w:b/>
                      <w:bCs/>
                      <w:color w:val="auto"/>
                      <w:kern w:val="21"/>
                      <w:sz w:val="21"/>
                      <w:szCs w:val="21"/>
                      <w:highlight w:val="none"/>
                    </w:rPr>
                  </w:pPr>
                  <w:r>
                    <w:rPr>
                      <w:rFonts w:hint="eastAsia" w:ascii="Times New Roman"/>
                      <w:b/>
                      <w:bCs/>
                      <w:color w:val="auto"/>
                      <w:kern w:val="21"/>
                      <w:sz w:val="21"/>
                      <w:szCs w:val="21"/>
                      <w:highlight w:val="none"/>
                    </w:rPr>
                    <w:t>分析结果</w:t>
                  </w:r>
                </w:p>
              </w:tc>
            </w:tr>
            <w:tr w14:paraId="28C25ED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28" w:type="pct"/>
                  <w:vAlign w:val="center"/>
                </w:tcPr>
                <w:p w14:paraId="5CDE0A6A">
                  <w:pPr>
                    <w:pStyle w:val="24"/>
                    <w:spacing w:line="240" w:lineRule="auto"/>
                    <w:rPr>
                      <w:color w:val="auto"/>
                      <w:highlight w:val="none"/>
                    </w:rPr>
                  </w:pPr>
                  <w:r>
                    <w:rPr>
                      <w:rFonts w:hint="eastAsia"/>
                      <w:color w:val="auto"/>
                      <w:highlight w:val="none"/>
                    </w:rPr>
                    <w:t>1</w:t>
                  </w:r>
                </w:p>
              </w:tc>
              <w:tc>
                <w:tcPr>
                  <w:tcW w:w="2657" w:type="pct"/>
                  <w:vAlign w:val="center"/>
                </w:tcPr>
                <w:p w14:paraId="4293596E">
                  <w:pPr>
                    <w:pStyle w:val="24"/>
                    <w:spacing w:line="240" w:lineRule="auto"/>
                    <w:rPr>
                      <w:color w:val="auto"/>
                      <w:highlight w:val="none"/>
                    </w:rPr>
                  </w:pPr>
                  <w:r>
                    <w:rPr>
                      <w:rFonts w:hint="eastAsia"/>
                      <w:color w:val="auto"/>
                      <w:highlight w:val="none"/>
                    </w:rPr>
                    <w:t>完善危险废物鉴别制度。动态修订《国家危险废物名录》，对环境风险小的危险废物类别实行特定环节豁免管理，建立危险废物排除管理清单。2021年底前制定出台危险废物鉴别管理办法，规范危险废物鉴别程序和鉴别单位管理要求</w:t>
                  </w:r>
                </w:p>
              </w:tc>
              <w:tc>
                <w:tcPr>
                  <w:tcW w:w="1662" w:type="pct"/>
                  <w:vAlign w:val="center"/>
                </w:tcPr>
                <w:p w14:paraId="4D4A5AD6">
                  <w:pPr>
                    <w:pStyle w:val="24"/>
                    <w:spacing w:line="240" w:lineRule="auto"/>
                    <w:rPr>
                      <w:rFonts w:hint="eastAsia" w:eastAsiaTheme="minorEastAsia"/>
                      <w:color w:val="auto"/>
                      <w:highlight w:val="none"/>
                      <w:lang w:eastAsia="zh-CN"/>
                    </w:rPr>
                  </w:pPr>
                  <w:r>
                    <w:rPr>
                      <w:rFonts w:hint="eastAsia"/>
                      <w:color w:val="auto"/>
                      <w:highlight w:val="none"/>
                    </w:rPr>
                    <w:t>对照《国家危险废物名录》（2025年版），北票发电有限责任公司涉及危险废物为废蓄电池、废液压油、废空压机油、废汽轮机油、废变压器油、废润滑油、废油漆桶、废油桶、</w:t>
                  </w:r>
                  <w:r>
                    <w:rPr>
                      <w:rFonts w:hint="eastAsia"/>
                      <w:color w:val="auto"/>
                      <w:highlight w:val="none"/>
                      <w:lang w:eastAsia="zh-CN"/>
                    </w:rPr>
                    <w:t>实验室废液及废试剂瓶</w:t>
                  </w:r>
                  <w:r>
                    <w:rPr>
                      <w:rFonts w:hint="eastAsia"/>
                      <w:color w:val="auto"/>
                      <w:highlight w:val="none"/>
                    </w:rPr>
                    <w:t>、废劳保用品</w:t>
                  </w:r>
                </w:p>
              </w:tc>
              <w:tc>
                <w:tcPr>
                  <w:tcW w:w="451" w:type="pct"/>
                  <w:vAlign w:val="center"/>
                </w:tcPr>
                <w:p w14:paraId="36A5A472">
                  <w:pPr>
                    <w:pStyle w:val="24"/>
                    <w:spacing w:line="240" w:lineRule="auto"/>
                    <w:rPr>
                      <w:color w:val="auto"/>
                      <w:highlight w:val="none"/>
                    </w:rPr>
                  </w:pPr>
                  <w:r>
                    <w:rPr>
                      <w:color w:val="auto"/>
                      <w:highlight w:val="none"/>
                    </w:rPr>
                    <w:t>符合</w:t>
                  </w:r>
                </w:p>
              </w:tc>
            </w:tr>
            <w:tr w14:paraId="2329CA6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28" w:type="pct"/>
                  <w:vAlign w:val="center"/>
                </w:tcPr>
                <w:p w14:paraId="2FD486E3">
                  <w:pPr>
                    <w:pStyle w:val="24"/>
                    <w:spacing w:line="240" w:lineRule="auto"/>
                    <w:rPr>
                      <w:color w:val="auto"/>
                      <w:highlight w:val="none"/>
                    </w:rPr>
                  </w:pPr>
                  <w:r>
                    <w:rPr>
                      <w:rFonts w:hint="eastAsia"/>
                      <w:color w:val="auto"/>
                      <w:highlight w:val="none"/>
                    </w:rPr>
                    <w:t>2</w:t>
                  </w:r>
                </w:p>
              </w:tc>
              <w:tc>
                <w:tcPr>
                  <w:tcW w:w="2657" w:type="pct"/>
                  <w:vAlign w:val="center"/>
                </w:tcPr>
                <w:p w14:paraId="5D466313">
                  <w:pPr>
                    <w:pStyle w:val="24"/>
                    <w:spacing w:line="240" w:lineRule="auto"/>
                    <w:rPr>
                      <w:color w:val="auto"/>
                      <w:highlight w:val="none"/>
                    </w:rPr>
                  </w:pPr>
                  <w:r>
                    <w:rPr>
                      <w:rFonts w:hint="eastAsia"/>
                      <w:color w:val="auto"/>
                      <w:highlight w:val="none"/>
                    </w:rPr>
                    <w:t>严格环境准入。新改扩建项目要依法开展环境影响评价，严格危险废物污染环境防治设施“三同时”管理。依法依规对已批复的重点行业涉危险废物建设项目环境影响评价文件开展复核。依法落实工业危险废物排污许可制度。推进危险废物规范化环境管理</w:t>
                  </w:r>
                </w:p>
              </w:tc>
              <w:tc>
                <w:tcPr>
                  <w:tcW w:w="1662" w:type="pct"/>
                  <w:vAlign w:val="center"/>
                </w:tcPr>
                <w:p w14:paraId="56C7DA4B">
                  <w:pPr>
                    <w:pStyle w:val="24"/>
                    <w:spacing w:line="240" w:lineRule="auto"/>
                    <w:rPr>
                      <w:color w:val="auto"/>
                      <w:highlight w:val="none"/>
                    </w:rPr>
                  </w:pPr>
                  <w:r>
                    <w:rPr>
                      <w:rFonts w:hint="eastAsia"/>
                      <w:color w:val="auto"/>
                      <w:highlight w:val="none"/>
                    </w:rPr>
                    <w:t>北票发电有限责任公司</w:t>
                  </w:r>
                  <w:r>
                    <w:rPr>
                      <w:color w:val="auto"/>
                      <w:highlight w:val="none"/>
                    </w:rPr>
                    <w:t>依法依规对</w:t>
                  </w:r>
                  <w:r>
                    <w:rPr>
                      <w:rFonts w:hint="eastAsia"/>
                      <w:color w:val="auto"/>
                      <w:highlight w:val="none"/>
                    </w:rPr>
                    <w:t>本次建设</w:t>
                  </w:r>
                  <w:r>
                    <w:rPr>
                      <w:rFonts w:hint="eastAsia"/>
                      <w:color w:val="auto"/>
                      <w:highlight w:val="none"/>
                      <w:lang w:eastAsia="zh-CN"/>
                    </w:rPr>
                    <w:t>危险废物贮存点</w:t>
                  </w:r>
                  <w:r>
                    <w:rPr>
                      <w:rFonts w:hint="eastAsia"/>
                      <w:color w:val="auto"/>
                      <w:highlight w:val="none"/>
                    </w:rPr>
                    <w:t>进行</w:t>
                  </w:r>
                  <w:r>
                    <w:rPr>
                      <w:color w:val="auto"/>
                      <w:highlight w:val="none"/>
                    </w:rPr>
                    <w:t>环境影响评价</w:t>
                  </w:r>
                </w:p>
              </w:tc>
              <w:tc>
                <w:tcPr>
                  <w:tcW w:w="451" w:type="pct"/>
                  <w:vAlign w:val="center"/>
                </w:tcPr>
                <w:p w14:paraId="091FD319">
                  <w:pPr>
                    <w:pStyle w:val="24"/>
                    <w:spacing w:line="240" w:lineRule="auto"/>
                    <w:rPr>
                      <w:color w:val="auto"/>
                      <w:highlight w:val="none"/>
                    </w:rPr>
                  </w:pPr>
                  <w:r>
                    <w:rPr>
                      <w:color w:val="auto"/>
                      <w:highlight w:val="none"/>
                    </w:rPr>
                    <w:t>符合</w:t>
                  </w:r>
                </w:p>
              </w:tc>
            </w:tr>
          </w:tbl>
          <w:p w14:paraId="7DE6C7D4">
            <w:pPr>
              <w:bidi w:val="0"/>
              <w:rPr>
                <w:rFonts w:hint="eastAsia"/>
                <w:color w:val="auto"/>
                <w:highlight w:val="none"/>
              </w:rPr>
            </w:pPr>
            <w:r>
              <w:rPr>
                <w:rFonts w:hint="eastAsia"/>
                <w:color w:val="auto"/>
                <w:highlight w:val="none"/>
              </w:rPr>
              <w:t>本项目与《国务院办公厅关于印发强化危险废物监管和利用处置能力改革实施方案的通知》（国办函〔2021〕47号）中相关内容符合。</w:t>
            </w:r>
          </w:p>
          <w:p w14:paraId="1DEB2137">
            <w:pPr>
              <w:bidi w:val="0"/>
              <w:rPr>
                <w:rFonts w:hint="eastAsia" w:ascii="Times New Roman" w:hAnsi="Times New Roman" w:eastAsia="宋体" w:cs="Times New Roman"/>
                <w:b/>
                <w:bCs/>
                <w:color w:val="auto"/>
                <w:highlight w:val="none"/>
                <w:lang w:eastAsia="zh-CN"/>
              </w:rPr>
            </w:pPr>
            <w:r>
              <w:rPr>
                <w:rFonts w:hint="eastAsia" w:ascii="Times New Roman" w:hAnsi="Times New Roman" w:eastAsia="宋体" w:cs="Times New Roman"/>
                <w:b/>
                <w:bCs/>
                <w:color w:val="auto"/>
                <w:highlight w:val="none"/>
                <w:lang w:val="en-US" w:eastAsia="zh-CN"/>
              </w:rPr>
              <w:t>5.1</w:t>
            </w:r>
            <w:r>
              <w:rPr>
                <w:rFonts w:hint="eastAsia" w:cs="Times New Roman"/>
                <w:b/>
                <w:bCs/>
                <w:color w:val="auto"/>
                <w:highlight w:val="none"/>
                <w:lang w:val="en-US" w:eastAsia="zh-CN"/>
              </w:rPr>
              <w:t>6</w:t>
            </w:r>
            <w:r>
              <w:rPr>
                <w:rFonts w:hint="eastAsia" w:ascii="Times New Roman" w:hAnsi="Times New Roman" w:eastAsia="宋体" w:cs="Times New Roman"/>
                <w:b/>
                <w:bCs/>
                <w:color w:val="auto"/>
                <w:highlight w:val="none"/>
                <w:lang w:val="en-US" w:eastAsia="zh-CN"/>
              </w:rPr>
              <w:t>本项目与</w:t>
            </w:r>
            <w:r>
              <w:rPr>
                <w:rFonts w:hint="eastAsia" w:ascii="Times New Roman" w:hAnsi="Times New Roman" w:eastAsia="宋体" w:cs="Times New Roman"/>
                <w:b/>
                <w:bCs/>
                <w:color w:val="auto"/>
                <w:highlight w:val="none"/>
                <w:lang w:eastAsia="zh-CN"/>
              </w:rPr>
              <w:t>《废电池污染防治技术政策》（公告2016第82号）进行相符性分析</w:t>
            </w:r>
          </w:p>
          <w:p w14:paraId="5FDA8569">
            <w:pPr>
              <w:bidi w:val="0"/>
              <w:rPr>
                <w:rFonts w:hint="eastAsia" w:ascii="Times New Roman" w:hAnsi="Times New Roman" w:eastAsia="宋体" w:cs="Times New Roman"/>
                <w:b/>
                <w:bCs/>
                <w:color w:val="auto"/>
                <w:highlight w:val="none"/>
                <w:lang w:eastAsia="zh-CN"/>
              </w:rPr>
            </w:pPr>
          </w:p>
          <w:p w14:paraId="4473E1D2">
            <w:pPr>
              <w:bidi w:val="0"/>
              <w:ind w:firstLine="0" w:firstLineChars="0"/>
              <w:rPr>
                <w:rFonts w:hint="eastAsia" w:ascii="Times New Roman" w:hAnsi="Times New Roman" w:eastAsia="宋体" w:cs="Times New Roman"/>
                <w:b/>
                <w:bCs/>
                <w:color w:val="auto"/>
                <w:highlight w:val="none"/>
                <w:lang w:eastAsia="zh-CN"/>
              </w:rPr>
            </w:pPr>
          </w:p>
          <w:p w14:paraId="3FF7A604">
            <w:pPr>
              <w:bidi w:val="0"/>
              <w:ind w:firstLine="0" w:firstLineChars="0"/>
              <w:rPr>
                <w:rFonts w:hint="eastAsia" w:ascii="Times New Roman" w:hAnsi="Times New Roman" w:eastAsia="宋体" w:cs="Times New Roman"/>
                <w:b/>
                <w:bCs/>
                <w:color w:val="auto"/>
                <w:highlight w:val="none"/>
                <w:lang w:eastAsia="zh-CN"/>
              </w:rPr>
            </w:pPr>
          </w:p>
          <w:p w14:paraId="319F91A1">
            <w:pPr>
              <w:pStyle w:val="25"/>
              <w:bidi w:val="0"/>
              <w:rPr>
                <w:color w:val="auto"/>
                <w:highlight w:val="none"/>
              </w:rPr>
            </w:pPr>
            <w:r>
              <w:rPr>
                <w:color w:val="auto"/>
                <w:highlight w:val="none"/>
              </w:rPr>
              <w:t>与</w:t>
            </w:r>
            <w:r>
              <w:rPr>
                <w:rFonts w:hint="eastAsia"/>
                <w:color w:val="auto"/>
                <w:highlight w:val="none"/>
              </w:rPr>
              <w:t>《废电池污染防治技术政策》（公告2016年第82号）</w:t>
            </w:r>
            <w:r>
              <w:rPr>
                <w:color w:val="auto"/>
                <w:highlight w:val="none"/>
              </w:rPr>
              <w:t>符合性分析</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2"/>
              <w:gridCol w:w="3602"/>
              <w:gridCol w:w="3407"/>
              <w:gridCol w:w="779"/>
            </w:tblGrid>
            <w:tr w14:paraId="5F8C4A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14:paraId="64F7AE5C">
                  <w:pPr>
                    <w:pStyle w:val="27"/>
                    <w:spacing w:line="240" w:lineRule="auto"/>
                    <w:rPr>
                      <w:rFonts w:hint="default"/>
                      <w:color w:val="auto"/>
                      <w:highlight w:val="none"/>
                    </w:rPr>
                  </w:pPr>
                  <w:r>
                    <w:rPr>
                      <w:color w:val="auto"/>
                      <w:highlight w:val="none"/>
                    </w:rPr>
                    <w:t>类别</w:t>
                  </w:r>
                </w:p>
              </w:tc>
              <w:tc>
                <w:tcPr>
                  <w:tcW w:w="2204" w:type="pct"/>
                  <w:tcBorders>
                    <w:tl2br w:val="nil"/>
                    <w:tr2bl w:val="nil"/>
                  </w:tcBorders>
                  <w:vAlign w:val="center"/>
                </w:tcPr>
                <w:p w14:paraId="78E47DD9">
                  <w:pPr>
                    <w:pStyle w:val="27"/>
                    <w:spacing w:line="240" w:lineRule="auto"/>
                    <w:rPr>
                      <w:rFonts w:hint="default"/>
                      <w:color w:val="auto"/>
                      <w:highlight w:val="none"/>
                    </w:rPr>
                  </w:pPr>
                  <w:r>
                    <w:rPr>
                      <w:color w:val="auto"/>
                      <w:highlight w:val="none"/>
                    </w:rPr>
                    <w:t>分析内容</w:t>
                  </w:r>
                </w:p>
              </w:tc>
              <w:tc>
                <w:tcPr>
                  <w:tcW w:w="2085" w:type="pct"/>
                  <w:tcBorders>
                    <w:tl2br w:val="nil"/>
                    <w:tr2bl w:val="nil"/>
                  </w:tcBorders>
                  <w:vAlign w:val="center"/>
                </w:tcPr>
                <w:p w14:paraId="40771DC6">
                  <w:pPr>
                    <w:pStyle w:val="27"/>
                    <w:spacing w:line="240" w:lineRule="auto"/>
                    <w:rPr>
                      <w:rFonts w:hint="default"/>
                      <w:color w:val="auto"/>
                      <w:highlight w:val="none"/>
                    </w:rPr>
                  </w:pPr>
                  <w:r>
                    <w:rPr>
                      <w:color w:val="auto"/>
                      <w:highlight w:val="none"/>
                    </w:rPr>
                    <w:t>本项目情况</w:t>
                  </w:r>
                </w:p>
              </w:tc>
              <w:tc>
                <w:tcPr>
                  <w:tcW w:w="476" w:type="pct"/>
                  <w:tcBorders>
                    <w:tl2br w:val="nil"/>
                    <w:tr2bl w:val="nil"/>
                  </w:tcBorders>
                  <w:vAlign w:val="center"/>
                </w:tcPr>
                <w:p w14:paraId="2E8B9F34">
                  <w:pPr>
                    <w:pStyle w:val="27"/>
                    <w:spacing w:line="240" w:lineRule="auto"/>
                    <w:rPr>
                      <w:rFonts w:hint="default"/>
                      <w:color w:val="auto"/>
                      <w:highlight w:val="none"/>
                    </w:rPr>
                  </w:pPr>
                  <w:r>
                    <w:rPr>
                      <w:color w:val="auto"/>
                      <w:highlight w:val="none"/>
                    </w:rPr>
                    <w:t>分析结果</w:t>
                  </w:r>
                </w:p>
              </w:tc>
            </w:tr>
            <w:tr w14:paraId="48390B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14:paraId="5386EC97">
                  <w:pPr>
                    <w:pStyle w:val="24"/>
                    <w:spacing w:line="240" w:lineRule="auto"/>
                    <w:rPr>
                      <w:color w:val="auto"/>
                      <w:highlight w:val="none"/>
                    </w:rPr>
                  </w:pPr>
                  <w:r>
                    <w:rPr>
                      <w:rFonts w:hint="eastAsia"/>
                      <w:color w:val="auto"/>
                      <w:highlight w:val="none"/>
                    </w:rPr>
                    <w:t>收集</w:t>
                  </w:r>
                </w:p>
              </w:tc>
              <w:tc>
                <w:tcPr>
                  <w:tcW w:w="2204" w:type="pct"/>
                  <w:tcBorders>
                    <w:tl2br w:val="nil"/>
                    <w:tr2bl w:val="nil"/>
                  </w:tcBorders>
                  <w:vAlign w:val="center"/>
                </w:tcPr>
                <w:p w14:paraId="039C3D95">
                  <w:pPr>
                    <w:pStyle w:val="24"/>
                    <w:spacing w:line="240" w:lineRule="auto"/>
                    <w:rPr>
                      <w:color w:val="auto"/>
                      <w:highlight w:val="none"/>
                    </w:rPr>
                  </w:pPr>
                  <w:r>
                    <w:rPr>
                      <w:rFonts w:hint="eastAsia"/>
                      <w:color w:val="auto"/>
                      <w:highlight w:val="none"/>
                    </w:rPr>
                    <w:t>（一）在具备资源化利用条件的地区</w:t>
                  </w:r>
                  <w:r>
                    <w:rPr>
                      <w:rFonts w:hint="eastAsia"/>
                      <w:color w:val="auto"/>
                      <w:highlight w:val="none"/>
                      <w:lang w:eastAsia="zh-CN"/>
                    </w:rPr>
                    <w:t>，</w:t>
                  </w:r>
                  <w:r>
                    <w:rPr>
                      <w:rFonts w:hint="eastAsia"/>
                      <w:color w:val="auto"/>
                      <w:highlight w:val="none"/>
                    </w:rPr>
                    <w:t>鼓励分类收集废原电池。</w:t>
                  </w:r>
                </w:p>
                <w:p w14:paraId="1CD00376">
                  <w:pPr>
                    <w:pStyle w:val="24"/>
                    <w:spacing w:line="240" w:lineRule="auto"/>
                    <w:rPr>
                      <w:color w:val="auto"/>
                      <w:highlight w:val="none"/>
                    </w:rPr>
                  </w:pPr>
                  <w:r>
                    <w:rPr>
                      <w:rFonts w:hint="eastAsia"/>
                      <w:color w:val="auto"/>
                      <w:highlight w:val="none"/>
                    </w:rPr>
                    <w:t>（二）鼓励电池生产企业、废电池收集企业及利用企业等建设废电池收集体系。鼓励电池生产企业履行生产者延伸责任。</w:t>
                  </w:r>
                </w:p>
                <w:p w14:paraId="35F5D581">
                  <w:pPr>
                    <w:pStyle w:val="24"/>
                    <w:spacing w:line="240" w:lineRule="auto"/>
                    <w:rPr>
                      <w:color w:val="auto"/>
                      <w:highlight w:val="none"/>
                    </w:rPr>
                  </w:pPr>
                  <w:r>
                    <w:rPr>
                      <w:rFonts w:hint="eastAsia"/>
                      <w:color w:val="auto"/>
                      <w:highlight w:val="none"/>
                    </w:rPr>
                    <w:t>（三）鼓励废电池收集企业应用“物联网+”等信息化技术建立废电池收集体系</w:t>
                  </w:r>
                  <w:r>
                    <w:rPr>
                      <w:rFonts w:hint="eastAsia"/>
                      <w:color w:val="auto"/>
                      <w:highlight w:val="none"/>
                      <w:lang w:eastAsia="zh-CN"/>
                    </w:rPr>
                    <w:t>，</w:t>
                  </w:r>
                  <w:r>
                    <w:rPr>
                      <w:rFonts w:hint="eastAsia"/>
                      <w:color w:val="auto"/>
                      <w:highlight w:val="none"/>
                    </w:rPr>
                    <w:t>并通过信息公开等手段促进废电池的高效回收。</w:t>
                  </w:r>
                </w:p>
                <w:p w14:paraId="62FD2B6B">
                  <w:pPr>
                    <w:pStyle w:val="24"/>
                    <w:spacing w:line="240" w:lineRule="auto"/>
                    <w:rPr>
                      <w:color w:val="auto"/>
                      <w:highlight w:val="none"/>
                    </w:rPr>
                  </w:pPr>
                  <w:r>
                    <w:rPr>
                      <w:rFonts w:hint="eastAsia"/>
                      <w:color w:val="auto"/>
                      <w:highlight w:val="none"/>
                    </w:rPr>
                    <w:t>（四）废电池收集企业应设立具有显著标识的废电池分类收集设施。鼓励消费者将废电池送到相应的废电池收集网点装置中。</w:t>
                  </w:r>
                </w:p>
                <w:p w14:paraId="0E2036D7">
                  <w:pPr>
                    <w:pStyle w:val="24"/>
                    <w:spacing w:line="240" w:lineRule="auto"/>
                    <w:rPr>
                      <w:color w:val="auto"/>
                      <w:highlight w:val="none"/>
                    </w:rPr>
                  </w:pPr>
                  <w:r>
                    <w:rPr>
                      <w:rFonts w:hint="eastAsia"/>
                      <w:color w:val="auto"/>
                      <w:highlight w:val="none"/>
                    </w:rPr>
                    <w:t>（五）收集过程中应保持废电池的结构和外形完整</w:t>
                  </w:r>
                  <w:r>
                    <w:rPr>
                      <w:rFonts w:hint="eastAsia"/>
                      <w:color w:val="auto"/>
                      <w:highlight w:val="none"/>
                      <w:lang w:eastAsia="zh-CN"/>
                    </w:rPr>
                    <w:t>，</w:t>
                  </w:r>
                  <w:r>
                    <w:rPr>
                      <w:rFonts w:hint="eastAsia"/>
                      <w:color w:val="auto"/>
                      <w:highlight w:val="none"/>
                    </w:rPr>
                    <w:t>严禁私自破损废电池</w:t>
                  </w:r>
                  <w:r>
                    <w:rPr>
                      <w:rFonts w:hint="eastAsia"/>
                      <w:color w:val="auto"/>
                      <w:highlight w:val="none"/>
                      <w:lang w:eastAsia="zh-CN"/>
                    </w:rPr>
                    <w:t>，</w:t>
                  </w:r>
                  <w:r>
                    <w:rPr>
                      <w:rFonts w:hint="eastAsia"/>
                      <w:color w:val="auto"/>
                      <w:highlight w:val="none"/>
                    </w:rPr>
                    <w:t>已破损的废电池应单独存放</w:t>
                  </w:r>
                </w:p>
              </w:tc>
              <w:tc>
                <w:tcPr>
                  <w:tcW w:w="2085" w:type="pct"/>
                  <w:tcBorders>
                    <w:tl2br w:val="nil"/>
                    <w:tr2bl w:val="nil"/>
                  </w:tcBorders>
                  <w:vAlign w:val="center"/>
                </w:tcPr>
                <w:p w14:paraId="0DB0F8FF">
                  <w:pPr>
                    <w:pStyle w:val="24"/>
                    <w:spacing w:line="240" w:lineRule="auto"/>
                    <w:rPr>
                      <w:color w:val="auto"/>
                      <w:highlight w:val="none"/>
                    </w:rPr>
                  </w:pPr>
                  <w:r>
                    <w:rPr>
                      <w:rFonts w:hint="eastAsia"/>
                      <w:color w:val="auto"/>
                      <w:highlight w:val="none"/>
                      <w:lang w:val="en-US" w:eastAsia="zh-CN"/>
                    </w:rPr>
                    <w:t>项目涉及废铅蓄电池活动主要为收集和贮存废铅蓄电池</w:t>
                  </w:r>
                  <w:r>
                    <w:rPr>
                      <w:rFonts w:hint="eastAsia"/>
                      <w:color w:val="auto"/>
                      <w:highlight w:val="none"/>
                    </w:rPr>
                    <w:t>。本项目为</w:t>
                  </w:r>
                  <w:r>
                    <w:rPr>
                      <w:rFonts w:hint="eastAsia"/>
                      <w:color w:val="auto"/>
                      <w:highlight w:val="none"/>
                      <w:lang w:eastAsia="zh-CN"/>
                    </w:rPr>
                    <w:t>废铅蓄电池</w:t>
                  </w:r>
                  <w:r>
                    <w:rPr>
                      <w:rFonts w:hint="eastAsia"/>
                      <w:color w:val="auto"/>
                      <w:highlight w:val="none"/>
                    </w:rPr>
                    <w:t>分类收集设施设立显著标识。</w:t>
                  </w:r>
                  <w:r>
                    <w:rPr>
                      <w:rFonts w:hint="eastAsia"/>
                      <w:color w:val="auto"/>
                      <w:highlight w:val="none"/>
                      <w:lang w:eastAsia="zh-CN"/>
                    </w:rPr>
                    <w:t>项目收集</w:t>
                  </w:r>
                  <w:r>
                    <w:rPr>
                      <w:rFonts w:hint="eastAsia"/>
                      <w:color w:val="auto"/>
                      <w:highlight w:val="none"/>
                    </w:rPr>
                    <w:t>检查</w:t>
                  </w:r>
                  <w:r>
                    <w:rPr>
                      <w:rFonts w:hint="eastAsia"/>
                      <w:color w:val="auto"/>
                      <w:highlight w:val="none"/>
                      <w:lang w:eastAsia="zh-CN"/>
                    </w:rPr>
                    <w:t>过程中若</w:t>
                  </w:r>
                  <w:r>
                    <w:rPr>
                      <w:rFonts w:hint="eastAsia"/>
                      <w:color w:val="auto"/>
                      <w:highlight w:val="none"/>
                    </w:rPr>
                    <w:t>发现已破损的</w:t>
                  </w:r>
                  <w:r>
                    <w:rPr>
                      <w:rFonts w:hint="eastAsia"/>
                      <w:color w:val="auto"/>
                      <w:highlight w:val="none"/>
                      <w:lang w:eastAsia="zh-CN"/>
                    </w:rPr>
                    <w:t>废铅蓄电池则采用覆膜缠绕密封置于耐酸耐腐蚀的带盖塑料(PE)箱内</w:t>
                  </w:r>
                  <w:r>
                    <w:rPr>
                      <w:rFonts w:hint="eastAsia"/>
                      <w:color w:val="auto"/>
                      <w:highlight w:val="none"/>
                    </w:rPr>
                    <w:t>进行单独存放</w:t>
                  </w:r>
                </w:p>
              </w:tc>
              <w:tc>
                <w:tcPr>
                  <w:tcW w:w="476" w:type="pct"/>
                  <w:tcBorders>
                    <w:tl2br w:val="nil"/>
                    <w:tr2bl w:val="nil"/>
                  </w:tcBorders>
                  <w:vAlign w:val="center"/>
                </w:tcPr>
                <w:p w14:paraId="632D1892">
                  <w:pPr>
                    <w:pStyle w:val="24"/>
                    <w:spacing w:line="240" w:lineRule="auto"/>
                    <w:rPr>
                      <w:color w:val="auto"/>
                      <w:highlight w:val="none"/>
                    </w:rPr>
                  </w:pPr>
                  <w:r>
                    <w:rPr>
                      <w:rFonts w:hint="eastAsia"/>
                      <w:color w:val="auto"/>
                      <w:highlight w:val="none"/>
                    </w:rPr>
                    <w:t>符合</w:t>
                  </w:r>
                </w:p>
              </w:tc>
            </w:tr>
            <w:tr w14:paraId="37174C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14:paraId="0687CF87">
                  <w:pPr>
                    <w:pStyle w:val="24"/>
                    <w:spacing w:line="240" w:lineRule="auto"/>
                    <w:rPr>
                      <w:color w:val="auto"/>
                      <w:highlight w:val="none"/>
                    </w:rPr>
                  </w:pPr>
                  <w:r>
                    <w:rPr>
                      <w:rFonts w:hint="eastAsia"/>
                      <w:color w:val="auto"/>
                      <w:highlight w:val="none"/>
                    </w:rPr>
                    <w:t>运输</w:t>
                  </w:r>
                </w:p>
              </w:tc>
              <w:tc>
                <w:tcPr>
                  <w:tcW w:w="2204" w:type="pct"/>
                  <w:tcBorders>
                    <w:tl2br w:val="nil"/>
                    <w:tr2bl w:val="nil"/>
                  </w:tcBorders>
                  <w:vAlign w:val="center"/>
                </w:tcPr>
                <w:p w14:paraId="646BFF39">
                  <w:pPr>
                    <w:pStyle w:val="24"/>
                    <w:spacing w:line="240" w:lineRule="auto"/>
                    <w:rPr>
                      <w:color w:val="auto"/>
                      <w:highlight w:val="none"/>
                    </w:rPr>
                  </w:pPr>
                  <w:r>
                    <w:rPr>
                      <w:rFonts w:hint="eastAsia"/>
                      <w:color w:val="auto"/>
                      <w:highlight w:val="none"/>
                    </w:rPr>
                    <w:t>（一）废电池应采取有效的包装措施</w:t>
                  </w:r>
                  <w:r>
                    <w:rPr>
                      <w:rFonts w:hint="eastAsia"/>
                      <w:color w:val="auto"/>
                      <w:highlight w:val="none"/>
                      <w:lang w:eastAsia="zh-CN"/>
                    </w:rPr>
                    <w:t>，</w:t>
                  </w:r>
                  <w:r>
                    <w:rPr>
                      <w:rFonts w:hint="eastAsia"/>
                      <w:color w:val="auto"/>
                      <w:highlight w:val="none"/>
                    </w:rPr>
                    <w:t>防止运输过程中有毒有害物质泄漏造成污染。</w:t>
                  </w:r>
                </w:p>
                <w:p w14:paraId="5110FB3C">
                  <w:pPr>
                    <w:pStyle w:val="24"/>
                    <w:spacing w:line="240" w:lineRule="auto"/>
                    <w:rPr>
                      <w:color w:val="auto"/>
                      <w:highlight w:val="none"/>
                    </w:rPr>
                  </w:pPr>
                  <w:r>
                    <w:rPr>
                      <w:rFonts w:hint="eastAsia"/>
                      <w:color w:val="auto"/>
                      <w:highlight w:val="none"/>
                    </w:rPr>
                    <w:t>（二）废锂离子电池运输前应采取预放电、独立包装等措施</w:t>
                  </w:r>
                  <w:r>
                    <w:rPr>
                      <w:rFonts w:hint="eastAsia"/>
                      <w:color w:val="auto"/>
                      <w:highlight w:val="none"/>
                      <w:lang w:eastAsia="zh-CN"/>
                    </w:rPr>
                    <w:t>，</w:t>
                  </w:r>
                  <w:r>
                    <w:rPr>
                      <w:rFonts w:hint="eastAsia"/>
                      <w:color w:val="auto"/>
                      <w:highlight w:val="none"/>
                    </w:rPr>
                    <w:t>防止因撞击或短路发生爆炸等引起的环境风险。</w:t>
                  </w:r>
                </w:p>
                <w:p w14:paraId="1CB67C05">
                  <w:pPr>
                    <w:pStyle w:val="24"/>
                    <w:spacing w:line="240" w:lineRule="auto"/>
                    <w:rPr>
                      <w:color w:val="auto"/>
                      <w:highlight w:val="none"/>
                    </w:rPr>
                  </w:pPr>
                  <w:r>
                    <w:rPr>
                      <w:rFonts w:hint="eastAsia"/>
                      <w:color w:val="auto"/>
                      <w:highlight w:val="none"/>
                    </w:rPr>
                    <w:t>（三）禁止在运输过程中擅自倾倒和丢弃废电池</w:t>
                  </w:r>
                </w:p>
              </w:tc>
              <w:tc>
                <w:tcPr>
                  <w:tcW w:w="2085" w:type="pct"/>
                  <w:tcBorders>
                    <w:tl2br w:val="nil"/>
                    <w:tr2bl w:val="nil"/>
                  </w:tcBorders>
                  <w:vAlign w:val="center"/>
                </w:tcPr>
                <w:p w14:paraId="5A4977A4">
                  <w:pPr>
                    <w:pStyle w:val="24"/>
                    <w:spacing w:line="240" w:lineRule="auto"/>
                    <w:rPr>
                      <w:color w:val="auto"/>
                      <w:highlight w:val="none"/>
                    </w:rPr>
                  </w:pPr>
                  <w:r>
                    <w:rPr>
                      <w:rFonts w:hint="eastAsia"/>
                      <w:color w:val="auto"/>
                      <w:highlight w:val="none"/>
                    </w:rPr>
                    <w:t>本项目运输过程采用有效的包装物进行包装；运输途中不得擅自倾倒和丢弃废电池</w:t>
                  </w:r>
                </w:p>
              </w:tc>
              <w:tc>
                <w:tcPr>
                  <w:tcW w:w="476" w:type="pct"/>
                  <w:tcBorders>
                    <w:tl2br w:val="nil"/>
                    <w:tr2bl w:val="nil"/>
                  </w:tcBorders>
                  <w:vAlign w:val="center"/>
                </w:tcPr>
                <w:p w14:paraId="68AA60BD">
                  <w:pPr>
                    <w:pStyle w:val="24"/>
                    <w:spacing w:line="240" w:lineRule="auto"/>
                    <w:rPr>
                      <w:color w:val="auto"/>
                      <w:highlight w:val="none"/>
                    </w:rPr>
                  </w:pPr>
                  <w:r>
                    <w:rPr>
                      <w:rFonts w:hint="eastAsia"/>
                      <w:color w:val="auto"/>
                      <w:highlight w:val="none"/>
                    </w:rPr>
                    <w:t>符合</w:t>
                  </w:r>
                </w:p>
              </w:tc>
            </w:tr>
            <w:tr w14:paraId="1C498E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14:paraId="300AD1FA">
                  <w:pPr>
                    <w:pStyle w:val="24"/>
                    <w:spacing w:line="240" w:lineRule="auto"/>
                    <w:rPr>
                      <w:color w:val="auto"/>
                      <w:highlight w:val="none"/>
                    </w:rPr>
                  </w:pPr>
                  <w:r>
                    <w:rPr>
                      <w:rFonts w:hint="eastAsia"/>
                      <w:color w:val="auto"/>
                      <w:highlight w:val="none"/>
                    </w:rPr>
                    <w:t>贮存</w:t>
                  </w:r>
                </w:p>
              </w:tc>
              <w:tc>
                <w:tcPr>
                  <w:tcW w:w="2204" w:type="pct"/>
                  <w:tcBorders>
                    <w:tl2br w:val="nil"/>
                    <w:tr2bl w:val="nil"/>
                  </w:tcBorders>
                  <w:vAlign w:val="center"/>
                </w:tcPr>
                <w:p w14:paraId="3924782B">
                  <w:pPr>
                    <w:pStyle w:val="24"/>
                    <w:spacing w:line="240" w:lineRule="auto"/>
                    <w:rPr>
                      <w:color w:val="auto"/>
                      <w:highlight w:val="none"/>
                    </w:rPr>
                  </w:pPr>
                  <w:r>
                    <w:rPr>
                      <w:rFonts w:hint="eastAsia"/>
                      <w:color w:val="auto"/>
                      <w:highlight w:val="none"/>
                    </w:rPr>
                    <w:t>（一）废电池应分类贮存</w:t>
                  </w:r>
                  <w:r>
                    <w:rPr>
                      <w:rFonts w:hint="eastAsia"/>
                      <w:color w:val="auto"/>
                      <w:highlight w:val="none"/>
                      <w:lang w:eastAsia="zh-CN"/>
                    </w:rPr>
                    <w:t>，</w:t>
                  </w:r>
                  <w:r>
                    <w:rPr>
                      <w:rFonts w:hint="eastAsia"/>
                      <w:color w:val="auto"/>
                      <w:highlight w:val="none"/>
                    </w:rPr>
                    <w:t>禁止露天堆放。破损的废电池应单独贮存。贮存场所应定期清理、清运。</w:t>
                  </w:r>
                </w:p>
                <w:p w14:paraId="6B8F57DB">
                  <w:pPr>
                    <w:pStyle w:val="24"/>
                    <w:spacing w:line="240" w:lineRule="auto"/>
                    <w:rPr>
                      <w:color w:val="auto"/>
                      <w:highlight w:val="none"/>
                    </w:rPr>
                  </w:pPr>
                  <w:r>
                    <w:rPr>
                      <w:rFonts w:hint="eastAsia"/>
                      <w:color w:val="auto"/>
                      <w:highlight w:val="none"/>
                    </w:rPr>
                    <w:t>（二）</w:t>
                  </w:r>
                  <w:r>
                    <w:rPr>
                      <w:rFonts w:hint="eastAsia"/>
                      <w:color w:val="auto"/>
                      <w:highlight w:val="none"/>
                      <w:lang w:eastAsia="zh-CN"/>
                    </w:rPr>
                    <w:t>废铅蓄电池</w:t>
                  </w:r>
                  <w:r>
                    <w:rPr>
                      <w:rFonts w:hint="eastAsia"/>
                      <w:color w:val="auto"/>
                      <w:highlight w:val="none"/>
                    </w:rPr>
                    <w:t>的贮存场所应防止电解液泄漏。</w:t>
                  </w:r>
                  <w:r>
                    <w:rPr>
                      <w:rFonts w:hint="eastAsia"/>
                      <w:color w:val="auto"/>
                      <w:highlight w:val="none"/>
                      <w:lang w:eastAsia="zh-CN"/>
                    </w:rPr>
                    <w:t>废铅蓄电池</w:t>
                  </w:r>
                  <w:r>
                    <w:rPr>
                      <w:rFonts w:hint="eastAsia"/>
                      <w:color w:val="auto"/>
                      <w:highlight w:val="none"/>
                    </w:rPr>
                    <w:t>的贮存应避免遭受雨淋水浸。</w:t>
                  </w:r>
                </w:p>
                <w:p w14:paraId="329D3CD1">
                  <w:pPr>
                    <w:pStyle w:val="24"/>
                    <w:spacing w:line="240" w:lineRule="auto"/>
                    <w:rPr>
                      <w:color w:val="auto"/>
                      <w:highlight w:val="none"/>
                    </w:rPr>
                  </w:pPr>
                  <w:r>
                    <w:rPr>
                      <w:rFonts w:hint="eastAsia"/>
                      <w:color w:val="auto"/>
                      <w:highlight w:val="none"/>
                    </w:rPr>
                    <w:t>（三）废锂离子电池贮存前应进行安全性检测</w:t>
                  </w:r>
                  <w:r>
                    <w:rPr>
                      <w:rFonts w:hint="eastAsia"/>
                      <w:color w:val="auto"/>
                      <w:highlight w:val="none"/>
                      <w:lang w:eastAsia="zh-CN"/>
                    </w:rPr>
                    <w:t>，</w:t>
                  </w:r>
                  <w:r>
                    <w:rPr>
                      <w:rFonts w:hint="eastAsia"/>
                      <w:color w:val="auto"/>
                      <w:highlight w:val="none"/>
                    </w:rPr>
                    <w:t>避光贮存</w:t>
                  </w:r>
                  <w:r>
                    <w:rPr>
                      <w:rFonts w:hint="eastAsia"/>
                      <w:color w:val="auto"/>
                      <w:highlight w:val="none"/>
                      <w:lang w:eastAsia="zh-CN"/>
                    </w:rPr>
                    <w:t>，</w:t>
                  </w:r>
                  <w:r>
                    <w:rPr>
                      <w:rFonts w:hint="eastAsia"/>
                      <w:color w:val="auto"/>
                      <w:highlight w:val="none"/>
                    </w:rPr>
                    <w:t>应控制贮存场所的环境温度</w:t>
                  </w:r>
                  <w:r>
                    <w:rPr>
                      <w:rFonts w:hint="eastAsia"/>
                      <w:color w:val="auto"/>
                      <w:highlight w:val="none"/>
                      <w:lang w:eastAsia="zh-CN"/>
                    </w:rPr>
                    <w:t>，</w:t>
                  </w:r>
                  <w:r>
                    <w:rPr>
                      <w:rFonts w:hint="eastAsia"/>
                      <w:color w:val="auto"/>
                      <w:highlight w:val="none"/>
                    </w:rPr>
                    <w:t>避免因高温自燃等引起的环境风险</w:t>
                  </w:r>
                </w:p>
              </w:tc>
              <w:tc>
                <w:tcPr>
                  <w:tcW w:w="2085" w:type="pct"/>
                  <w:tcBorders>
                    <w:tl2br w:val="nil"/>
                    <w:tr2bl w:val="nil"/>
                  </w:tcBorders>
                  <w:vAlign w:val="center"/>
                </w:tcPr>
                <w:p w14:paraId="61659E44">
                  <w:pPr>
                    <w:pStyle w:val="24"/>
                    <w:spacing w:line="240" w:lineRule="auto"/>
                    <w:rPr>
                      <w:color w:val="auto"/>
                      <w:highlight w:val="none"/>
                    </w:rPr>
                  </w:pPr>
                  <w:r>
                    <w:rPr>
                      <w:rFonts w:hint="eastAsia"/>
                      <w:color w:val="auto"/>
                      <w:highlight w:val="none"/>
                      <w:lang w:eastAsia="zh-CN"/>
                    </w:rPr>
                    <w:t>本项目在危险废物贮存点贮存废铅蓄电池，</w:t>
                  </w:r>
                  <w:r>
                    <w:rPr>
                      <w:rFonts w:hint="eastAsia"/>
                      <w:color w:val="auto"/>
                      <w:highlight w:val="none"/>
                    </w:rPr>
                    <w:t>本项目储存区域贴有醒目的</w:t>
                  </w:r>
                  <w:r>
                    <w:rPr>
                      <w:rFonts w:hint="eastAsia"/>
                      <w:color w:val="auto"/>
                      <w:highlight w:val="none"/>
                      <w:lang w:eastAsia="zh-CN"/>
                    </w:rPr>
                    <w:t>废铅蓄电池</w:t>
                  </w:r>
                  <w:r>
                    <w:rPr>
                      <w:rFonts w:hint="eastAsia"/>
                      <w:color w:val="auto"/>
                      <w:highlight w:val="none"/>
                    </w:rPr>
                    <w:t>标识；对于破损及未破损区域进行分区存放；储存区为</w:t>
                  </w:r>
                  <w:r>
                    <w:rPr>
                      <w:rFonts w:hint="eastAsia"/>
                      <w:color w:val="auto"/>
                      <w:highlight w:val="none"/>
                      <w:lang w:eastAsia="zh-CN"/>
                    </w:rPr>
                    <w:t>危废贮存点</w:t>
                  </w:r>
                  <w:r>
                    <w:rPr>
                      <w:rFonts w:hint="eastAsia"/>
                      <w:color w:val="auto"/>
                      <w:highlight w:val="none"/>
                    </w:rPr>
                    <w:t>内部</w:t>
                  </w:r>
                  <w:r>
                    <w:rPr>
                      <w:rFonts w:hint="eastAsia"/>
                      <w:color w:val="auto"/>
                      <w:highlight w:val="none"/>
                      <w:lang w:eastAsia="zh-CN"/>
                    </w:rPr>
                    <w:t>，</w:t>
                  </w:r>
                  <w:r>
                    <w:rPr>
                      <w:rFonts w:hint="eastAsia"/>
                      <w:color w:val="auto"/>
                      <w:highlight w:val="none"/>
                    </w:rPr>
                    <w:t>四周设置截流槽、导流</w:t>
                  </w:r>
                  <w:r>
                    <w:rPr>
                      <w:rFonts w:hint="eastAsia"/>
                      <w:color w:val="auto"/>
                      <w:highlight w:val="none"/>
                      <w:lang w:eastAsia="zh-CN"/>
                    </w:rPr>
                    <w:t>沟，</w:t>
                  </w:r>
                  <w:r>
                    <w:rPr>
                      <w:rFonts w:hint="eastAsia"/>
                      <w:color w:val="auto"/>
                      <w:highlight w:val="none"/>
                    </w:rPr>
                    <w:t>并与</w:t>
                  </w:r>
                  <w:r>
                    <w:rPr>
                      <w:rFonts w:hint="eastAsia"/>
                      <w:color w:val="auto"/>
                      <w:highlight w:val="none"/>
                      <w:lang w:eastAsia="zh-CN"/>
                    </w:rPr>
                    <w:t>集液池</w:t>
                  </w:r>
                  <w:r>
                    <w:rPr>
                      <w:rFonts w:hint="eastAsia"/>
                      <w:color w:val="auto"/>
                      <w:highlight w:val="none"/>
                    </w:rPr>
                    <w:t>相连接</w:t>
                  </w:r>
                </w:p>
              </w:tc>
              <w:tc>
                <w:tcPr>
                  <w:tcW w:w="476" w:type="pct"/>
                  <w:tcBorders>
                    <w:tl2br w:val="nil"/>
                    <w:tr2bl w:val="nil"/>
                  </w:tcBorders>
                  <w:vAlign w:val="center"/>
                </w:tcPr>
                <w:p w14:paraId="300700A0">
                  <w:pPr>
                    <w:pStyle w:val="24"/>
                    <w:spacing w:line="240" w:lineRule="auto"/>
                    <w:rPr>
                      <w:color w:val="auto"/>
                      <w:highlight w:val="none"/>
                    </w:rPr>
                  </w:pPr>
                  <w:r>
                    <w:rPr>
                      <w:rFonts w:hint="eastAsia"/>
                      <w:color w:val="auto"/>
                      <w:highlight w:val="none"/>
                    </w:rPr>
                    <w:t>符合</w:t>
                  </w:r>
                </w:p>
              </w:tc>
            </w:tr>
          </w:tbl>
          <w:p w14:paraId="1C630883">
            <w:pPr>
              <w:pStyle w:val="13"/>
              <w:ind w:firstLine="480"/>
              <w:rPr>
                <w:color w:val="auto"/>
                <w:highlight w:val="none"/>
              </w:rPr>
            </w:pPr>
            <w:r>
              <w:rPr>
                <w:rFonts w:hint="eastAsia"/>
                <w:color w:val="auto"/>
                <w:highlight w:val="none"/>
              </w:rPr>
              <w:t>本项目与《废电池污染防治技术政策》（公告2016第82号）中相关内容符合。</w:t>
            </w:r>
          </w:p>
          <w:p w14:paraId="08E13823">
            <w:pPr>
              <w:bidi w:val="0"/>
              <w:rPr>
                <w:rFonts w:hint="eastAsia"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5.1</w:t>
            </w:r>
            <w:r>
              <w:rPr>
                <w:rFonts w:hint="eastAsia" w:cs="Times New Roman"/>
                <w:b/>
                <w:bCs/>
                <w:color w:val="auto"/>
                <w:highlight w:val="none"/>
                <w:lang w:val="en-US" w:eastAsia="zh-CN"/>
              </w:rPr>
              <w:t>7</w:t>
            </w:r>
            <w:r>
              <w:rPr>
                <w:rFonts w:hint="eastAsia" w:ascii="Times New Roman" w:hAnsi="Times New Roman" w:eastAsia="宋体" w:cs="Times New Roman"/>
                <w:b/>
                <w:bCs/>
                <w:color w:val="auto"/>
                <w:highlight w:val="none"/>
                <w:lang w:val="en-US" w:eastAsia="zh-CN"/>
              </w:rPr>
              <w:t>本项目与《废铅蓄电池污染防治行动方案》（环办固体</w:t>
            </w:r>
            <w:r>
              <w:rPr>
                <w:rFonts w:hint="eastAsia"/>
                <w:b/>
                <w:bCs/>
                <w:color w:val="auto"/>
                <w:highlight w:val="none"/>
              </w:rPr>
              <w:t>〔20</w:t>
            </w:r>
            <w:r>
              <w:rPr>
                <w:rFonts w:hint="eastAsia"/>
                <w:b/>
                <w:bCs/>
                <w:color w:val="auto"/>
                <w:highlight w:val="none"/>
                <w:lang w:val="en-US" w:eastAsia="zh-CN"/>
              </w:rPr>
              <w:t>19</w:t>
            </w:r>
            <w:r>
              <w:rPr>
                <w:rFonts w:hint="eastAsia"/>
                <w:b/>
                <w:bCs/>
                <w:color w:val="auto"/>
                <w:highlight w:val="none"/>
              </w:rPr>
              <w:t>〕</w:t>
            </w:r>
            <w:r>
              <w:rPr>
                <w:rFonts w:hint="eastAsia" w:ascii="Times New Roman" w:hAnsi="Times New Roman" w:eastAsia="宋体" w:cs="Times New Roman"/>
                <w:b/>
                <w:bCs/>
                <w:color w:val="auto"/>
                <w:highlight w:val="none"/>
                <w:lang w:val="en-US" w:eastAsia="zh-CN"/>
              </w:rPr>
              <w:t>3号）进行相符性分析</w:t>
            </w:r>
          </w:p>
          <w:p w14:paraId="706028AA">
            <w:pPr>
              <w:bidi w:val="0"/>
              <w:rPr>
                <w:rFonts w:hint="eastAsia" w:ascii="Times New Roman" w:hAnsi="Times New Roman" w:eastAsia="宋体" w:cs="Times New Roman"/>
                <w:b/>
                <w:bCs/>
                <w:color w:val="auto"/>
                <w:highlight w:val="none"/>
                <w:lang w:val="en-US" w:eastAsia="zh-CN"/>
              </w:rPr>
            </w:pPr>
          </w:p>
          <w:p w14:paraId="5A45ECA6">
            <w:pPr>
              <w:bidi w:val="0"/>
              <w:ind w:firstLine="0" w:firstLineChars="0"/>
              <w:rPr>
                <w:rFonts w:hint="eastAsia" w:ascii="Times New Roman" w:hAnsi="Times New Roman" w:eastAsia="宋体" w:cs="Times New Roman"/>
                <w:b/>
                <w:bCs/>
                <w:color w:val="auto"/>
                <w:highlight w:val="none"/>
                <w:lang w:val="en-US" w:eastAsia="zh-CN"/>
              </w:rPr>
            </w:pPr>
          </w:p>
          <w:p w14:paraId="699CD83D">
            <w:pPr>
              <w:pStyle w:val="25"/>
              <w:bidi w:val="0"/>
              <w:rPr>
                <w:color w:val="auto"/>
                <w:highlight w:val="none"/>
              </w:rPr>
            </w:pPr>
            <w:r>
              <w:rPr>
                <w:color w:val="auto"/>
                <w:highlight w:val="none"/>
              </w:rPr>
              <w:t>与</w:t>
            </w:r>
            <w:r>
              <w:rPr>
                <w:rFonts w:hint="eastAsia"/>
                <w:color w:val="auto"/>
                <w:highlight w:val="none"/>
              </w:rPr>
              <w:t>《</w:t>
            </w:r>
            <w:r>
              <w:rPr>
                <w:rFonts w:hint="eastAsia"/>
                <w:color w:val="auto"/>
                <w:highlight w:val="none"/>
                <w:lang w:eastAsia="zh-CN"/>
              </w:rPr>
              <w:t>废铅蓄电池</w:t>
            </w:r>
            <w:r>
              <w:rPr>
                <w:rFonts w:hint="eastAsia"/>
                <w:color w:val="auto"/>
                <w:highlight w:val="none"/>
              </w:rPr>
              <w:t>污染防治行动方案》（环办固体</w:t>
            </w:r>
            <w:r>
              <w:rPr>
                <w:rFonts w:hint="eastAsia"/>
                <w:b/>
                <w:bCs/>
                <w:color w:val="auto"/>
                <w:highlight w:val="none"/>
              </w:rPr>
              <w:t>〔20</w:t>
            </w:r>
            <w:r>
              <w:rPr>
                <w:rFonts w:hint="eastAsia"/>
                <w:b/>
                <w:bCs/>
                <w:color w:val="auto"/>
                <w:highlight w:val="none"/>
                <w:lang w:val="en-US" w:eastAsia="zh-CN"/>
              </w:rPr>
              <w:t>19</w:t>
            </w:r>
            <w:r>
              <w:rPr>
                <w:rFonts w:hint="eastAsia"/>
                <w:b/>
                <w:bCs/>
                <w:color w:val="auto"/>
                <w:highlight w:val="none"/>
              </w:rPr>
              <w:t>〕</w:t>
            </w:r>
            <w:r>
              <w:rPr>
                <w:rFonts w:hint="eastAsia"/>
                <w:color w:val="auto"/>
                <w:highlight w:val="none"/>
              </w:rPr>
              <w:t>3号）</w:t>
            </w:r>
            <w:r>
              <w:rPr>
                <w:color w:val="auto"/>
                <w:highlight w:val="none"/>
              </w:rPr>
              <w:t>符合性分析</w:t>
            </w:r>
          </w:p>
          <w:tbl>
            <w:tblPr>
              <w:tblStyle w:val="1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1"/>
              <w:gridCol w:w="3264"/>
              <w:gridCol w:w="3001"/>
              <w:gridCol w:w="777"/>
            </w:tblGrid>
            <w:tr w14:paraId="195629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2" w:type="pct"/>
                  <w:tcBorders>
                    <w:tl2br w:val="nil"/>
                    <w:tr2bl w:val="nil"/>
                  </w:tcBorders>
                  <w:vAlign w:val="center"/>
                </w:tcPr>
                <w:p w14:paraId="1801F818">
                  <w:pPr>
                    <w:pStyle w:val="27"/>
                    <w:spacing w:line="240" w:lineRule="auto"/>
                    <w:rPr>
                      <w:rFonts w:hint="default"/>
                      <w:color w:val="auto"/>
                      <w:highlight w:val="none"/>
                    </w:rPr>
                  </w:pPr>
                  <w:r>
                    <w:rPr>
                      <w:color w:val="auto"/>
                      <w:highlight w:val="none"/>
                    </w:rPr>
                    <w:t>序号</w:t>
                  </w:r>
                </w:p>
              </w:tc>
              <w:tc>
                <w:tcPr>
                  <w:tcW w:w="1996" w:type="pct"/>
                  <w:tcBorders>
                    <w:tl2br w:val="nil"/>
                    <w:tr2bl w:val="nil"/>
                  </w:tcBorders>
                  <w:vAlign w:val="center"/>
                </w:tcPr>
                <w:p w14:paraId="4EFB3E0B">
                  <w:pPr>
                    <w:pStyle w:val="27"/>
                    <w:spacing w:line="240" w:lineRule="auto"/>
                    <w:rPr>
                      <w:rFonts w:hint="default"/>
                      <w:color w:val="auto"/>
                      <w:highlight w:val="none"/>
                    </w:rPr>
                  </w:pPr>
                  <w:r>
                    <w:rPr>
                      <w:color w:val="auto"/>
                      <w:highlight w:val="none"/>
                    </w:rPr>
                    <w:t>分析内容</w:t>
                  </w:r>
                </w:p>
              </w:tc>
              <w:tc>
                <w:tcPr>
                  <w:tcW w:w="1835" w:type="pct"/>
                  <w:tcBorders>
                    <w:tl2br w:val="nil"/>
                    <w:tr2bl w:val="nil"/>
                  </w:tcBorders>
                  <w:vAlign w:val="center"/>
                </w:tcPr>
                <w:p w14:paraId="20E266E3">
                  <w:pPr>
                    <w:pStyle w:val="27"/>
                    <w:spacing w:line="240" w:lineRule="auto"/>
                    <w:rPr>
                      <w:rFonts w:hint="default"/>
                      <w:color w:val="auto"/>
                      <w:highlight w:val="none"/>
                    </w:rPr>
                  </w:pPr>
                  <w:r>
                    <w:rPr>
                      <w:color w:val="auto"/>
                      <w:highlight w:val="none"/>
                    </w:rPr>
                    <w:t>本项目情况</w:t>
                  </w:r>
                </w:p>
              </w:tc>
              <w:tc>
                <w:tcPr>
                  <w:tcW w:w="475" w:type="pct"/>
                  <w:tcBorders>
                    <w:tl2br w:val="nil"/>
                    <w:tr2bl w:val="nil"/>
                  </w:tcBorders>
                  <w:vAlign w:val="center"/>
                </w:tcPr>
                <w:p w14:paraId="06CC6EA1">
                  <w:pPr>
                    <w:pStyle w:val="27"/>
                    <w:spacing w:line="240" w:lineRule="auto"/>
                    <w:rPr>
                      <w:rFonts w:hint="default"/>
                      <w:color w:val="auto"/>
                      <w:highlight w:val="none"/>
                    </w:rPr>
                  </w:pPr>
                  <w:r>
                    <w:rPr>
                      <w:color w:val="auto"/>
                      <w:highlight w:val="none"/>
                    </w:rPr>
                    <w:t>分析结果</w:t>
                  </w:r>
                </w:p>
              </w:tc>
            </w:tr>
            <w:tr w14:paraId="51D49C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2" w:type="pct"/>
                  <w:tcBorders>
                    <w:tl2br w:val="nil"/>
                    <w:tr2bl w:val="nil"/>
                  </w:tcBorders>
                  <w:vAlign w:val="center"/>
                </w:tcPr>
                <w:p w14:paraId="73668DD7">
                  <w:pPr>
                    <w:pStyle w:val="24"/>
                    <w:spacing w:line="240" w:lineRule="auto"/>
                    <w:rPr>
                      <w:bCs/>
                      <w:color w:val="auto"/>
                      <w:highlight w:val="none"/>
                    </w:rPr>
                  </w:pPr>
                  <w:r>
                    <w:rPr>
                      <w:rFonts w:hint="eastAsia"/>
                      <w:bCs/>
                      <w:color w:val="auto"/>
                      <w:highlight w:val="none"/>
                    </w:rPr>
                    <w:t>1</w:t>
                  </w:r>
                </w:p>
              </w:tc>
              <w:tc>
                <w:tcPr>
                  <w:tcW w:w="1996" w:type="pct"/>
                  <w:tcBorders>
                    <w:tl2br w:val="nil"/>
                    <w:tr2bl w:val="nil"/>
                  </w:tcBorders>
                  <w:vAlign w:val="center"/>
                </w:tcPr>
                <w:p w14:paraId="33EF710C">
                  <w:pPr>
                    <w:pStyle w:val="24"/>
                    <w:spacing w:line="240" w:lineRule="auto"/>
                    <w:rPr>
                      <w:bCs/>
                      <w:color w:val="auto"/>
                      <w:highlight w:val="none"/>
                    </w:rPr>
                  </w:pPr>
                  <w:r>
                    <w:rPr>
                      <w:rFonts w:hint="eastAsia"/>
                      <w:bCs/>
                      <w:color w:val="auto"/>
                      <w:highlight w:val="none"/>
                    </w:rPr>
                    <w:t>开展</w:t>
                  </w:r>
                  <w:r>
                    <w:rPr>
                      <w:rFonts w:hint="eastAsia"/>
                      <w:bCs/>
                      <w:color w:val="auto"/>
                      <w:highlight w:val="none"/>
                      <w:lang w:eastAsia="zh-CN"/>
                    </w:rPr>
                    <w:t>废铅蓄电池</w:t>
                  </w:r>
                  <w:r>
                    <w:rPr>
                      <w:rFonts w:hint="eastAsia"/>
                      <w:bCs/>
                      <w:color w:val="auto"/>
                      <w:highlight w:val="none"/>
                    </w:rPr>
                    <w:t>集中收集和跨区域转运制度试点。为探索完善</w:t>
                  </w:r>
                  <w:r>
                    <w:rPr>
                      <w:rFonts w:hint="eastAsia"/>
                      <w:bCs/>
                      <w:color w:val="auto"/>
                      <w:highlight w:val="none"/>
                      <w:lang w:eastAsia="zh-CN"/>
                    </w:rPr>
                    <w:t>废铅蓄电池</w:t>
                  </w:r>
                  <w:r>
                    <w:rPr>
                      <w:rFonts w:hint="eastAsia"/>
                      <w:bCs/>
                      <w:color w:val="auto"/>
                      <w:highlight w:val="none"/>
                    </w:rPr>
                    <w:t>收集、转移管理制度</w:t>
                  </w:r>
                  <w:r>
                    <w:rPr>
                      <w:rFonts w:hint="eastAsia"/>
                      <w:bCs/>
                      <w:color w:val="auto"/>
                      <w:highlight w:val="none"/>
                      <w:lang w:eastAsia="zh-CN"/>
                    </w:rPr>
                    <w:t>，</w:t>
                  </w:r>
                  <w:r>
                    <w:rPr>
                      <w:rFonts w:hint="eastAsia"/>
                      <w:bCs/>
                      <w:color w:val="auto"/>
                      <w:highlight w:val="none"/>
                    </w:rPr>
                    <w:t>选择有条件的地区</w:t>
                  </w:r>
                  <w:r>
                    <w:rPr>
                      <w:rFonts w:hint="eastAsia"/>
                      <w:bCs/>
                      <w:color w:val="auto"/>
                      <w:highlight w:val="none"/>
                      <w:lang w:eastAsia="zh-CN"/>
                    </w:rPr>
                    <w:t>，</w:t>
                  </w:r>
                  <w:r>
                    <w:rPr>
                      <w:rFonts w:hint="eastAsia"/>
                      <w:bCs/>
                      <w:color w:val="auto"/>
                      <w:highlight w:val="none"/>
                    </w:rPr>
                    <w:t>开展</w:t>
                  </w:r>
                  <w:r>
                    <w:rPr>
                      <w:rFonts w:hint="eastAsia"/>
                      <w:bCs/>
                      <w:color w:val="auto"/>
                      <w:highlight w:val="none"/>
                      <w:lang w:eastAsia="zh-CN"/>
                    </w:rPr>
                    <w:t>废铅蓄电池</w:t>
                  </w:r>
                  <w:r>
                    <w:rPr>
                      <w:rFonts w:hint="eastAsia"/>
                      <w:bCs/>
                      <w:color w:val="auto"/>
                      <w:highlight w:val="none"/>
                    </w:rPr>
                    <w:t>集中收集和跨区域转运制度试点</w:t>
                  </w:r>
                  <w:r>
                    <w:rPr>
                      <w:rFonts w:hint="eastAsia"/>
                      <w:bCs/>
                      <w:color w:val="auto"/>
                      <w:highlight w:val="none"/>
                      <w:lang w:eastAsia="zh-CN"/>
                    </w:rPr>
                    <w:t>，</w:t>
                  </w:r>
                  <w:r>
                    <w:rPr>
                      <w:rFonts w:hint="eastAsia"/>
                      <w:bCs/>
                      <w:color w:val="auto"/>
                      <w:highlight w:val="none"/>
                    </w:rPr>
                    <w:t>对未破损的密封式免维护</w:t>
                  </w:r>
                  <w:r>
                    <w:rPr>
                      <w:rFonts w:hint="eastAsia"/>
                      <w:bCs/>
                      <w:color w:val="auto"/>
                      <w:highlight w:val="none"/>
                      <w:lang w:eastAsia="zh-CN"/>
                    </w:rPr>
                    <w:t>废铅蓄电池</w:t>
                  </w:r>
                  <w:r>
                    <w:rPr>
                      <w:rFonts w:hint="eastAsia"/>
                      <w:bCs/>
                      <w:color w:val="auto"/>
                      <w:highlight w:val="none"/>
                    </w:rPr>
                    <w:t>在收集、贮存、转移等环节有条件豁免或简化管理要求</w:t>
                  </w:r>
                  <w:r>
                    <w:rPr>
                      <w:rFonts w:hint="eastAsia"/>
                      <w:bCs/>
                      <w:color w:val="auto"/>
                      <w:highlight w:val="none"/>
                      <w:lang w:eastAsia="zh-CN"/>
                    </w:rPr>
                    <w:t>，</w:t>
                  </w:r>
                  <w:r>
                    <w:rPr>
                      <w:rFonts w:hint="eastAsia"/>
                      <w:bCs/>
                      <w:color w:val="auto"/>
                      <w:highlight w:val="none"/>
                    </w:rPr>
                    <w:t>降低成本</w:t>
                  </w:r>
                  <w:r>
                    <w:rPr>
                      <w:rFonts w:hint="eastAsia"/>
                      <w:bCs/>
                      <w:color w:val="auto"/>
                      <w:highlight w:val="none"/>
                      <w:lang w:eastAsia="zh-CN"/>
                    </w:rPr>
                    <w:t>，</w:t>
                  </w:r>
                  <w:r>
                    <w:rPr>
                      <w:rFonts w:hint="eastAsia"/>
                      <w:bCs/>
                      <w:color w:val="auto"/>
                      <w:highlight w:val="none"/>
                    </w:rPr>
                    <w:t>提高效率</w:t>
                  </w:r>
                  <w:r>
                    <w:rPr>
                      <w:rFonts w:hint="eastAsia"/>
                      <w:bCs/>
                      <w:color w:val="auto"/>
                      <w:highlight w:val="none"/>
                      <w:lang w:eastAsia="zh-CN"/>
                    </w:rPr>
                    <w:t>，</w:t>
                  </w:r>
                  <w:r>
                    <w:rPr>
                      <w:rFonts w:hint="eastAsia"/>
                      <w:bCs/>
                      <w:color w:val="auto"/>
                      <w:highlight w:val="none"/>
                    </w:rPr>
                    <w:t>推动建立规范有序的收集处理体系</w:t>
                  </w:r>
                </w:p>
              </w:tc>
              <w:tc>
                <w:tcPr>
                  <w:tcW w:w="1835" w:type="pct"/>
                  <w:tcBorders>
                    <w:tl2br w:val="nil"/>
                    <w:tr2bl w:val="nil"/>
                  </w:tcBorders>
                  <w:vAlign w:val="center"/>
                </w:tcPr>
                <w:p w14:paraId="6E3F4F53">
                  <w:pPr>
                    <w:pStyle w:val="24"/>
                    <w:spacing w:line="240" w:lineRule="auto"/>
                    <w:rPr>
                      <w:bCs/>
                      <w:color w:val="auto"/>
                      <w:highlight w:val="none"/>
                    </w:rPr>
                  </w:pPr>
                  <w:r>
                    <w:rPr>
                      <w:rFonts w:hint="eastAsia"/>
                      <w:bCs/>
                      <w:color w:val="auto"/>
                      <w:highlight w:val="none"/>
                    </w:rPr>
                    <w:t>根据</w:t>
                  </w:r>
                  <w:r>
                    <w:rPr>
                      <w:rFonts w:hint="eastAsia"/>
                      <w:bCs/>
                      <w:color w:val="auto"/>
                      <w:highlight w:val="none"/>
                      <w:lang w:eastAsia="zh-CN"/>
                    </w:rPr>
                    <w:t>《国家危险废物名录》（2025年版）</w:t>
                  </w:r>
                  <w:r>
                    <w:rPr>
                      <w:rFonts w:hint="eastAsia"/>
                      <w:bCs/>
                      <w:color w:val="auto"/>
                      <w:highlight w:val="none"/>
                    </w:rPr>
                    <w:t>中“未破损的</w:t>
                  </w:r>
                  <w:r>
                    <w:rPr>
                      <w:rFonts w:hint="eastAsia"/>
                      <w:bCs/>
                      <w:color w:val="auto"/>
                      <w:highlight w:val="none"/>
                      <w:lang w:eastAsia="zh-CN"/>
                    </w:rPr>
                    <w:t>废铅蓄电池，</w:t>
                  </w:r>
                  <w:r>
                    <w:rPr>
                      <w:rFonts w:hint="eastAsia"/>
                      <w:bCs/>
                      <w:color w:val="auto"/>
                      <w:highlight w:val="none"/>
                    </w:rPr>
                    <w:t>运输工具满足防雨、防渗漏、防遗撒要求</w:t>
                  </w:r>
                  <w:r>
                    <w:rPr>
                      <w:rFonts w:hint="eastAsia"/>
                      <w:bCs/>
                      <w:color w:val="auto"/>
                      <w:highlight w:val="none"/>
                      <w:lang w:eastAsia="zh-CN"/>
                    </w:rPr>
                    <w:t>，</w:t>
                  </w:r>
                  <w:r>
                    <w:rPr>
                      <w:rFonts w:hint="eastAsia"/>
                      <w:bCs/>
                      <w:color w:val="auto"/>
                      <w:highlight w:val="none"/>
                    </w:rPr>
                    <w:t>运输过程不按照危险废物进行运输”</w:t>
                  </w:r>
                  <w:r>
                    <w:rPr>
                      <w:rFonts w:hint="eastAsia"/>
                      <w:bCs/>
                      <w:color w:val="auto"/>
                      <w:highlight w:val="none"/>
                      <w:lang w:eastAsia="zh-CN"/>
                    </w:rPr>
                    <w:t>，</w:t>
                  </w:r>
                  <w:r>
                    <w:rPr>
                      <w:rFonts w:hint="eastAsia"/>
                      <w:bCs/>
                      <w:color w:val="auto"/>
                      <w:highlight w:val="none"/>
                    </w:rPr>
                    <w:t>本项目满足文件要求后</w:t>
                  </w:r>
                  <w:r>
                    <w:rPr>
                      <w:rFonts w:hint="eastAsia"/>
                      <w:bCs/>
                      <w:color w:val="auto"/>
                      <w:highlight w:val="none"/>
                      <w:lang w:eastAsia="zh-CN"/>
                    </w:rPr>
                    <w:t>，</w:t>
                  </w:r>
                  <w:r>
                    <w:rPr>
                      <w:rFonts w:hint="eastAsia"/>
                      <w:bCs/>
                      <w:color w:val="auto"/>
                      <w:highlight w:val="none"/>
                    </w:rPr>
                    <w:t>可不按照危险废物进行运输</w:t>
                  </w:r>
                  <w:r>
                    <w:rPr>
                      <w:rFonts w:hint="eastAsia"/>
                      <w:bCs/>
                      <w:color w:val="auto"/>
                      <w:highlight w:val="none"/>
                      <w:lang w:eastAsia="zh-CN"/>
                    </w:rPr>
                    <w:t>，</w:t>
                  </w:r>
                  <w:r>
                    <w:rPr>
                      <w:rFonts w:hint="eastAsia"/>
                      <w:bCs/>
                      <w:color w:val="auto"/>
                      <w:highlight w:val="none"/>
                    </w:rPr>
                    <w:t>破损</w:t>
                  </w:r>
                  <w:r>
                    <w:rPr>
                      <w:rFonts w:hint="eastAsia"/>
                      <w:bCs/>
                      <w:color w:val="auto"/>
                      <w:highlight w:val="none"/>
                      <w:lang w:eastAsia="zh-CN"/>
                    </w:rPr>
                    <w:t>废铅蓄电池</w:t>
                  </w:r>
                  <w:r>
                    <w:rPr>
                      <w:rFonts w:hint="eastAsia"/>
                      <w:bCs/>
                      <w:color w:val="auto"/>
                      <w:highlight w:val="none"/>
                    </w:rPr>
                    <w:t>按照危险废物进行运输管理</w:t>
                  </w:r>
                </w:p>
              </w:tc>
              <w:tc>
                <w:tcPr>
                  <w:tcW w:w="475" w:type="pct"/>
                  <w:tcBorders>
                    <w:tl2br w:val="nil"/>
                    <w:tr2bl w:val="nil"/>
                  </w:tcBorders>
                  <w:vAlign w:val="center"/>
                </w:tcPr>
                <w:p w14:paraId="42E9FE66">
                  <w:pPr>
                    <w:pStyle w:val="24"/>
                    <w:spacing w:line="240" w:lineRule="auto"/>
                    <w:rPr>
                      <w:bCs/>
                      <w:color w:val="auto"/>
                      <w:highlight w:val="none"/>
                    </w:rPr>
                  </w:pPr>
                  <w:r>
                    <w:rPr>
                      <w:rFonts w:hint="eastAsia"/>
                      <w:bCs/>
                      <w:color w:val="auto"/>
                      <w:highlight w:val="none"/>
                    </w:rPr>
                    <w:t>符合</w:t>
                  </w:r>
                </w:p>
              </w:tc>
            </w:tr>
          </w:tbl>
          <w:p w14:paraId="3118A0BB">
            <w:pPr>
              <w:bidi w:val="0"/>
              <w:ind w:left="0" w:leftChars="0" w:firstLine="480" w:firstLineChars="200"/>
              <w:rPr>
                <w:color w:val="auto"/>
                <w:highlight w:val="none"/>
              </w:rPr>
            </w:pPr>
            <w:r>
              <w:rPr>
                <w:rFonts w:hint="eastAsia"/>
                <w:color w:val="auto"/>
                <w:highlight w:val="none"/>
              </w:rPr>
              <w:t>本项目与《</w:t>
            </w:r>
            <w:r>
              <w:rPr>
                <w:rFonts w:hint="eastAsia"/>
                <w:color w:val="auto"/>
                <w:highlight w:val="none"/>
                <w:lang w:eastAsia="zh-CN"/>
              </w:rPr>
              <w:t>废铅蓄电池</w:t>
            </w:r>
            <w:r>
              <w:rPr>
                <w:rFonts w:hint="eastAsia"/>
                <w:color w:val="auto"/>
                <w:highlight w:val="none"/>
              </w:rPr>
              <w:t>污染防治行动方案》（环办固体</w:t>
            </w:r>
            <w:r>
              <w:rPr>
                <w:rFonts w:hint="eastAsia"/>
                <w:b w:val="0"/>
                <w:bCs w:val="0"/>
                <w:color w:val="auto"/>
                <w:highlight w:val="none"/>
              </w:rPr>
              <w:t>〔20</w:t>
            </w:r>
            <w:r>
              <w:rPr>
                <w:rFonts w:hint="eastAsia"/>
                <w:b w:val="0"/>
                <w:bCs w:val="0"/>
                <w:color w:val="auto"/>
                <w:highlight w:val="none"/>
                <w:lang w:val="en-US" w:eastAsia="zh-CN"/>
              </w:rPr>
              <w:t>19</w:t>
            </w:r>
            <w:r>
              <w:rPr>
                <w:rFonts w:hint="eastAsia"/>
                <w:b w:val="0"/>
                <w:bCs w:val="0"/>
                <w:color w:val="auto"/>
                <w:highlight w:val="none"/>
              </w:rPr>
              <w:t>〕</w:t>
            </w:r>
            <w:r>
              <w:rPr>
                <w:rFonts w:hint="eastAsia"/>
                <w:color w:val="auto"/>
                <w:highlight w:val="none"/>
              </w:rPr>
              <w:t>3号）中相关内容符合。</w:t>
            </w:r>
          </w:p>
          <w:p w14:paraId="1EB2C503">
            <w:pPr>
              <w:bidi w:val="0"/>
              <w:ind w:left="0" w:leftChars="0" w:firstLine="0" w:firstLineChars="0"/>
              <w:rPr>
                <w:color w:val="auto"/>
                <w:highlight w:val="none"/>
              </w:rPr>
            </w:pPr>
          </w:p>
          <w:p w14:paraId="1A11AA8A">
            <w:pPr>
              <w:bidi w:val="0"/>
              <w:ind w:left="0" w:leftChars="0" w:firstLine="0" w:firstLineChars="0"/>
              <w:rPr>
                <w:color w:val="auto"/>
                <w:highlight w:val="none"/>
              </w:rPr>
            </w:pPr>
          </w:p>
          <w:p w14:paraId="7BF3EECA">
            <w:pPr>
              <w:bidi w:val="0"/>
              <w:ind w:left="0" w:leftChars="0" w:firstLine="0" w:firstLineChars="0"/>
              <w:rPr>
                <w:color w:val="auto"/>
                <w:highlight w:val="none"/>
              </w:rPr>
            </w:pPr>
          </w:p>
          <w:p w14:paraId="0AEC86D8">
            <w:pPr>
              <w:bidi w:val="0"/>
              <w:ind w:left="0" w:leftChars="0" w:firstLine="0" w:firstLineChars="0"/>
              <w:rPr>
                <w:color w:val="auto"/>
                <w:highlight w:val="none"/>
              </w:rPr>
            </w:pPr>
          </w:p>
          <w:p w14:paraId="2BF504CE">
            <w:pPr>
              <w:bidi w:val="0"/>
              <w:ind w:left="0" w:leftChars="0" w:firstLine="0" w:firstLineChars="0"/>
              <w:rPr>
                <w:color w:val="auto"/>
                <w:highlight w:val="none"/>
              </w:rPr>
            </w:pPr>
          </w:p>
          <w:p w14:paraId="333D8972">
            <w:pPr>
              <w:bidi w:val="0"/>
              <w:ind w:left="0" w:leftChars="0" w:firstLine="0" w:firstLineChars="0"/>
              <w:rPr>
                <w:color w:val="auto"/>
                <w:highlight w:val="none"/>
              </w:rPr>
            </w:pPr>
          </w:p>
          <w:p w14:paraId="5D78ED15">
            <w:pPr>
              <w:bidi w:val="0"/>
              <w:ind w:left="0" w:leftChars="0" w:firstLine="0" w:firstLineChars="0"/>
              <w:rPr>
                <w:color w:val="auto"/>
                <w:highlight w:val="none"/>
              </w:rPr>
            </w:pPr>
          </w:p>
          <w:p w14:paraId="5AEC87F3">
            <w:pPr>
              <w:bidi w:val="0"/>
              <w:ind w:left="0" w:leftChars="0" w:firstLine="0" w:firstLineChars="0"/>
              <w:rPr>
                <w:color w:val="auto"/>
                <w:highlight w:val="none"/>
              </w:rPr>
            </w:pPr>
          </w:p>
          <w:p w14:paraId="6BD3B041">
            <w:pPr>
              <w:bidi w:val="0"/>
              <w:ind w:left="0" w:leftChars="0" w:firstLine="0" w:firstLineChars="0"/>
              <w:rPr>
                <w:color w:val="auto"/>
                <w:highlight w:val="none"/>
              </w:rPr>
            </w:pPr>
          </w:p>
          <w:p w14:paraId="58295C7C">
            <w:pPr>
              <w:bidi w:val="0"/>
              <w:ind w:left="0" w:leftChars="0" w:firstLine="0" w:firstLineChars="0"/>
              <w:rPr>
                <w:color w:val="auto"/>
                <w:highlight w:val="none"/>
              </w:rPr>
            </w:pPr>
          </w:p>
          <w:p w14:paraId="36D75899">
            <w:pPr>
              <w:bidi w:val="0"/>
              <w:ind w:left="0" w:leftChars="0" w:firstLine="0" w:firstLineChars="0"/>
              <w:rPr>
                <w:color w:val="auto"/>
                <w:highlight w:val="none"/>
              </w:rPr>
            </w:pPr>
          </w:p>
          <w:p w14:paraId="35CAD398">
            <w:pPr>
              <w:bidi w:val="0"/>
              <w:ind w:left="0" w:leftChars="0" w:firstLine="0" w:firstLineChars="0"/>
              <w:rPr>
                <w:color w:val="auto"/>
                <w:highlight w:val="none"/>
              </w:rPr>
            </w:pPr>
          </w:p>
          <w:p w14:paraId="474D43A0">
            <w:pPr>
              <w:bidi w:val="0"/>
              <w:ind w:left="0" w:leftChars="0" w:firstLine="0" w:firstLineChars="0"/>
              <w:rPr>
                <w:color w:val="auto"/>
                <w:highlight w:val="none"/>
              </w:rPr>
            </w:pPr>
          </w:p>
          <w:p w14:paraId="2554F3FE">
            <w:pPr>
              <w:bidi w:val="0"/>
              <w:ind w:left="0" w:leftChars="0" w:firstLine="0" w:firstLineChars="0"/>
              <w:rPr>
                <w:color w:val="auto"/>
                <w:highlight w:val="none"/>
              </w:rPr>
            </w:pPr>
          </w:p>
          <w:p w14:paraId="1E71070A">
            <w:pPr>
              <w:bidi w:val="0"/>
              <w:ind w:left="0" w:leftChars="0" w:firstLine="0" w:firstLineChars="0"/>
              <w:rPr>
                <w:color w:val="auto"/>
                <w:highlight w:val="none"/>
              </w:rPr>
            </w:pPr>
          </w:p>
          <w:p w14:paraId="50CEF3CA">
            <w:pPr>
              <w:bidi w:val="0"/>
              <w:ind w:left="0" w:leftChars="0" w:firstLine="0" w:firstLineChars="0"/>
              <w:rPr>
                <w:color w:val="auto"/>
                <w:highlight w:val="none"/>
              </w:rPr>
            </w:pPr>
          </w:p>
          <w:p w14:paraId="40F6425F">
            <w:pPr>
              <w:bidi w:val="0"/>
              <w:ind w:left="0" w:leftChars="0" w:firstLine="0" w:firstLineChars="0"/>
              <w:rPr>
                <w:color w:val="auto"/>
                <w:highlight w:val="none"/>
              </w:rPr>
            </w:pPr>
          </w:p>
          <w:p w14:paraId="0478D75C">
            <w:pPr>
              <w:bidi w:val="0"/>
              <w:ind w:left="0" w:leftChars="0" w:firstLine="0" w:firstLineChars="0"/>
              <w:rPr>
                <w:color w:val="auto"/>
                <w:highlight w:val="none"/>
              </w:rPr>
            </w:pPr>
          </w:p>
          <w:p w14:paraId="6D2FD294">
            <w:pPr>
              <w:bidi w:val="0"/>
              <w:ind w:left="0" w:leftChars="0" w:firstLine="0" w:firstLineChars="0"/>
              <w:rPr>
                <w:color w:val="auto"/>
                <w:highlight w:val="none"/>
              </w:rPr>
            </w:pPr>
          </w:p>
          <w:p w14:paraId="249D4116">
            <w:pPr>
              <w:bidi w:val="0"/>
              <w:ind w:left="0" w:leftChars="0" w:firstLine="0" w:firstLineChars="0"/>
              <w:rPr>
                <w:color w:val="auto"/>
                <w:highlight w:val="none"/>
              </w:rPr>
            </w:pPr>
          </w:p>
        </w:tc>
      </w:tr>
    </w:tbl>
    <w:p w14:paraId="3C03125F">
      <w:pPr>
        <w:keepNext w:val="0"/>
        <w:keepLines w:val="0"/>
        <w:pageBreakBefore w:val="0"/>
        <w:kinsoku/>
        <w:wordWrap/>
        <w:overflowPunct/>
        <w:autoSpaceDE/>
        <w:autoSpaceDN/>
        <w:bidi w:val="0"/>
        <w:spacing w:line="240" w:lineRule="auto"/>
        <w:ind w:firstLine="0" w:firstLineChars="0"/>
        <w:jc w:val="both"/>
        <w:outlineLvl w:val="0"/>
        <w:rPr>
          <w:rFonts w:eastAsia="黑体"/>
          <w:color w:val="auto"/>
          <w:sz w:val="30"/>
          <w:highlight w:val="none"/>
        </w:rPr>
        <w:sectPr>
          <w:pgSz w:w="11906" w:h="16838"/>
          <w:pgMar w:top="1531" w:right="1531" w:bottom="1531" w:left="1531" w:header="851" w:footer="1077" w:gutter="0"/>
          <w:pgBorders>
            <w:top w:val="none" w:sz="0" w:space="0"/>
            <w:left w:val="none" w:sz="0" w:space="0"/>
            <w:bottom w:val="none" w:sz="0" w:space="0"/>
            <w:right w:val="none" w:sz="0" w:space="0"/>
          </w:pgBorders>
          <w:pgNumType w:fmt="decimal"/>
          <w:cols w:space="0" w:num="1"/>
          <w:rtlGutter w:val="0"/>
          <w:docGrid w:linePitch="312" w:charSpace="0"/>
        </w:sectPr>
      </w:pPr>
    </w:p>
    <w:p w14:paraId="1CEC11A3">
      <w:pPr>
        <w:keepNext w:val="0"/>
        <w:keepLines w:val="0"/>
        <w:pageBreakBefore w:val="0"/>
        <w:kinsoku/>
        <w:wordWrap/>
        <w:overflowPunct/>
        <w:autoSpaceDE/>
        <w:autoSpaceDN/>
        <w:bidi w:val="0"/>
        <w:spacing w:line="240" w:lineRule="auto"/>
        <w:ind w:firstLine="0" w:firstLineChars="0"/>
        <w:jc w:val="center"/>
        <w:outlineLvl w:val="0"/>
        <w:rPr>
          <w:rFonts w:hint="eastAsia" w:ascii="宋体" w:hAnsi="宋体" w:eastAsia="宋体" w:cs="宋体"/>
          <w:b/>
          <w:bCs/>
          <w:snapToGrid w:val="0"/>
          <w:color w:val="auto"/>
          <w:sz w:val="30"/>
          <w:szCs w:val="30"/>
          <w:highlight w:val="none"/>
        </w:rPr>
      </w:pPr>
      <w:r>
        <w:rPr>
          <w:rFonts w:hint="eastAsia" w:ascii="宋体" w:hAnsi="宋体" w:eastAsia="宋体" w:cs="宋体"/>
          <w:b/>
          <w:bCs/>
          <w:snapToGrid w:val="0"/>
          <w:color w:val="auto"/>
          <w:sz w:val="30"/>
          <w:szCs w:val="30"/>
          <w:highlight w:val="none"/>
        </w:rPr>
        <w:t>二、建设项目工程分析</w:t>
      </w:r>
    </w:p>
    <w:tbl>
      <w:tblPr>
        <w:tblStyle w:val="16"/>
        <w:tblW w:w="88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4"/>
        <w:gridCol w:w="8490"/>
      </w:tblGrid>
      <w:tr w14:paraId="480E6D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42" w:hRule="atLeast"/>
          <w:jc w:val="center"/>
        </w:trPr>
        <w:tc>
          <w:tcPr>
            <w:tcW w:w="354" w:type="dxa"/>
            <w:vAlign w:val="center"/>
          </w:tcPr>
          <w:p w14:paraId="276D6332">
            <w:pPr>
              <w:keepNext w:val="0"/>
              <w:keepLines w:val="0"/>
              <w:pageBreakBefore w:val="0"/>
              <w:kinsoku/>
              <w:wordWrap/>
              <w:overflowPunct/>
              <w:autoSpaceDE/>
              <w:autoSpaceDN/>
              <w:bidi w:val="0"/>
              <w:adjustRightInd w:val="0"/>
              <w:snapToGrid w:val="0"/>
              <w:spacing w:line="240" w:lineRule="auto"/>
              <w:ind w:firstLine="0" w:firstLineChars="0"/>
              <w:jc w:val="both"/>
              <w:rPr>
                <w:rFonts w:cs="宋体"/>
                <w:color w:val="auto"/>
                <w:sz w:val="21"/>
                <w:szCs w:val="21"/>
                <w:highlight w:val="none"/>
              </w:rPr>
            </w:pPr>
            <w:r>
              <w:rPr>
                <w:rFonts w:hint="eastAsia"/>
                <w:b/>
                <w:bCs/>
                <w:color w:val="auto"/>
                <w:szCs w:val="22"/>
                <w:highlight w:val="none"/>
              </w:rPr>
              <w:t>建设内容</w:t>
            </w:r>
          </w:p>
        </w:tc>
        <w:tc>
          <w:tcPr>
            <w:tcW w:w="8490" w:type="dxa"/>
          </w:tcPr>
          <w:p w14:paraId="2A834BDC">
            <w:pPr>
              <w:bidi w:val="0"/>
              <w:rPr>
                <w:b/>
                <w:bCs/>
                <w:color w:val="auto"/>
                <w:highlight w:val="none"/>
              </w:rPr>
            </w:pPr>
            <w:r>
              <w:rPr>
                <w:b/>
                <w:bCs/>
                <w:color w:val="auto"/>
                <w:highlight w:val="none"/>
              </w:rPr>
              <w:t>1项目由来</w:t>
            </w:r>
          </w:p>
          <w:p w14:paraId="5C4D8A81">
            <w:pPr>
              <w:bidi w:val="0"/>
              <w:rPr>
                <w:rFonts w:hint="eastAsia"/>
                <w:color w:val="auto"/>
                <w:highlight w:val="none"/>
                <w:lang w:val="en-US" w:eastAsia="zh-CN"/>
              </w:rPr>
            </w:pPr>
            <w:r>
              <w:rPr>
                <w:rFonts w:hint="eastAsia"/>
                <w:color w:val="auto"/>
                <w:highlight w:val="none"/>
                <w:lang w:eastAsia="zh-CN"/>
              </w:rPr>
              <w:t>根据</w:t>
            </w:r>
            <w:r>
              <w:rPr>
                <w:rFonts w:hint="eastAsia"/>
                <w:color w:val="auto"/>
                <w:highlight w:val="none"/>
                <w:lang w:val="en-US" w:eastAsia="zh-CN"/>
              </w:rPr>
              <w:t>北票发电有限责任</w:t>
            </w:r>
            <w:r>
              <w:rPr>
                <w:rFonts w:hint="eastAsia"/>
                <w:color w:val="auto"/>
                <w:highlight w:val="none"/>
                <w:lang w:eastAsia="zh-CN"/>
              </w:rPr>
              <w:t>公司提供的原有环保手续，公司原有危废暂存间为</w:t>
            </w:r>
            <w:r>
              <w:rPr>
                <w:rFonts w:hint="eastAsia"/>
                <w:color w:val="auto"/>
                <w:highlight w:val="none"/>
                <w:lang w:val="en-US" w:eastAsia="zh-CN"/>
              </w:rPr>
              <w:t>60m</w:t>
            </w:r>
            <w:r>
              <w:rPr>
                <w:rFonts w:hint="eastAsia"/>
                <w:color w:val="auto"/>
                <w:highlight w:val="none"/>
                <w:vertAlign w:val="superscript"/>
                <w:lang w:val="en-US" w:eastAsia="zh-CN"/>
              </w:rPr>
              <w:t>2</w:t>
            </w:r>
            <w:r>
              <w:rPr>
                <w:rFonts w:hint="eastAsia"/>
                <w:color w:val="auto"/>
                <w:highlight w:val="none"/>
                <w:lang w:val="en-US" w:eastAsia="zh-CN"/>
              </w:rPr>
              <w:t>一座。但原有危废暂存间因建设初期墙体材料问题，发生年久失修、墙体破裂、漏雨等情况，故公司决定对该危废暂存间予以停用处理。</w:t>
            </w:r>
          </w:p>
          <w:p w14:paraId="0772F241">
            <w:pPr>
              <w:bidi w:val="0"/>
              <w:rPr>
                <w:rFonts w:hint="eastAsia"/>
                <w:color w:val="auto"/>
                <w:highlight w:val="none"/>
              </w:rPr>
            </w:pPr>
            <w:r>
              <w:rPr>
                <w:rFonts w:hint="eastAsia"/>
                <w:color w:val="auto"/>
                <w:highlight w:val="none"/>
                <w:lang w:eastAsia="zh-CN"/>
              </w:rPr>
              <w:t>本</w:t>
            </w:r>
            <w:r>
              <w:rPr>
                <w:rFonts w:hint="eastAsia"/>
                <w:color w:val="auto"/>
                <w:highlight w:val="none"/>
              </w:rPr>
              <w:t>项目拟总投资</w:t>
            </w:r>
            <w:r>
              <w:rPr>
                <w:rFonts w:hint="eastAsia"/>
                <w:color w:val="auto"/>
                <w:highlight w:val="none"/>
                <w:lang w:val="en-US" w:eastAsia="zh-CN"/>
              </w:rPr>
              <w:t>15.3</w:t>
            </w:r>
            <w:r>
              <w:rPr>
                <w:rFonts w:hint="eastAsia"/>
                <w:color w:val="auto"/>
                <w:highlight w:val="none"/>
              </w:rPr>
              <w:t>万元，利用北票发电有限责任公司闲置库房进行改造</w:t>
            </w:r>
            <w:r>
              <w:rPr>
                <w:rFonts w:hint="eastAsia"/>
                <w:color w:val="auto"/>
                <w:highlight w:val="none"/>
                <w:lang w:eastAsia="zh-CN"/>
              </w:rPr>
              <w:t>，</w:t>
            </w:r>
            <w:r>
              <w:rPr>
                <w:rFonts w:hint="eastAsia"/>
                <w:color w:val="auto"/>
                <w:highlight w:val="none"/>
              </w:rPr>
              <w:t>用于贮存</w:t>
            </w:r>
            <w:r>
              <w:rPr>
                <w:rFonts w:hint="eastAsia"/>
                <w:color w:val="auto"/>
                <w:highlight w:val="none"/>
                <w:lang w:eastAsia="zh-CN"/>
              </w:rPr>
              <w:t>北票发电有限责任公司厂区内所产生的危险废物，不涉及跨厂区运输。</w:t>
            </w:r>
          </w:p>
          <w:p w14:paraId="5FC4661A">
            <w:pPr>
              <w:bidi w:val="0"/>
              <w:rPr>
                <w:rFonts w:hint="eastAsia"/>
                <w:color w:val="auto"/>
                <w:highlight w:val="none"/>
                <w:lang w:eastAsia="zh-CN"/>
              </w:rPr>
            </w:pPr>
            <w:r>
              <w:rPr>
                <w:rFonts w:hint="eastAsia"/>
                <w:color w:val="auto"/>
                <w:highlight w:val="none"/>
              </w:rPr>
              <w:t>本项目危险废物年产生量为</w:t>
            </w:r>
            <w:r>
              <w:rPr>
                <w:rFonts w:hint="eastAsia"/>
                <w:color w:val="auto"/>
                <w:highlight w:val="none"/>
                <w:lang w:val="en-US" w:eastAsia="zh-CN"/>
              </w:rPr>
              <w:t>2.6吨，为</w:t>
            </w:r>
            <w:r>
              <w:rPr>
                <w:rFonts w:hint="eastAsia"/>
                <w:color w:val="auto"/>
                <w:highlight w:val="none"/>
              </w:rPr>
              <w:t>10吨以下，且实时贮存量不超过3吨，未纳入危险废物环境重点监管单位，属于危险废物登记管理单位</w:t>
            </w:r>
            <w:r>
              <w:rPr>
                <w:rFonts w:hint="eastAsia"/>
                <w:color w:val="auto"/>
                <w:highlight w:val="none"/>
                <w:lang w:eastAsia="zh-CN"/>
              </w:rPr>
              <w:t>。</w:t>
            </w:r>
          </w:p>
          <w:p w14:paraId="13BAB1AE">
            <w:pPr>
              <w:bidi w:val="0"/>
              <w:rPr>
                <w:rFonts w:hint="eastAsia"/>
                <w:color w:val="auto"/>
                <w:highlight w:val="none"/>
              </w:rPr>
            </w:pPr>
            <w:r>
              <w:rPr>
                <w:rFonts w:hint="eastAsia"/>
                <w:color w:val="auto"/>
                <w:highlight w:val="none"/>
              </w:rPr>
              <w:t>根据《中华人民共和国环境保护法》、《中华人民共和国环境影响评价法》、《建设项目环境保护管理条例》等环保法律法规的要求，本项目应进行环境影响评价。根据《建设项目环境影响评价分类管理名录（2021年版）》，本项目属于</w:t>
            </w:r>
            <w:r>
              <w:rPr>
                <w:rFonts w:hint="eastAsia"/>
                <w:color w:val="auto"/>
                <w:highlight w:val="none"/>
                <w:lang w:eastAsia="zh-CN"/>
              </w:rPr>
              <w:t>“</w:t>
            </w:r>
            <w:r>
              <w:rPr>
                <w:rFonts w:hint="eastAsia"/>
                <w:color w:val="auto"/>
                <w:highlight w:val="none"/>
              </w:rPr>
              <w:t>四十七、生态保护和环境治理业——101、危险废物（不含医疗废物）利用及处置其他</w:t>
            </w:r>
            <w:r>
              <w:rPr>
                <w:rFonts w:hint="eastAsia"/>
                <w:color w:val="auto"/>
                <w:highlight w:val="none"/>
                <w:lang w:eastAsia="zh-CN"/>
              </w:rPr>
              <w:t>”</w:t>
            </w:r>
            <w:r>
              <w:rPr>
                <w:rFonts w:hint="eastAsia"/>
                <w:color w:val="auto"/>
                <w:highlight w:val="none"/>
              </w:rPr>
              <w:t>，应编写环境影响报告表。</w:t>
            </w:r>
          </w:p>
          <w:p w14:paraId="0C8DE005">
            <w:pPr>
              <w:bidi w:val="0"/>
              <w:rPr>
                <w:rFonts w:hint="default"/>
                <w:b/>
                <w:bCs/>
                <w:color w:val="auto"/>
                <w:highlight w:val="none"/>
              </w:rPr>
            </w:pPr>
            <w:r>
              <w:rPr>
                <w:b/>
                <w:bCs/>
                <w:color w:val="auto"/>
                <w:highlight w:val="none"/>
              </w:rPr>
              <w:t>2建设内容及规模</w:t>
            </w:r>
          </w:p>
          <w:p w14:paraId="39D7DADC">
            <w:pPr>
              <w:pStyle w:val="25"/>
              <w:bidi w:val="0"/>
              <w:rPr>
                <w:color w:val="auto"/>
                <w:highlight w:val="none"/>
              </w:rPr>
            </w:pPr>
            <w:r>
              <w:rPr>
                <w:rFonts w:hint="eastAsia"/>
                <w:color w:val="auto"/>
                <w:highlight w:val="none"/>
              </w:rPr>
              <w:t>项目建设内容组成一览表</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090"/>
              <w:gridCol w:w="5788"/>
              <w:gridCol w:w="677"/>
            </w:tblGrid>
            <w:tr w14:paraId="21A80A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0" w:type="pct"/>
                  <w:tcBorders>
                    <w:tl2br w:val="nil"/>
                    <w:tr2bl w:val="nil"/>
                  </w:tcBorders>
                  <w:vAlign w:val="center"/>
                </w:tcPr>
                <w:p w14:paraId="28F408DC">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b/>
                      <w:bCs w:val="0"/>
                      <w:color w:val="auto"/>
                      <w:highlight w:val="none"/>
                    </w:rPr>
                  </w:pPr>
                  <w:r>
                    <w:rPr>
                      <w:rFonts w:eastAsia="宋体"/>
                      <w:b/>
                      <w:bCs w:val="0"/>
                      <w:color w:val="auto"/>
                      <w:sz w:val="21"/>
                      <w:highlight w:val="none"/>
                    </w:rPr>
                    <w:t>项目</w:t>
                  </w:r>
                </w:p>
              </w:tc>
              <w:tc>
                <w:tcPr>
                  <w:tcW w:w="659" w:type="pct"/>
                  <w:tcBorders>
                    <w:tl2br w:val="nil"/>
                    <w:tr2bl w:val="nil"/>
                  </w:tcBorders>
                  <w:vAlign w:val="center"/>
                </w:tcPr>
                <w:p w14:paraId="350498B8">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highlight w:val="none"/>
                    </w:rPr>
                  </w:pPr>
                  <w:r>
                    <w:rPr>
                      <w:rFonts w:eastAsia="宋体"/>
                      <w:b/>
                      <w:color w:val="auto"/>
                      <w:sz w:val="21"/>
                      <w:highlight w:val="none"/>
                    </w:rPr>
                    <w:t>建设内容</w:t>
                  </w:r>
                </w:p>
              </w:tc>
              <w:tc>
                <w:tcPr>
                  <w:tcW w:w="3500" w:type="pct"/>
                  <w:tcBorders>
                    <w:tl2br w:val="nil"/>
                    <w:tr2bl w:val="nil"/>
                  </w:tcBorders>
                  <w:vAlign w:val="center"/>
                </w:tcPr>
                <w:p w14:paraId="0C63988C">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highlight w:val="none"/>
                    </w:rPr>
                  </w:pPr>
                  <w:r>
                    <w:rPr>
                      <w:rFonts w:eastAsia="宋体"/>
                      <w:b/>
                      <w:color w:val="auto"/>
                      <w:sz w:val="21"/>
                      <w:highlight w:val="none"/>
                    </w:rPr>
                    <w:t>建设内容</w:t>
                  </w:r>
                </w:p>
              </w:tc>
              <w:tc>
                <w:tcPr>
                  <w:tcW w:w="409" w:type="pct"/>
                  <w:tcBorders>
                    <w:tl2br w:val="nil"/>
                    <w:tr2bl w:val="nil"/>
                  </w:tcBorders>
                  <w:vAlign w:val="center"/>
                </w:tcPr>
                <w:p w14:paraId="63DFF432">
                  <w:pPr>
                    <w:pStyle w:val="27"/>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highlight w:val="none"/>
                    </w:rPr>
                  </w:pPr>
                  <w:r>
                    <w:rPr>
                      <w:rFonts w:eastAsia="宋体"/>
                      <w:b/>
                      <w:color w:val="auto"/>
                      <w:sz w:val="21"/>
                      <w:highlight w:val="none"/>
                    </w:rPr>
                    <w:t>备注</w:t>
                  </w:r>
                </w:p>
              </w:tc>
            </w:tr>
            <w:tr w14:paraId="7C8343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0" w:type="pct"/>
                  <w:tcBorders>
                    <w:tl2br w:val="nil"/>
                    <w:tr2bl w:val="nil"/>
                  </w:tcBorders>
                  <w:vAlign w:val="center"/>
                </w:tcPr>
                <w:p w14:paraId="46BA6A2B">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b/>
                      <w:bCs w:val="0"/>
                      <w:color w:val="auto"/>
                      <w:highlight w:val="none"/>
                    </w:rPr>
                  </w:pPr>
                  <w:r>
                    <w:rPr>
                      <w:rFonts w:hint="eastAsia"/>
                      <w:b/>
                      <w:bCs w:val="0"/>
                      <w:color w:val="auto"/>
                      <w:highlight w:val="none"/>
                    </w:rPr>
                    <w:t>主体工程</w:t>
                  </w:r>
                </w:p>
              </w:tc>
              <w:tc>
                <w:tcPr>
                  <w:tcW w:w="659" w:type="pct"/>
                  <w:tcBorders>
                    <w:tl2br w:val="nil"/>
                    <w:tr2bl w:val="nil"/>
                  </w:tcBorders>
                  <w:vAlign w:val="center"/>
                </w:tcPr>
                <w:p w14:paraId="7887E0CA">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eastAsia="zh-CN"/>
                    </w:rPr>
                  </w:pPr>
                  <w:r>
                    <w:rPr>
                      <w:rFonts w:hint="eastAsia"/>
                      <w:color w:val="auto"/>
                      <w:highlight w:val="none"/>
                      <w:lang w:eastAsia="zh-CN"/>
                    </w:rPr>
                    <w:t>危险废物贮存点</w:t>
                  </w:r>
                </w:p>
              </w:tc>
              <w:tc>
                <w:tcPr>
                  <w:tcW w:w="3500" w:type="pct"/>
                  <w:tcBorders>
                    <w:tl2br w:val="nil"/>
                    <w:tr2bl w:val="nil"/>
                  </w:tcBorders>
                  <w:vAlign w:val="center"/>
                </w:tcPr>
                <w:p w14:paraId="0FC7982D">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Theme="minorEastAsia"/>
                      <w:color w:val="auto"/>
                      <w:highlight w:val="none"/>
                      <w:lang w:val="en-US" w:eastAsia="zh-CN"/>
                    </w:rPr>
                  </w:pPr>
                  <w:r>
                    <w:rPr>
                      <w:rFonts w:hint="eastAsia"/>
                      <w:color w:val="auto"/>
                      <w:highlight w:val="none"/>
                      <w:lang w:val="en-US" w:eastAsia="zh-CN"/>
                    </w:rPr>
                    <w:t>1层</w:t>
                  </w:r>
                  <w:r>
                    <w:rPr>
                      <w:rFonts w:hint="eastAsia"/>
                      <w:color w:val="auto"/>
                      <w:highlight w:val="none"/>
                      <w:lang w:eastAsia="zh-CN"/>
                    </w:rPr>
                    <w:t>砖混</w:t>
                  </w:r>
                  <w:r>
                    <w:rPr>
                      <w:rFonts w:hint="eastAsia"/>
                      <w:color w:val="auto"/>
                      <w:highlight w:val="none"/>
                    </w:rPr>
                    <w:t>结构，长</w:t>
                  </w:r>
                  <w:r>
                    <w:rPr>
                      <w:rFonts w:hint="eastAsia"/>
                      <w:color w:val="auto"/>
                      <w:highlight w:val="none"/>
                      <w:lang w:val="en-US" w:eastAsia="zh-CN"/>
                    </w:rPr>
                    <w:t>6</w:t>
                  </w:r>
                  <w:r>
                    <w:rPr>
                      <w:rFonts w:hint="eastAsia"/>
                      <w:color w:val="auto"/>
                      <w:highlight w:val="none"/>
                    </w:rPr>
                    <w:t>米、宽</w:t>
                  </w:r>
                  <w:r>
                    <w:rPr>
                      <w:rFonts w:hint="eastAsia"/>
                      <w:color w:val="auto"/>
                      <w:highlight w:val="none"/>
                      <w:lang w:val="en-US" w:eastAsia="zh-CN"/>
                    </w:rPr>
                    <w:t>7</w:t>
                  </w:r>
                  <w:r>
                    <w:rPr>
                      <w:rFonts w:hint="eastAsia"/>
                      <w:color w:val="auto"/>
                      <w:highlight w:val="none"/>
                    </w:rPr>
                    <w:t>米、高</w:t>
                  </w:r>
                  <w:r>
                    <w:rPr>
                      <w:rFonts w:hint="eastAsia"/>
                      <w:color w:val="auto"/>
                      <w:highlight w:val="none"/>
                      <w:lang w:val="en-US" w:eastAsia="zh-CN"/>
                    </w:rPr>
                    <w:t>4</w:t>
                  </w:r>
                  <w:r>
                    <w:rPr>
                      <w:rFonts w:hint="eastAsia"/>
                      <w:color w:val="auto"/>
                      <w:highlight w:val="none"/>
                    </w:rPr>
                    <w:t>米</w:t>
                  </w:r>
                  <w:r>
                    <w:rPr>
                      <w:rFonts w:hint="eastAsia"/>
                      <w:color w:val="auto"/>
                      <w:highlight w:val="none"/>
                      <w:lang w:eastAsia="zh-CN"/>
                    </w:rPr>
                    <w:t>，建筑面积</w:t>
                  </w:r>
                  <w:r>
                    <w:rPr>
                      <w:rFonts w:hint="eastAsia"/>
                      <w:color w:val="auto"/>
                      <w:highlight w:val="none"/>
                      <w:lang w:val="en-US" w:eastAsia="zh-CN"/>
                    </w:rPr>
                    <w:t>42m</w:t>
                  </w:r>
                  <w:r>
                    <w:rPr>
                      <w:rFonts w:hint="eastAsia"/>
                      <w:color w:val="auto"/>
                      <w:highlight w:val="none"/>
                      <w:vertAlign w:val="superscript"/>
                      <w:lang w:val="en-US" w:eastAsia="zh-CN"/>
                    </w:rPr>
                    <w:t>2</w:t>
                  </w:r>
                  <w:r>
                    <w:rPr>
                      <w:rFonts w:hint="eastAsia"/>
                      <w:color w:val="auto"/>
                      <w:highlight w:val="none"/>
                      <w:lang w:val="en-US" w:eastAsia="zh-CN"/>
                    </w:rPr>
                    <w:t>，分区贮存危险废物。废油类物质贮存区面积约为6.25m</w:t>
                  </w:r>
                  <w:r>
                    <w:rPr>
                      <w:rFonts w:hint="eastAsia"/>
                      <w:color w:val="auto"/>
                      <w:highlight w:val="none"/>
                      <w:vertAlign w:val="superscript"/>
                      <w:lang w:val="en-US" w:eastAsia="zh-CN"/>
                    </w:rPr>
                    <w:t>2</w:t>
                  </w:r>
                  <w:r>
                    <w:rPr>
                      <w:rFonts w:hint="eastAsia"/>
                      <w:color w:val="auto"/>
                      <w:highlight w:val="none"/>
                      <w:lang w:val="en-US" w:eastAsia="zh-CN"/>
                    </w:rPr>
                    <w:t>，废油桶、废油漆桶贮存区面积约为3.75m</w:t>
                  </w:r>
                  <w:r>
                    <w:rPr>
                      <w:rFonts w:hint="eastAsia"/>
                      <w:color w:val="auto"/>
                      <w:highlight w:val="none"/>
                      <w:vertAlign w:val="superscript"/>
                      <w:lang w:val="en-US" w:eastAsia="zh-CN"/>
                    </w:rPr>
                    <w:t>2</w:t>
                  </w:r>
                  <w:r>
                    <w:rPr>
                      <w:rFonts w:hint="eastAsia"/>
                      <w:color w:val="auto"/>
                      <w:highlight w:val="none"/>
                      <w:lang w:val="en-US" w:eastAsia="zh-CN"/>
                    </w:rPr>
                    <w:t>，废铅蓄电池贮存点建筑面积约为10m</w:t>
                  </w:r>
                  <w:r>
                    <w:rPr>
                      <w:rFonts w:hint="eastAsia"/>
                      <w:color w:val="auto"/>
                      <w:highlight w:val="none"/>
                      <w:vertAlign w:val="superscript"/>
                      <w:lang w:val="en-US" w:eastAsia="zh-CN"/>
                    </w:rPr>
                    <w:t>2</w:t>
                  </w:r>
                  <w:r>
                    <w:rPr>
                      <w:rFonts w:hint="eastAsia"/>
                      <w:color w:val="auto"/>
                      <w:highlight w:val="none"/>
                      <w:lang w:val="en-US" w:eastAsia="zh-CN"/>
                    </w:rPr>
                    <w:t>，实验室废液及废试剂瓶贮存区面积约为4m</w:t>
                  </w:r>
                  <w:r>
                    <w:rPr>
                      <w:rFonts w:hint="eastAsia"/>
                      <w:color w:val="auto"/>
                      <w:highlight w:val="none"/>
                      <w:vertAlign w:val="superscript"/>
                      <w:lang w:val="en-US" w:eastAsia="zh-CN"/>
                    </w:rPr>
                    <w:t>2</w:t>
                  </w:r>
                  <w:r>
                    <w:rPr>
                      <w:rFonts w:hint="eastAsia"/>
                      <w:color w:val="auto"/>
                      <w:highlight w:val="none"/>
                      <w:lang w:val="en-US" w:eastAsia="zh-CN"/>
                    </w:rPr>
                    <w:t>，废劳保用品贮存区面积约为1m</w:t>
                  </w:r>
                  <w:r>
                    <w:rPr>
                      <w:rFonts w:hint="eastAsia"/>
                      <w:color w:val="auto"/>
                      <w:highlight w:val="none"/>
                      <w:vertAlign w:val="superscript"/>
                      <w:lang w:val="en-US" w:eastAsia="zh-CN"/>
                    </w:rPr>
                    <w:t>2</w:t>
                  </w:r>
                  <w:r>
                    <w:rPr>
                      <w:rFonts w:hint="eastAsia"/>
                      <w:color w:val="auto"/>
                      <w:highlight w:val="none"/>
                      <w:vertAlign w:val="baseline"/>
                      <w:lang w:val="en-US" w:eastAsia="zh-CN"/>
                    </w:rPr>
                    <w:t>。</w:t>
                  </w:r>
                  <w:r>
                    <w:rPr>
                      <w:rFonts w:hint="eastAsia"/>
                      <w:color w:val="auto"/>
                      <w:highlight w:val="none"/>
                    </w:rPr>
                    <w:t>房顶为水泥盖板结构</w:t>
                  </w:r>
                  <w:r>
                    <w:rPr>
                      <w:rFonts w:hint="eastAsia"/>
                      <w:color w:val="auto"/>
                      <w:highlight w:val="none"/>
                      <w:lang w:eastAsia="zh-CN"/>
                    </w:rPr>
                    <w:t>，屋顶防水采用一层SBS改性沥青卷材。最大贮存能力</w:t>
                  </w:r>
                  <w:r>
                    <w:rPr>
                      <w:rFonts w:hint="eastAsia"/>
                      <w:color w:val="auto"/>
                      <w:highlight w:val="none"/>
                      <w:lang w:val="en-US" w:eastAsia="zh-CN"/>
                    </w:rPr>
                    <w:t>90t。</w:t>
                  </w:r>
                </w:p>
              </w:tc>
              <w:tc>
                <w:tcPr>
                  <w:tcW w:w="409" w:type="pct"/>
                  <w:tcBorders>
                    <w:tl2br w:val="nil"/>
                    <w:tr2bl w:val="nil"/>
                  </w:tcBorders>
                  <w:vAlign w:val="center"/>
                </w:tcPr>
                <w:p w14:paraId="7725B44F">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eastAsia="zh-CN"/>
                    </w:rPr>
                  </w:pPr>
                  <w:r>
                    <w:rPr>
                      <w:rFonts w:hint="eastAsia"/>
                      <w:color w:val="auto"/>
                      <w:highlight w:val="none"/>
                      <w:lang w:eastAsia="zh-CN"/>
                    </w:rPr>
                    <w:t>改造</w:t>
                  </w:r>
                </w:p>
              </w:tc>
            </w:tr>
            <w:tr w14:paraId="270222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0" w:type="pct"/>
                  <w:tcBorders>
                    <w:tl2br w:val="nil"/>
                    <w:tr2bl w:val="nil"/>
                  </w:tcBorders>
                  <w:vAlign w:val="center"/>
                </w:tcPr>
                <w:p w14:paraId="52B69362">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val="0"/>
                      <w:color w:val="auto"/>
                      <w:highlight w:val="none"/>
                    </w:rPr>
                  </w:pPr>
                  <w:r>
                    <w:rPr>
                      <w:rFonts w:hint="eastAsia"/>
                      <w:b/>
                      <w:bCs w:val="0"/>
                      <w:color w:val="auto"/>
                      <w:highlight w:val="none"/>
                      <w:lang w:eastAsia="zh-CN"/>
                    </w:rPr>
                    <w:t>储运</w:t>
                  </w:r>
                  <w:r>
                    <w:rPr>
                      <w:rFonts w:hint="eastAsia"/>
                      <w:b/>
                      <w:bCs w:val="0"/>
                      <w:color w:val="auto"/>
                      <w:highlight w:val="none"/>
                    </w:rPr>
                    <w:t>工程</w:t>
                  </w:r>
                </w:p>
              </w:tc>
              <w:tc>
                <w:tcPr>
                  <w:tcW w:w="659" w:type="pct"/>
                  <w:tcBorders>
                    <w:tl2br w:val="nil"/>
                    <w:tr2bl w:val="nil"/>
                  </w:tcBorders>
                  <w:vAlign w:val="center"/>
                </w:tcPr>
                <w:p w14:paraId="414100ED">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道路</w:t>
                  </w:r>
                </w:p>
              </w:tc>
              <w:tc>
                <w:tcPr>
                  <w:tcW w:w="3500" w:type="pct"/>
                  <w:tcBorders>
                    <w:tl2br w:val="nil"/>
                    <w:tr2bl w:val="nil"/>
                  </w:tcBorders>
                  <w:vAlign w:val="center"/>
                </w:tcPr>
                <w:p w14:paraId="75CD5445">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厂内道路运输</w:t>
                  </w:r>
                </w:p>
              </w:tc>
              <w:tc>
                <w:tcPr>
                  <w:tcW w:w="409" w:type="pct"/>
                  <w:tcBorders>
                    <w:tl2br w:val="nil"/>
                    <w:tr2bl w:val="nil"/>
                  </w:tcBorders>
                  <w:vAlign w:val="center"/>
                </w:tcPr>
                <w:p w14:paraId="6126C28A">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eastAsia="zh-CN"/>
                    </w:rPr>
                  </w:pPr>
                  <w:r>
                    <w:rPr>
                      <w:rFonts w:hint="eastAsia"/>
                      <w:color w:val="auto"/>
                      <w:highlight w:val="none"/>
                      <w:lang w:val="en-US" w:eastAsia="zh-CN"/>
                    </w:rPr>
                    <w:t>-</w:t>
                  </w:r>
                </w:p>
              </w:tc>
            </w:tr>
            <w:tr w14:paraId="41461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0" w:type="pct"/>
                  <w:vMerge w:val="restart"/>
                  <w:tcBorders>
                    <w:tl2br w:val="nil"/>
                    <w:tr2bl w:val="nil"/>
                  </w:tcBorders>
                  <w:vAlign w:val="center"/>
                </w:tcPr>
                <w:p w14:paraId="17F20701">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val="0"/>
                      <w:color w:val="auto"/>
                      <w:highlight w:val="none"/>
                    </w:rPr>
                  </w:pPr>
                  <w:r>
                    <w:rPr>
                      <w:rFonts w:hint="eastAsia"/>
                      <w:b/>
                      <w:bCs w:val="0"/>
                      <w:color w:val="auto"/>
                      <w:highlight w:val="none"/>
                    </w:rPr>
                    <w:t>公用工程</w:t>
                  </w:r>
                </w:p>
              </w:tc>
              <w:tc>
                <w:tcPr>
                  <w:tcW w:w="659" w:type="pct"/>
                  <w:tcBorders>
                    <w:tl2br w:val="nil"/>
                    <w:tr2bl w:val="nil"/>
                  </w:tcBorders>
                  <w:vAlign w:val="center"/>
                </w:tcPr>
                <w:p w14:paraId="3B0372ED">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供水</w:t>
                  </w:r>
                </w:p>
              </w:tc>
              <w:tc>
                <w:tcPr>
                  <w:tcW w:w="3500" w:type="pct"/>
                  <w:tcBorders>
                    <w:tl2br w:val="nil"/>
                    <w:tr2bl w:val="nil"/>
                  </w:tcBorders>
                  <w:vAlign w:val="center"/>
                </w:tcPr>
                <w:p w14:paraId="0E5CC578">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eastAsia="zh-CN"/>
                    </w:rPr>
                  </w:pPr>
                  <w:r>
                    <w:rPr>
                      <w:rFonts w:hint="eastAsia"/>
                      <w:color w:val="auto"/>
                      <w:highlight w:val="none"/>
                      <w:lang w:eastAsia="zh-CN"/>
                    </w:rPr>
                    <w:t>本项目运营期不用水</w:t>
                  </w:r>
                </w:p>
              </w:tc>
              <w:tc>
                <w:tcPr>
                  <w:tcW w:w="409" w:type="pct"/>
                  <w:tcBorders>
                    <w:tl2br w:val="nil"/>
                    <w:tr2bl w:val="nil"/>
                  </w:tcBorders>
                  <w:vAlign w:val="center"/>
                </w:tcPr>
                <w:p w14:paraId="18103821">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eastAsia="zh-CN"/>
                    </w:rPr>
                  </w:pPr>
                  <w:r>
                    <w:rPr>
                      <w:rFonts w:hint="eastAsia"/>
                      <w:color w:val="auto"/>
                      <w:highlight w:val="none"/>
                      <w:lang w:val="en-US" w:eastAsia="zh-CN"/>
                    </w:rPr>
                    <w:t>-</w:t>
                  </w:r>
                </w:p>
              </w:tc>
            </w:tr>
            <w:tr w14:paraId="643A5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0" w:type="pct"/>
                  <w:vMerge w:val="continue"/>
                  <w:tcBorders>
                    <w:tl2br w:val="nil"/>
                    <w:tr2bl w:val="nil"/>
                  </w:tcBorders>
                  <w:textDirection w:val="tbRlV"/>
                  <w:vAlign w:val="center"/>
                </w:tcPr>
                <w:p w14:paraId="382A4C99">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val="0"/>
                      <w:color w:val="auto"/>
                      <w:highlight w:val="none"/>
                    </w:rPr>
                  </w:pPr>
                </w:p>
              </w:tc>
              <w:tc>
                <w:tcPr>
                  <w:tcW w:w="659" w:type="pct"/>
                  <w:tcBorders>
                    <w:tl2br w:val="nil"/>
                    <w:tr2bl w:val="nil"/>
                  </w:tcBorders>
                  <w:vAlign w:val="center"/>
                </w:tcPr>
                <w:p w14:paraId="49C95675">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供电</w:t>
                  </w:r>
                </w:p>
              </w:tc>
              <w:tc>
                <w:tcPr>
                  <w:tcW w:w="3500" w:type="pct"/>
                  <w:tcBorders>
                    <w:tl2br w:val="nil"/>
                    <w:tr2bl w:val="nil"/>
                  </w:tcBorders>
                  <w:vAlign w:val="center"/>
                </w:tcPr>
                <w:p w14:paraId="4C06AE47">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eastAsia="zh-CN"/>
                    </w:rPr>
                  </w:pPr>
                  <w:r>
                    <w:rPr>
                      <w:rFonts w:hint="eastAsia"/>
                      <w:color w:val="auto"/>
                      <w:highlight w:val="none"/>
                    </w:rPr>
                    <w:t>厂内供电</w:t>
                  </w:r>
                  <w:r>
                    <w:rPr>
                      <w:rFonts w:hint="eastAsia"/>
                      <w:color w:val="auto"/>
                      <w:highlight w:val="none"/>
                      <w:lang w:eastAsia="zh-CN"/>
                    </w:rPr>
                    <w:t>、防爆灯</w:t>
                  </w:r>
                </w:p>
              </w:tc>
              <w:tc>
                <w:tcPr>
                  <w:tcW w:w="409" w:type="pct"/>
                  <w:tcBorders>
                    <w:tl2br w:val="nil"/>
                    <w:tr2bl w:val="nil"/>
                  </w:tcBorders>
                  <w:vAlign w:val="center"/>
                </w:tcPr>
                <w:p w14:paraId="3758C996">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eastAsia="zh-CN"/>
                    </w:rPr>
                  </w:pPr>
                  <w:r>
                    <w:rPr>
                      <w:rFonts w:hint="eastAsia"/>
                      <w:color w:val="auto"/>
                      <w:highlight w:val="none"/>
                      <w:lang w:eastAsia="zh-CN"/>
                    </w:rPr>
                    <w:t>新建</w:t>
                  </w:r>
                </w:p>
              </w:tc>
            </w:tr>
            <w:tr w14:paraId="6F5A20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0" w:type="pct"/>
                  <w:vMerge w:val="continue"/>
                  <w:tcBorders>
                    <w:tl2br w:val="nil"/>
                    <w:tr2bl w:val="nil"/>
                  </w:tcBorders>
                  <w:textDirection w:val="tbRlV"/>
                  <w:vAlign w:val="center"/>
                </w:tcPr>
                <w:p w14:paraId="2D8D6309">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val="0"/>
                      <w:color w:val="auto"/>
                      <w:highlight w:val="none"/>
                    </w:rPr>
                  </w:pPr>
                </w:p>
              </w:tc>
              <w:tc>
                <w:tcPr>
                  <w:tcW w:w="659" w:type="pct"/>
                  <w:tcBorders>
                    <w:tl2br w:val="nil"/>
                    <w:tr2bl w:val="nil"/>
                  </w:tcBorders>
                  <w:vAlign w:val="center"/>
                </w:tcPr>
                <w:p w14:paraId="241D192D">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供暖</w:t>
                  </w:r>
                </w:p>
              </w:tc>
              <w:tc>
                <w:tcPr>
                  <w:tcW w:w="3500" w:type="pct"/>
                  <w:tcBorders>
                    <w:tl2br w:val="nil"/>
                    <w:tr2bl w:val="nil"/>
                  </w:tcBorders>
                  <w:vAlign w:val="center"/>
                </w:tcPr>
                <w:p w14:paraId="0B5BA313">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不取暖</w:t>
                  </w:r>
                </w:p>
              </w:tc>
              <w:tc>
                <w:tcPr>
                  <w:tcW w:w="409" w:type="pct"/>
                  <w:tcBorders>
                    <w:tl2br w:val="nil"/>
                    <w:tr2bl w:val="nil"/>
                  </w:tcBorders>
                  <w:vAlign w:val="center"/>
                </w:tcPr>
                <w:p w14:paraId="558BCD91">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val="en-US" w:eastAsia="zh-CN"/>
                    </w:rPr>
                  </w:pPr>
                  <w:r>
                    <w:rPr>
                      <w:rFonts w:hint="eastAsia"/>
                      <w:color w:val="auto"/>
                      <w:highlight w:val="none"/>
                      <w:lang w:val="en-US" w:eastAsia="zh-CN"/>
                    </w:rPr>
                    <w:t>-</w:t>
                  </w:r>
                </w:p>
              </w:tc>
            </w:tr>
            <w:tr w14:paraId="3735BB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0" w:type="pct"/>
                  <w:vMerge w:val="continue"/>
                  <w:tcBorders>
                    <w:tl2br w:val="nil"/>
                    <w:tr2bl w:val="nil"/>
                  </w:tcBorders>
                  <w:textDirection w:val="tbRlV"/>
                  <w:vAlign w:val="center"/>
                </w:tcPr>
                <w:p w14:paraId="6F96D229">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val="0"/>
                      <w:color w:val="auto"/>
                      <w:highlight w:val="none"/>
                    </w:rPr>
                  </w:pPr>
                </w:p>
              </w:tc>
              <w:tc>
                <w:tcPr>
                  <w:tcW w:w="659" w:type="pct"/>
                  <w:tcBorders>
                    <w:tl2br w:val="nil"/>
                    <w:tr2bl w:val="nil"/>
                  </w:tcBorders>
                  <w:vAlign w:val="center"/>
                </w:tcPr>
                <w:p w14:paraId="08097026">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排水</w:t>
                  </w:r>
                </w:p>
              </w:tc>
              <w:tc>
                <w:tcPr>
                  <w:tcW w:w="3500" w:type="pct"/>
                  <w:tcBorders>
                    <w:tl2br w:val="nil"/>
                    <w:tr2bl w:val="nil"/>
                  </w:tcBorders>
                  <w:vAlign w:val="center"/>
                </w:tcPr>
                <w:p w14:paraId="6D202204">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本项目运营期无生产废水</w:t>
                  </w:r>
                  <w:r>
                    <w:rPr>
                      <w:rFonts w:hint="eastAsia"/>
                      <w:color w:val="auto"/>
                      <w:highlight w:val="none"/>
                      <w:lang w:eastAsia="zh-CN"/>
                    </w:rPr>
                    <w:t>。无</w:t>
                  </w:r>
                  <w:r>
                    <w:rPr>
                      <w:rFonts w:hint="eastAsia"/>
                      <w:color w:val="auto"/>
                      <w:highlight w:val="none"/>
                    </w:rPr>
                    <w:t>新增职工，无新增生活污水</w:t>
                  </w:r>
                </w:p>
              </w:tc>
              <w:tc>
                <w:tcPr>
                  <w:tcW w:w="409" w:type="pct"/>
                  <w:tcBorders>
                    <w:tl2br w:val="nil"/>
                    <w:tr2bl w:val="nil"/>
                  </w:tcBorders>
                  <w:vAlign w:val="center"/>
                </w:tcPr>
                <w:p w14:paraId="04C5E6D9">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val="en-US" w:eastAsia="zh-CN"/>
                    </w:rPr>
                  </w:pPr>
                  <w:r>
                    <w:rPr>
                      <w:rFonts w:hint="eastAsia"/>
                      <w:color w:val="auto"/>
                      <w:highlight w:val="none"/>
                      <w:lang w:val="en-US" w:eastAsia="zh-CN"/>
                    </w:rPr>
                    <w:t>-</w:t>
                  </w:r>
                </w:p>
              </w:tc>
            </w:tr>
            <w:tr w14:paraId="388BF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0" w:type="pct"/>
                  <w:vMerge w:val="restart"/>
                  <w:tcBorders>
                    <w:tl2br w:val="nil"/>
                    <w:tr2bl w:val="nil"/>
                  </w:tcBorders>
                  <w:vAlign w:val="center"/>
                </w:tcPr>
                <w:p w14:paraId="2373287B">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val="0"/>
                      <w:color w:val="auto"/>
                      <w:highlight w:val="none"/>
                    </w:rPr>
                  </w:pPr>
                  <w:r>
                    <w:rPr>
                      <w:rFonts w:hint="eastAsia"/>
                      <w:b/>
                      <w:bCs w:val="0"/>
                      <w:color w:val="auto"/>
                      <w:highlight w:val="none"/>
                    </w:rPr>
                    <w:t>环保工程</w:t>
                  </w:r>
                </w:p>
              </w:tc>
              <w:tc>
                <w:tcPr>
                  <w:tcW w:w="659" w:type="pct"/>
                  <w:tcBorders>
                    <w:tl2br w:val="nil"/>
                    <w:tr2bl w:val="nil"/>
                  </w:tcBorders>
                  <w:vAlign w:val="center"/>
                </w:tcPr>
                <w:p w14:paraId="13E4AB36">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废气</w:t>
                  </w:r>
                </w:p>
              </w:tc>
              <w:tc>
                <w:tcPr>
                  <w:tcW w:w="3500" w:type="pct"/>
                  <w:tcBorders>
                    <w:tl2br w:val="nil"/>
                    <w:tr2bl w:val="nil"/>
                  </w:tcBorders>
                  <w:vAlign w:val="center"/>
                </w:tcPr>
                <w:p w14:paraId="4688F6C1">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eastAsia="zh-CN"/>
                    </w:rPr>
                  </w:pPr>
                  <w:r>
                    <w:rPr>
                      <w:rFonts w:hint="eastAsia"/>
                      <w:color w:val="auto"/>
                      <w:highlight w:val="none"/>
                    </w:rPr>
                    <w:t>本项目</w:t>
                  </w:r>
                  <w:r>
                    <w:rPr>
                      <w:rFonts w:hint="eastAsia"/>
                      <w:color w:val="auto"/>
                      <w:highlight w:val="none"/>
                      <w:lang w:eastAsia="zh-CN"/>
                    </w:rPr>
                    <w:t>危险废物采用加盖密封</w:t>
                  </w:r>
                  <w:r>
                    <w:rPr>
                      <w:rFonts w:hint="eastAsia"/>
                      <w:color w:val="auto"/>
                      <w:highlight w:val="none"/>
                    </w:rPr>
                    <w:t>收集</w:t>
                  </w:r>
                  <w:r>
                    <w:rPr>
                      <w:rFonts w:hint="eastAsia"/>
                      <w:color w:val="auto"/>
                      <w:highlight w:val="none"/>
                      <w:lang w:eastAsia="zh-CN"/>
                    </w:rPr>
                    <w:t>等形式</w:t>
                  </w:r>
                  <w:r>
                    <w:rPr>
                      <w:rFonts w:hint="eastAsia"/>
                      <w:color w:val="auto"/>
                      <w:highlight w:val="none"/>
                    </w:rPr>
                    <w:t>贮存</w:t>
                  </w:r>
                  <w:r>
                    <w:rPr>
                      <w:rFonts w:hint="eastAsia"/>
                      <w:color w:val="auto"/>
                      <w:highlight w:val="none"/>
                      <w:lang w:eastAsia="zh-CN"/>
                    </w:rPr>
                    <w:t>在封闭车间内</w:t>
                  </w:r>
                </w:p>
              </w:tc>
              <w:tc>
                <w:tcPr>
                  <w:tcW w:w="409" w:type="pct"/>
                  <w:tcBorders>
                    <w:tl2br w:val="nil"/>
                    <w:tr2bl w:val="nil"/>
                  </w:tcBorders>
                  <w:vAlign w:val="center"/>
                </w:tcPr>
                <w:p w14:paraId="0F6F368A">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新建</w:t>
                  </w:r>
                </w:p>
              </w:tc>
            </w:tr>
            <w:tr w14:paraId="54C1F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0" w:type="pct"/>
                  <w:vMerge w:val="continue"/>
                  <w:tcBorders>
                    <w:tl2br w:val="nil"/>
                    <w:tr2bl w:val="nil"/>
                  </w:tcBorders>
                  <w:vAlign w:val="center"/>
                </w:tcPr>
                <w:p w14:paraId="6CE58056">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val="0"/>
                      <w:color w:val="auto"/>
                      <w:highlight w:val="none"/>
                    </w:rPr>
                  </w:pPr>
                </w:p>
              </w:tc>
              <w:tc>
                <w:tcPr>
                  <w:tcW w:w="659" w:type="pct"/>
                  <w:tcBorders>
                    <w:tl2br w:val="nil"/>
                    <w:tr2bl w:val="nil"/>
                  </w:tcBorders>
                  <w:vAlign w:val="center"/>
                </w:tcPr>
                <w:p w14:paraId="3B7941A7">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废水</w:t>
                  </w:r>
                </w:p>
              </w:tc>
              <w:tc>
                <w:tcPr>
                  <w:tcW w:w="3500" w:type="pct"/>
                  <w:tcBorders>
                    <w:tl2br w:val="nil"/>
                    <w:tr2bl w:val="nil"/>
                  </w:tcBorders>
                  <w:vAlign w:val="center"/>
                </w:tcPr>
                <w:p w14:paraId="35D8786A">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不新增废水</w:t>
                  </w:r>
                </w:p>
              </w:tc>
              <w:tc>
                <w:tcPr>
                  <w:tcW w:w="409" w:type="pct"/>
                  <w:tcBorders>
                    <w:tl2br w:val="nil"/>
                    <w:tr2bl w:val="nil"/>
                  </w:tcBorders>
                  <w:vAlign w:val="center"/>
                </w:tcPr>
                <w:p w14:paraId="4C903EB1">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eastAsia="zh-CN"/>
                    </w:rPr>
                  </w:pPr>
                  <w:r>
                    <w:rPr>
                      <w:rFonts w:hint="eastAsia"/>
                      <w:color w:val="auto"/>
                      <w:highlight w:val="none"/>
                      <w:lang w:val="en-US" w:eastAsia="zh-CN"/>
                    </w:rPr>
                    <w:t>-</w:t>
                  </w:r>
                </w:p>
              </w:tc>
            </w:tr>
            <w:tr w14:paraId="3643A8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0" w:type="pct"/>
                  <w:vMerge w:val="continue"/>
                  <w:tcBorders>
                    <w:tl2br w:val="nil"/>
                    <w:tr2bl w:val="nil"/>
                  </w:tcBorders>
                  <w:vAlign w:val="center"/>
                </w:tcPr>
                <w:p w14:paraId="2F55F15A">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val="0"/>
                      <w:color w:val="auto"/>
                      <w:highlight w:val="none"/>
                    </w:rPr>
                  </w:pPr>
                </w:p>
              </w:tc>
              <w:tc>
                <w:tcPr>
                  <w:tcW w:w="659" w:type="pct"/>
                  <w:tcBorders>
                    <w:tl2br w:val="nil"/>
                    <w:tr2bl w:val="nil"/>
                  </w:tcBorders>
                  <w:vAlign w:val="center"/>
                </w:tcPr>
                <w:p w14:paraId="0F18DEBE">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噪声</w:t>
                  </w:r>
                </w:p>
              </w:tc>
              <w:tc>
                <w:tcPr>
                  <w:tcW w:w="3500" w:type="pct"/>
                  <w:tcBorders>
                    <w:tl2br w:val="nil"/>
                    <w:tr2bl w:val="nil"/>
                  </w:tcBorders>
                  <w:vAlign w:val="center"/>
                </w:tcPr>
                <w:p w14:paraId="4825D8B8">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eastAsia="zh-CN"/>
                    </w:rPr>
                  </w:pPr>
                  <w:r>
                    <w:rPr>
                      <w:rFonts w:hint="eastAsia"/>
                      <w:color w:val="auto"/>
                      <w:highlight w:val="none"/>
                    </w:rPr>
                    <w:t>低噪声设备、基础减振</w:t>
                  </w:r>
                  <w:r>
                    <w:rPr>
                      <w:rFonts w:hint="eastAsia"/>
                      <w:color w:val="auto"/>
                      <w:highlight w:val="none"/>
                      <w:lang w:eastAsia="zh-CN"/>
                    </w:rPr>
                    <w:t>、软连接</w:t>
                  </w:r>
                </w:p>
              </w:tc>
              <w:tc>
                <w:tcPr>
                  <w:tcW w:w="409" w:type="pct"/>
                  <w:tcBorders>
                    <w:tl2br w:val="nil"/>
                    <w:tr2bl w:val="nil"/>
                  </w:tcBorders>
                  <w:vAlign w:val="center"/>
                </w:tcPr>
                <w:p w14:paraId="6EF7DF6F">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新建</w:t>
                  </w:r>
                </w:p>
              </w:tc>
            </w:tr>
            <w:tr w14:paraId="0B9034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0" w:type="pct"/>
                  <w:vMerge w:val="restart"/>
                  <w:tcBorders>
                    <w:tl2br w:val="nil"/>
                    <w:tr2bl w:val="nil"/>
                  </w:tcBorders>
                  <w:vAlign w:val="center"/>
                </w:tcPr>
                <w:p w14:paraId="3A57F1E8">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val="0"/>
                      <w:color w:val="auto"/>
                      <w:highlight w:val="none"/>
                    </w:rPr>
                  </w:pPr>
                  <w:r>
                    <w:rPr>
                      <w:rFonts w:hint="eastAsia"/>
                      <w:b/>
                      <w:bCs w:val="0"/>
                      <w:color w:val="auto"/>
                      <w:highlight w:val="none"/>
                    </w:rPr>
                    <w:t>环境风险</w:t>
                  </w:r>
                </w:p>
              </w:tc>
              <w:tc>
                <w:tcPr>
                  <w:tcW w:w="659" w:type="pct"/>
                  <w:tcBorders>
                    <w:tl2br w:val="nil"/>
                    <w:tr2bl w:val="nil"/>
                  </w:tcBorders>
                  <w:vAlign w:val="center"/>
                </w:tcPr>
                <w:p w14:paraId="5AE822BA">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集液池</w:t>
                  </w:r>
                </w:p>
              </w:tc>
              <w:tc>
                <w:tcPr>
                  <w:tcW w:w="3500" w:type="pct"/>
                  <w:tcBorders>
                    <w:tl2br w:val="nil"/>
                    <w:tr2bl w:val="nil"/>
                  </w:tcBorders>
                  <w:vAlign w:val="center"/>
                </w:tcPr>
                <w:p w14:paraId="1689246C">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Theme="minorEastAsia"/>
                      <w:color w:val="auto"/>
                      <w:highlight w:val="none"/>
                      <w:lang w:val="en-US" w:eastAsia="zh-CN"/>
                    </w:rPr>
                  </w:pPr>
                  <w:r>
                    <w:rPr>
                      <w:rFonts w:hint="eastAsia"/>
                      <w:color w:val="auto"/>
                      <w:highlight w:val="none"/>
                    </w:rPr>
                    <w:t>2.2*2.2*2m</w:t>
                  </w:r>
                  <w:r>
                    <w:rPr>
                      <w:rFonts w:hint="eastAsia"/>
                      <w:color w:val="auto"/>
                      <w:highlight w:val="none"/>
                      <w:lang w:eastAsia="zh-CN"/>
                    </w:rPr>
                    <w:t>，容积</w:t>
                  </w:r>
                  <w:r>
                    <w:rPr>
                      <w:rFonts w:hint="eastAsia"/>
                      <w:color w:val="auto"/>
                      <w:highlight w:val="none"/>
                      <w:lang w:val="en-US" w:eastAsia="zh-CN"/>
                    </w:rPr>
                    <w:t>9.68m</w:t>
                  </w:r>
                  <w:r>
                    <w:rPr>
                      <w:rFonts w:hint="eastAsia"/>
                      <w:color w:val="auto"/>
                      <w:highlight w:val="none"/>
                      <w:vertAlign w:val="superscript"/>
                      <w:lang w:val="en-US" w:eastAsia="zh-CN"/>
                    </w:rPr>
                    <w:t>3</w:t>
                  </w:r>
                  <w:r>
                    <w:rPr>
                      <w:rFonts w:hint="eastAsia"/>
                      <w:color w:val="auto"/>
                      <w:highlight w:val="none"/>
                      <w:vertAlign w:val="baseline"/>
                      <w:lang w:val="en-US" w:eastAsia="zh-CN"/>
                    </w:rPr>
                    <w:t>。底部混凝土浇筑、顶部混凝土浇筑，四壁防渗漏厚200mm，顶部留口1*1m，设置铁盖，上锁，留口处加装梯蹬</w:t>
                  </w:r>
                </w:p>
              </w:tc>
              <w:tc>
                <w:tcPr>
                  <w:tcW w:w="409" w:type="pct"/>
                  <w:tcBorders>
                    <w:tl2br w:val="nil"/>
                    <w:tr2bl w:val="nil"/>
                  </w:tcBorders>
                  <w:vAlign w:val="center"/>
                </w:tcPr>
                <w:p w14:paraId="2646F776">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新建</w:t>
                  </w:r>
                </w:p>
              </w:tc>
            </w:tr>
            <w:tr w14:paraId="149281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0" w:type="pct"/>
                  <w:vMerge w:val="continue"/>
                  <w:tcBorders>
                    <w:tl2br w:val="nil"/>
                    <w:tr2bl w:val="nil"/>
                  </w:tcBorders>
                  <w:vAlign w:val="center"/>
                </w:tcPr>
                <w:p w14:paraId="363AC2AE">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p>
              </w:tc>
              <w:tc>
                <w:tcPr>
                  <w:tcW w:w="659" w:type="pct"/>
                  <w:tcBorders>
                    <w:tl2br w:val="nil"/>
                    <w:tr2bl w:val="nil"/>
                  </w:tcBorders>
                  <w:vAlign w:val="center"/>
                </w:tcPr>
                <w:p w14:paraId="074B5F30">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防渗</w:t>
                  </w:r>
                </w:p>
              </w:tc>
              <w:tc>
                <w:tcPr>
                  <w:tcW w:w="3500" w:type="pct"/>
                  <w:tcBorders>
                    <w:tl2br w:val="nil"/>
                    <w:tr2bl w:val="nil"/>
                  </w:tcBorders>
                  <w:vAlign w:val="center"/>
                </w:tcPr>
                <w:p w14:paraId="718F5CF9">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lang w:eastAsia="zh-CN"/>
                    </w:rPr>
                    <w:t>危险废物贮存点地面及裙脚</w:t>
                  </w:r>
                  <w:r>
                    <w:rPr>
                      <w:rFonts w:hint="eastAsia"/>
                      <w:color w:val="auto"/>
                      <w:highlight w:val="none"/>
                    </w:rPr>
                    <w:t>均进行防腐防渗处理，</w:t>
                  </w:r>
                  <w:r>
                    <w:rPr>
                      <w:rFonts w:hint="eastAsia"/>
                      <w:color w:val="auto"/>
                      <w:highlight w:val="none"/>
                      <w:lang w:eastAsia="zh-CN"/>
                    </w:rPr>
                    <w:t>在基层处理的基础上，</w:t>
                  </w:r>
                  <w:r>
                    <w:rPr>
                      <w:rFonts w:hint="eastAsia"/>
                      <w:color w:val="auto"/>
                      <w:highlight w:val="none"/>
                    </w:rPr>
                    <w:t>采用</w:t>
                  </w:r>
                  <w:r>
                    <w:rPr>
                      <w:rFonts w:hint="eastAsia"/>
                      <w:color w:val="auto"/>
                      <w:highlight w:val="none"/>
                      <w:lang w:eastAsia="zh-CN"/>
                    </w:rPr>
                    <w:t>防渗树脂等</w:t>
                  </w:r>
                  <w:r>
                    <w:rPr>
                      <w:rFonts w:hint="eastAsia"/>
                      <w:color w:val="auto"/>
                      <w:highlight w:val="none"/>
                    </w:rPr>
                    <w:t>材料</w:t>
                  </w:r>
                </w:p>
              </w:tc>
              <w:tc>
                <w:tcPr>
                  <w:tcW w:w="409" w:type="pct"/>
                  <w:tcBorders>
                    <w:tl2br w:val="nil"/>
                    <w:tr2bl w:val="nil"/>
                  </w:tcBorders>
                  <w:vAlign w:val="center"/>
                </w:tcPr>
                <w:p w14:paraId="23EEA090">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新建</w:t>
                  </w:r>
                </w:p>
              </w:tc>
            </w:tr>
            <w:tr w14:paraId="0BD44A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0" w:type="pct"/>
                  <w:vMerge w:val="continue"/>
                  <w:tcBorders>
                    <w:tl2br w:val="nil"/>
                    <w:tr2bl w:val="nil"/>
                  </w:tcBorders>
                  <w:vAlign w:val="center"/>
                </w:tcPr>
                <w:p w14:paraId="53815591">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p>
              </w:tc>
              <w:tc>
                <w:tcPr>
                  <w:tcW w:w="659" w:type="pct"/>
                  <w:tcBorders>
                    <w:tl2br w:val="nil"/>
                    <w:tr2bl w:val="nil"/>
                  </w:tcBorders>
                  <w:vAlign w:val="center"/>
                </w:tcPr>
                <w:p w14:paraId="23BC76DE">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eastAsia="zh-CN"/>
                    </w:rPr>
                  </w:pPr>
                  <w:r>
                    <w:rPr>
                      <w:rFonts w:hint="eastAsia"/>
                      <w:color w:val="auto"/>
                      <w:highlight w:val="none"/>
                    </w:rPr>
                    <w:t>导流</w:t>
                  </w:r>
                  <w:r>
                    <w:rPr>
                      <w:rFonts w:hint="eastAsia"/>
                      <w:color w:val="auto"/>
                      <w:highlight w:val="none"/>
                      <w:lang w:eastAsia="zh-CN"/>
                    </w:rPr>
                    <w:t>沟</w:t>
                  </w:r>
                </w:p>
              </w:tc>
              <w:tc>
                <w:tcPr>
                  <w:tcW w:w="3500" w:type="pct"/>
                  <w:tcBorders>
                    <w:tl2br w:val="nil"/>
                    <w:tr2bl w:val="nil"/>
                  </w:tcBorders>
                  <w:vAlign w:val="center"/>
                </w:tcPr>
                <w:p w14:paraId="1028D84D">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Theme="minorEastAsia"/>
                      <w:color w:val="auto"/>
                      <w:highlight w:val="none"/>
                      <w:lang w:eastAsia="zh-CN"/>
                    </w:rPr>
                  </w:pPr>
                  <w:r>
                    <w:rPr>
                      <w:rFonts w:hint="eastAsia"/>
                      <w:color w:val="auto"/>
                      <w:highlight w:val="none"/>
                    </w:rPr>
                    <w:t>宽0.2m，分布于</w:t>
                  </w:r>
                  <w:r>
                    <w:rPr>
                      <w:rFonts w:hint="eastAsia"/>
                      <w:color w:val="auto"/>
                      <w:highlight w:val="none"/>
                      <w:lang w:eastAsia="zh-CN"/>
                    </w:rPr>
                    <w:t>危险废物贮存点</w:t>
                  </w:r>
                  <w:r>
                    <w:rPr>
                      <w:rFonts w:hint="eastAsia"/>
                      <w:color w:val="auto"/>
                      <w:highlight w:val="none"/>
                    </w:rPr>
                    <w:t>内四周</w:t>
                  </w:r>
                  <w:r>
                    <w:rPr>
                      <w:rFonts w:hint="eastAsia"/>
                      <w:color w:val="auto"/>
                      <w:highlight w:val="none"/>
                      <w:lang w:eastAsia="zh-CN"/>
                    </w:rPr>
                    <w:t>。砖砌明沟、内壁抹灰，硬质塑料盖板</w:t>
                  </w:r>
                </w:p>
              </w:tc>
              <w:tc>
                <w:tcPr>
                  <w:tcW w:w="409" w:type="pct"/>
                  <w:tcBorders>
                    <w:tl2br w:val="nil"/>
                    <w:tr2bl w:val="nil"/>
                  </w:tcBorders>
                  <w:vAlign w:val="center"/>
                </w:tcPr>
                <w:p w14:paraId="09FEB78D">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highlight w:val="none"/>
                    </w:rPr>
                  </w:pPr>
                  <w:r>
                    <w:rPr>
                      <w:rFonts w:hint="eastAsia"/>
                      <w:color w:val="auto"/>
                      <w:highlight w:val="none"/>
                    </w:rPr>
                    <w:t>新建</w:t>
                  </w:r>
                </w:p>
              </w:tc>
            </w:tr>
          </w:tbl>
          <w:p w14:paraId="6A47801A">
            <w:pPr>
              <w:bidi w:val="0"/>
              <w:rPr>
                <w:rFonts w:hint="default"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3主要设备</w:t>
            </w:r>
          </w:p>
          <w:p w14:paraId="540A6486">
            <w:pPr>
              <w:pStyle w:val="25"/>
              <w:bidi w:val="0"/>
              <w:rPr>
                <w:rFonts w:cs="Times New Roman"/>
                <w:color w:val="auto"/>
                <w:sz w:val="24"/>
                <w:szCs w:val="24"/>
                <w:highlight w:val="none"/>
              </w:rPr>
            </w:pPr>
            <w:r>
              <w:rPr>
                <w:rFonts w:hint="eastAsia" w:cs="Times New Roman"/>
                <w:color w:val="auto"/>
                <w:sz w:val="24"/>
                <w:szCs w:val="24"/>
                <w:highlight w:val="none"/>
              </w:rPr>
              <w:t>主要设备一览表</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1"/>
              <w:gridCol w:w="1924"/>
              <w:gridCol w:w="3649"/>
              <w:gridCol w:w="1295"/>
              <w:gridCol w:w="877"/>
            </w:tblGrid>
            <w:tr w14:paraId="347493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2DBF44EB">
                  <w:pPr>
                    <w:pStyle w:val="27"/>
                    <w:spacing w:line="240" w:lineRule="auto"/>
                    <w:rPr>
                      <w:rFonts w:hint="default"/>
                      <w:color w:val="auto"/>
                      <w:highlight w:val="none"/>
                    </w:rPr>
                  </w:pPr>
                  <w:r>
                    <w:rPr>
                      <w:rFonts w:eastAsia="宋体"/>
                      <w:b/>
                      <w:color w:val="auto"/>
                      <w:sz w:val="21"/>
                      <w:highlight w:val="none"/>
                    </w:rPr>
                    <w:t>序号</w:t>
                  </w:r>
                </w:p>
              </w:tc>
              <w:tc>
                <w:tcPr>
                  <w:tcW w:w="1900" w:type="dxa"/>
                  <w:tcBorders>
                    <w:tl2br w:val="nil"/>
                    <w:tr2bl w:val="nil"/>
                  </w:tcBorders>
                  <w:vAlign w:val="center"/>
                </w:tcPr>
                <w:p w14:paraId="1DC3B5DA">
                  <w:pPr>
                    <w:pStyle w:val="27"/>
                    <w:spacing w:line="240" w:lineRule="auto"/>
                    <w:rPr>
                      <w:rFonts w:hint="default"/>
                      <w:color w:val="auto"/>
                      <w:highlight w:val="none"/>
                    </w:rPr>
                  </w:pPr>
                  <w:r>
                    <w:rPr>
                      <w:rFonts w:eastAsia="宋体"/>
                      <w:b/>
                      <w:color w:val="auto"/>
                      <w:sz w:val="21"/>
                      <w:highlight w:val="none"/>
                    </w:rPr>
                    <w:t>设备名称</w:t>
                  </w:r>
                </w:p>
              </w:tc>
              <w:tc>
                <w:tcPr>
                  <w:tcW w:w="3604" w:type="dxa"/>
                  <w:tcBorders>
                    <w:tl2br w:val="nil"/>
                    <w:tr2bl w:val="nil"/>
                  </w:tcBorders>
                  <w:vAlign w:val="center"/>
                </w:tcPr>
                <w:p w14:paraId="782434CC">
                  <w:pPr>
                    <w:pStyle w:val="27"/>
                    <w:spacing w:line="240" w:lineRule="auto"/>
                    <w:rPr>
                      <w:rFonts w:hint="default"/>
                      <w:color w:val="auto"/>
                      <w:highlight w:val="none"/>
                    </w:rPr>
                  </w:pPr>
                  <w:r>
                    <w:rPr>
                      <w:rFonts w:eastAsia="宋体"/>
                      <w:b/>
                      <w:color w:val="auto"/>
                      <w:sz w:val="21"/>
                      <w:highlight w:val="none"/>
                    </w:rPr>
                    <w:t>型号</w:t>
                  </w:r>
                </w:p>
              </w:tc>
              <w:tc>
                <w:tcPr>
                  <w:tcW w:w="1279" w:type="dxa"/>
                  <w:tcBorders>
                    <w:tl2br w:val="nil"/>
                    <w:tr2bl w:val="nil"/>
                  </w:tcBorders>
                  <w:vAlign w:val="center"/>
                </w:tcPr>
                <w:p w14:paraId="200A76B0">
                  <w:pPr>
                    <w:pStyle w:val="27"/>
                    <w:spacing w:line="240" w:lineRule="auto"/>
                    <w:rPr>
                      <w:rFonts w:hint="default"/>
                      <w:color w:val="auto"/>
                      <w:highlight w:val="none"/>
                    </w:rPr>
                  </w:pPr>
                  <w:r>
                    <w:rPr>
                      <w:rFonts w:eastAsia="宋体"/>
                      <w:b/>
                      <w:color w:val="auto"/>
                      <w:sz w:val="21"/>
                      <w:highlight w:val="none"/>
                    </w:rPr>
                    <w:t>本项目数量（台/套）</w:t>
                  </w:r>
                </w:p>
              </w:tc>
              <w:tc>
                <w:tcPr>
                  <w:tcW w:w="865" w:type="dxa"/>
                  <w:tcBorders>
                    <w:tl2br w:val="nil"/>
                    <w:tr2bl w:val="nil"/>
                  </w:tcBorders>
                  <w:vAlign w:val="center"/>
                </w:tcPr>
                <w:p w14:paraId="4C780C16">
                  <w:pPr>
                    <w:pStyle w:val="27"/>
                    <w:spacing w:line="240" w:lineRule="auto"/>
                    <w:rPr>
                      <w:rFonts w:hint="default"/>
                      <w:color w:val="auto"/>
                      <w:highlight w:val="none"/>
                    </w:rPr>
                  </w:pPr>
                  <w:r>
                    <w:rPr>
                      <w:rFonts w:eastAsia="宋体"/>
                      <w:b/>
                      <w:color w:val="auto"/>
                      <w:sz w:val="21"/>
                      <w:highlight w:val="none"/>
                    </w:rPr>
                    <w:t>备注</w:t>
                  </w:r>
                </w:p>
              </w:tc>
            </w:tr>
            <w:tr w14:paraId="37E8FE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3B444683">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1</w:t>
                  </w:r>
                </w:p>
              </w:tc>
              <w:tc>
                <w:tcPr>
                  <w:tcW w:w="1900" w:type="dxa"/>
                  <w:tcBorders>
                    <w:tl2br w:val="nil"/>
                    <w:tr2bl w:val="nil"/>
                  </w:tcBorders>
                  <w:vAlign w:val="center"/>
                </w:tcPr>
                <w:p w14:paraId="4551D340">
                  <w:pPr>
                    <w:pStyle w:val="24"/>
                    <w:spacing w:line="240" w:lineRule="auto"/>
                    <w:ind w:firstLine="0" w:firstLineChars="0"/>
                    <w:rPr>
                      <w:rFonts w:hint="eastAsia" w:eastAsiaTheme="minorEastAsia"/>
                      <w:color w:val="auto"/>
                      <w:highlight w:val="none"/>
                      <w:lang w:eastAsia="zh-CN"/>
                    </w:rPr>
                  </w:pPr>
                  <w:r>
                    <w:rPr>
                      <w:rFonts w:hint="eastAsia"/>
                      <w:color w:val="auto"/>
                      <w:highlight w:val="none"/>
                      <w:lang w:eastAsia="zh-CN"/>
                    </w:rPr>
                    <w:t>防爆灯</w:t>
                  </w:r>
                </w:p>
              </w:tc>
              <w:tc>
                <w:tcPr>
                  <w:tcW w:w="3604" w:type="dxa"/>
                  <w:tcBorders>
                    <w:tl2br w:val="nil"/>
                    <w:tr2bl w:val="nil"/>
                  </w:tcBorders>
                  <w:vAlign w:val="center"/>
                </w:tcPr>
                <w:p w14:paraId="6F2218E9">
                  <w:pPr>
                    <w:pStyle w:val="24"/>
                    <w:spacing w:line="240" w:lineRule="auto"/>
                    <w:ind w:firstLine="0" w:firstLineChars="0"/>
                    <w:rPr>
                      <w:color w:val="auto"/>
                      <w:highlight w:val="none"/>
                    </w:rPr>
                  </w:pPr>
                </w:p>
              </w:tc>
              <w:tc>
                <w:tcPr>
                  <w:tcW w:w="1279" w:type="dxa"/>
                  <w:tcBorders>
                    <w:tl2br w:val="nil"/>
                    <w:tr2bl w:val="nil"/>
                  </w:tcBorders>
                  <w:vAlign w:val="center"/>
                </w:tcPr>
                <w:p w14:paraId="0A229A9C">
                  <w:pPr>
                    <w:pStyle w:val="24"/>
                    <w:spacing w:line="240" w:lineRule="auto"/>
                    <w:ind w:firstLine="0" w:firstLineChars="0"/>
                    <w:rPr>
                      <w:rFonts w:hint="default" w:eastAsiaTheme="minorEastAsia"/>
                      <w:color w:val="auto"/>
                      <w:highlight w:val="none"/>
                      <w:lang w:val="en-US" w:eastAsia="zh-CN"/>
                    </w:rPr>
                  </w:pPr>
                  <w:r>
                    <w:rPr>
                      <w:rFonts w:hint="eastAsia"/>
                      <w:color w:val="auto"/>
                      <w:highlight w:val="none"/>
                      <w:lang w:val="en-US" w:eastAsia="zh-CN"/>
                    </w:rPr>
                    <w:t>4</w:t>
                  </w:r>
                </w:p>
              </w:tc>
              <w:tc>
                <w:tcPr>
                  <w:tcW w:w="865" w:type="dxa"/>
                  <w:tcBorders>
                    <w:tl2br w:val="nil"/>
                    <w:tr2bl w:val="nil"/>
                  </w:tcBorders>
                  <w:vAlign w:val="center"/>
                </w:tcPr>
                <w:p w14:paraId="6C91FECD">
                  <w:pPr>
                    <w:pStyle w:val="24"/>
                    <w:spacing w:line="240" w:lineRule="auto"/>
                    <w:ind w:firstLine="0" w:firstLineChars="0"/>
                    <w:rPr>
                      <w:rFonts w:hint="eastAsia" w:eastAsiaTheme="minorEastAsia"/>
                      <w:color w:val="auto"/>
                      <w:highlight w:val="none"/>
                      <w:lang w:eastAsia="zh-CN"/>
                    </w:rPr>
                  </w:pPr>
                </w:p>
              </w:tc>
            </w:tr>
            <w:tr w14:paraId="12F56F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01D15CE1">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2</w:t>
                  </w:r>
                </w:p>
              </w:tc>
              <w:tc>
                <w:tcPr>
                  <w:tcW w:w="1900" w:type="dxa"/>
                  <w:tcBorders>
                    <w:tl2br w:val="nil"/>
                    <w:tr2bl w:val="nil"/>
                  </w:tcBorders>
                  <w:vAlign w:val="center"/>
                </w:tcPr>
                <w:p w14:paraId="3E33E238">
                  <w:pPr>
                    <w:pStyle w:val="24"/>
                    <w:spacing w:line="240" w:lineRule="auto"/>
                    <w:ind w:firstLine="0" w:firstLineChars="0"/>
                    <w:rPr>
                      <w:rFonts w:hint="eastAsia" w:eastAsiaTheme="minorEastAsia"/>
                      <w:color w:val="auto"/>
                      <w:highlight w:val="none"/>
                      <w:lang w:eastAsia="zh-CN"/>
                    </w:rPr>
                  </w:pPr>
                  <w:r>
                    <w:rPr>
                      <w:rFonts w:hint="eastAsia"/>
                      <w:color w:val="auto"/>
                      <w:highlight w:val="none"/>
                      <w:lang w:eastAsia="zh-CN"/>
                    </w:rPr>
                    <w:t>安全指示灯</w:t>
                  </w:r>
                </w:p>
              </w:tc>
              <w:tc>
                <w:tcPr>
                  <w:tcW w:w="3604" w:type="dxa"/>
                  <w:tcBorders>
                    <w:tl2br w:val="nil"/>
                    <w:tr2bl w:val="nil"/>
                  </w:tcBorders>
                  <w:vAlign w:val="center"/>
                </w:tcPr>
                <w:p w14:paraId="785F1764">
                  <w:pPr>
                    <w:pStyle w:val="24"/>
                    <w:spacing w:line="240" w:lineRule="auto"/>
                    <w:ind w:firstLine="0" w:firstLineChars="0"/>
                    <w:rPr>
                      <w:rFonts w:hint="default" w:eastAsiaTheme="minorEastAsia"/>
                      <w:color w:val="auto"/>
                      <w:highlight w:val="none"/>
                      <w:lang w:val="en-US" w:eastAsia="zh-CN"/>
                    </w:rPr>
                  </w:pPr>
                </w:p>
              </w:tc>
              <w:tc>
                <w:tcPr>
                  <w:tcW w:w="1279" w:type="dxa"/>
                  <w:tcBorders>
                    <w:tl2br w:val="nil"/>
                    <w:tr2bl w:val="nil"/>
                  </w:tcBorders>
                  <w:vAlign w:val="center"/>
                </w:tcPr>
                <w:p w14:paraId="3B4B7708">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4</w:t>
                  </w:r>
                </w:p>
              </w:tc>
              <w:tc>
                <w:tcPr>
                  <w:tcW w:w="865" w:type="dxa"/>
                  <w:tcBorders>
                    <w:tl2br w:val="nil"/>
                    <w:tr2bl w:val="nil"/>
                  </w:tcBorders>
                  <w:vAlign w:val="center"/>
                </w:tcPr>
                <w:p w14:paraId="247CBA27">
                  <w:pPr>
                    <w:pStyle w:val="24"/>
                    <w:spacing w:line="240" w:lineRule="auto"/>
                    <w:ind w:firstLine="0" w:firstLineChars="0"/>
                    <w:jc w:val="center"/>
                    <w:rPr>
                      <w:rFonts w:hint="default" w:eastAsiaTheme="minorEastAsia"/>
                      <w:color w:val="auto"/>
                      <w:highlight w:val="none"/>
                      <w:lang w:val="en-US" w:eastAsia="zh-CN"/>
                    </w:rPr>
                  </w:pPr>
                </w:p>
              </w:tc>
            </w:tr>
            <w:tr w14:paraId="03A387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0089018B">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3</w:t>
                  </w:r>
                </w:p>
              </w:tc>
              <w:tc>
                <w:tcPr>
                  <w:tcW w:w="1900" w:type="dxa"/>
                  <w:tcBorders>
                    <w:tl2br w:val="nil"/>
                    <w:tr2bl w:val="nil"/>
                  </w:tcBorders>
                  <w:vAlign w:val="center"/>
                </w:tcPr>
                <w:p w14:paraId="7A443CF6">
                  <w:pPr>
                    <w:pStyle w:val="24"/>
                    <w:spacing w:line="240" w:lineRule="auto"/>
                    <w:ind w:firstLine="0" w:firstLineChars="0"/>
                    <w:rPr>
                      <w:rFonts w:hint="eastAsia"/>
                      <w:color w:val="auto"/>
                      <w:highlight w:val="none"/>
                      <w:lang w:eastAsia="zh-CN"/>
                    </w:rPr>
                  </w:pPr>
                  <w:r>
                    <w:rPr>
                      <w:rFonts w:hint="eastAsia"/>
                      <w:color w:val="auto"/>
                      <w:highlight w:val="none"/>
                      <w:lang w:val="en-US" w:eastAsia="zh-CN"/>
                    </w:rPr>
                    <w:t>电缆</w:t>
                  </w:r>
                </w:p>
              </w:tc>
              <w:tc>
                <w:tcPr>
                  <w:tcW w:w="3604" w:type="dxa"/>
                  <w:tcBorders>
                    <w:tl2br w:val="nil"/>
                    <w:tr2bl w:val="nil"/>
                  </w:tcBorders>
                  <w:vAlign w:val="center"/>
                </w:tcPr>
                <w:p w14:paraId="4833708B">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YJV-2*2.5</w:t>
                  </w:r>
                </w:p>
              </w:tc>
              <w:tc>
                <w:tcPr>
                  <w:tcW w:w="1279" w:type="dxa"/>
                  <w:tcBorders>
                    <w:tl2br w:val="nil"/>
                    <w:tr2bl w:val="nil"/>
                  </w:tcBorders>
                  <w:vAlign w:val="center"/>
                </w:tcPr>
                <w:p w14:paraId="0EB4AAE0">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6</w:t>
                  </w:r>
                </w:p>
              </w:tc>
              <w:tc>
                <w:tcPr>
                  <w:tcW w:w="865" w:type="dxa"/>
                  <w:tcBorders>
                    <w:tl2br w:val="nil"/>
                    <w:tr2bl w:val="nil"/>
                  </w:tcBorders>
                  <w:vAlign w:val="center"/>
                </w:tcPr>
                <w:p w14:paraId="0164EE17">
                  <w:pPr>
                    <w:pStyle w:val="24"/>
                    <w:spacing w:line="240" w:lineRule="auto"/>
                    <w:ind w:firstLine="0" w:firstLineChars="0"/>
                    <w:rPr>
                      <w:rFonts w:hint="eastAsia"/>
                      <w:color w:val="auto"/>
                      <w:highlight w:val="none"/>
                      <w:lang w:val="en-US" w:eastAsia="zh-CN"/>
                    </w:rPr>
                  </w:pPr>
                </w:p>
              </w:tc>
            </w:tr>
            <w:tr w14:paraId="619E40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59624F48">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4</w:t>
                  </w:r>
                </w:p>
              </w:tc>
              <w:tc>
                <w:tcPr>
                  <w:tcW w:w="1900" w:type="dxa"/>
                  <w:tcBorders>
                    <w:tl2br w:val="nil"/>
                    <w:tr2bl w:val="nil"/>
                  </w:tcBorders>
                  <w:vAlign w:val="center"/>
                </w:tcPr>
                <w:p w14:paraId="0FB87582">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电源箱</w:t>
                  </w:r>
                </w:p>
              </w:tc>
              <w:tc>
                <w:tcPr>
                  <w:tcW w:w="3604" w:type="dxa"/>
                  <w:tcBorders>
                    <w:tl2br w:val="nil"/>
                    <w:tr2bl w:val="nil"/>
                  </w:tcBorders>
                  <w:vAlign w:val="center"/>
                </w:tcPr>
                <w:p w14:paraId="3A6371C4">
                  <w:pPr>
                    <w:pStyle w:val="24"/>
                    <w:spacing w:line="240" w:lineRule="auto"/>
                    <w:ind w:firstLine="0" w:firstLineChars="0"/>
                    <w:rPr>
                      <w:rFonts w:hint="eastAsia"/>
                      <w:color w:val="auto"/>
                      <w:highlight w:val="none"/>
                      <w:lang w:val="en-US" w:eastAsia="zh-CN"/>
                    </w:rPr>
                  </w:pPr>
                </w:p>
              </w:tc>
              <w:tc>
                <w:tcPr>
                  <w:tcW w:w="1279" w:type="dxa"/>
                  <w:tcBorders>
                    <w:tl2br w:val="nil"/>
                    <w:tr2bl w:val="nil"/>
                  </w:tcBorders>
                  <w:vAlign w:val="center"/>
                </w:tcPr>
                <w:p w14:paraId="6FBF6796">
                  <w:pPr>
                    <w:pStyle w:val="24"/>
                    <w:spacing w:line="240" w:lineRule="auto"/>
                    <w:ind w:firstLine="0" w:firstLineChars="0"/>
                    <w:rPr>
                      <w:rFonts w:hint="default" w:eastAsiaTheme="minorEastAsia"/>
                      <w:color w:val="auto"/>
                      <w:highlight w:val="none"/>
                      <w:lang w:val="en-US" w:eastAsia="zh-CN"/>
                    </w:rPr>
                  </w:pPr>
                  <w:r>
                    <w:rPr>
                      <w:rFonts w:hint="eastAsia"/>
                      <w:color w:val="auto"/>
                      <w:highlight w:val="none"/>
                      <w:lang w:val="en-US" w:eastAsia="zh-CN"/>
                    </w:rPr>
                    <w:t>2</w:t>
                  </w:r>
                </w:p>
              </w:tc>
              <w:tc>
                <w:tcPr>
                  <w:tcW w:w="865" w:type="dxa"/>
                  <w:tcBorders>
                    <w:tl2br w:val="nil"/>
                    <w:tr2bl w:val="nil"/>
                  </w:tcBorders>
                  <w:vAlign w:val="center"/>
                </w:tcPr>
                <w:p w14:paraId="0FA42602">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内含空气开关</w:t>
                  </w:r>
                </w:p>
              </w:tc>
            </w:tr>
            <w:tr w14:paraId="4E2E57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7B0FD628">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5</w:t>
                  </w:r>
                </w:p>
              </w:tc>
              <w:tc>
                <w:tcPr>
                  <w:tcW w:w="1900" w:type="dxa"/>
                  <w:tcBorders>
                    <w:tl2br w:val="nil"/>
                    <w:tr2bl w:val="nil"/>
                  </w:tcBorders>
                  <w:vAlign w:val="center"/>
                </w:tcPr>
                <w:p w14:paraId="7106EC55">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节能强光防爆电筒</w:t>
                  </w:r>
                </w:p>
              </w:tc>
              <w:tc>
                <w:tcPr>
                  <w:tcW w:w="3604" w:type="dxa"/>
                  <w:tcBorders>
                    <w:tl2br w:val="nil"/>
                    <w:tr2bl w:val="nil"/>
                  </w:tcBorders>
                  <w:vAlign w:val="center"/>
                </w:tcPr>
                <w:p w14:paraId="328038F6">
                  <w:pPr>
                    <w:pStyle w:val="24"/>
                    <w:spacing w:line="240" w:lineRule="auto"/>
                    <w:ind w:firstLine="0" w:firstLineChars="0"/>
                    <w:rPr>
                      <w:rFonts w:hint="eastAsia"/>
                      <w:color w:val="auto"/>
                      <w:highlight w:val="none"/>
                      <w:lang w:val="en-US" w:eastAsia="zh-CN"/>
                    </w:rPr>
                  </w:pPr>
                </w:p>
              </w:tc>
              <w:tc>
                <w:tcPr>
                  <w:tcW w:w="1279" w:type="dxa"/>
                  <w:tcBorders>
                    <w:tl2br w:val="nil"/>
                    <w:tr2bl w:val="nil"/>
                  </w:tcBorders>
                  <w:vAlign w:val="center"/>
                </w:tcPr>
                <w:p w14:paraId="43A9F806">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w:t>
                  </w:r>
                </w:p>
              </w:tc>
              <w:tc>
                <w:tcPr>
                  <w:tcW w:w="865" w:type="dxa"/>
                  <w:tcBorders>
                    <w:tl2br w:val="nil"/>
                    <w:tr2bl w:val="nil"/>
                  </w:tcBorders>
                  <w:vAlign w:val="center"/>
                </w:tcPr>
                <w:p w14:paraId="389480B4">
                  <w:pPr>
                    <w:pStyle w:val="24"/>
                    <w:spacing w:line="240" w:lineRule="auto"/>
                    <w:ind w:firstLine="0" w:firstLineChars="0"/>
                    <w:rPr>
                      <w:rFonts w:hint="eastAsia"/>
                      <w:color w:val="auto"/>
                      <w:highlight w:val="none"/>
                      <w:lang w:val="en-US" w:eastAsia="zh-CN"/>
                    </w:rPr>
                  </w:pPr>
                </w:p>
              </w:tc>
            </w:tr>
            <w:tr w14:paraId="266BAC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136315C5">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6</w:t>
                  </w:r>
                </w:p>
              </w:tc>
              <w:tc>
                <w:tcPr>
                  <w:tcW w:w="1900" w:type="dxa"/>
                  <w:tcBorders>
                    <w:tl2br w:val="nil"/>
                    <w:tr2bl w:val="nil"/>
                  </w:tcBorders>
                  <w:vAlign w:val="center"/>
                </w:tcPr>
                <w:p w14:paraId="178111CE">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油桶防漏托盘</w:t>
                  </w:r>
                </w:p>
              </w:tc>
              <w:tc>
                <w:tcPr>
                  <w:tcW w:w="3604" w:type="dxa"/>
                  <w:tcBorders>
                    <w:tl2br w:val="nil"/>
                    <w:tr2bl w:val="nil"/>
                  </w:tcBorders>
                  <w:vAlign w:val="center"/>
                </w:tcPr>
                <w:p w14:paraId="5B7AE554">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130*68*15cm</w:t>
                  </w:r>
                </w:p>
              </w:tc>
              <w:tc>
                <w:tcPr>
                  <w:tcW w:w="1279" w:type="dxa"/>
                  <w:tcBorders>
                    <w:tl2br w:val="nil"/>
                    <w:tr2bl w:val="nil"/>
                  </w:tcBorders>
                  <w:vAlign w:val="center"/>
                </w:tcPr>
                <w:p w14:paraId="4671A0FE">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30</w:t>
                  </w:r>
                </w:p>
              </w:tc>
              <w:tc>
                <w:tcPr>
                  <w:tcW w:w="865" w:type="dxa"/>
                  <w:tcBorders>
                    <w:tl2br w:val="nil"/>
                    <w:tr2bl w:val="nil"/>
                  </w:tcBorders>
                  <w:vAlign w:val="center"/>
                </w:tcPr>
                <w:p w14:paraId="407F46E9">
                  <w:pPr>
                    <w:pStyle w:val="24"/>
                    <w:spacing w:line="240" w:lineRule="auto"/>
                    <w:ind w:firstLine="0" w:firstLineChars="0"/>
                    <w:rPr>
                      <w:rFonts w:hint="eastAsia"/>
                      <w:color w:val="auto"/>
                      <w:highlight w:val="none"/>
                      <w:lang w:val="en-US" w:eastAsia="zh-CN"/>
                    </w:rPr>
                  </w:pPr>
                </w:p>
              </w:tc>
            </w:tr>
            <w:tr w14:paraId="35611E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4C2C2C95">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7</w:t>
                  </w:r>
                </w:p>
              </w:tc>
              <w:tc>
                <w:tcPr>
                  <w:tcW w:w="1900" w:type="dxa"/>
                  <w:tcBorders>
                    <w:tl2br w:val="nil"/>
                    <w:tr2bl w:val="nil"/>
                  </w:tcBorders>
                  <w:vAlign w:val="center"/>
                </w:tcPr>
                <w:p w14:paraId="6573B9F9">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油桶搬运倾倒车</w:t>
                  </w:r>
                </w:p>
              </w:tc>
              <w:tc>
                <w:tcPr>
                  <w:tcW w:w="3604" w:type="dxa"/>
                  <w:tcBorders>
                    <w:tl2br w:val="nil"/>
                    <w:tr2bl w:val="nil"/>
                  </w:tcBorders>
                  <w:vAlign w:val="center"/>
                </w:tcPr>
                <w:p w14:paraId="78A0344E">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尺寸1135*980*2000mm，自重178kg，载重300kg起升高度1300mm</w:t>
                  </w:r>
                </w:p>
              </w:tc>
              <w:tc>
                <w:tcPr>
                  <w:tcW w:w="1279" w:type="dxa"/>
                  <w:tcBorders>
                    <w:tl2br w:val="nil"/>
                    <w:tr2bl w:val="nil"/>
                  </w:tcBorders>
                  <w:vAlign w:val="center"/>
                </w:tcPr>
                <w:p w14:paraId="7DC0FB29">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w:t>
                  </w:r>
                </w:p>
              </w:tc>
              <w:tc>
                <w:tcPr>
                  <w:tcW w:w="865" w:type="dxa"/>
                  <w:tcBorders>
                    <w:tl2br w:val="nil"/>
                    <w:tr2bl w:val="nil"/>
                  </w:tcBorders>
                  <w:vAlign w:val="center"/>
                </w:tcPr>
                <w:p w14:paraId="636EBF8D">
                  <w:pPr>
                    <w:pStyle w:val="24"/>
                    <w:spacing w:line="240" w:lineRule="auto"/>
                    <w:ind w:firstLine="0" w:firstLineChars="0"/>
                    <w:rPr>
                      <w:rFonts w:hint="eastAsia"/>
                      <w:color w:val="auto"/>
                      <w:highlight w:val="none"/>
                      <w:lang w:val="en-US" w:eastAsia="zh-CN"/>
                    </w:rPr>
                  </w:pPr>
                </w:p>
              </w:tc>
            </w:tr>
            <w:tr w14:paraId="21DF11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04EBDD30">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8</w:t>
                  </w:r>
                </w:p>
              </w:tc>
              <w:tc>
                <w:tcPr>
                  <w:tcW w:w="1900" w:type="dxa"/>
                  <w:tcBorders>
                    <w:tl2br w:val="nil"/>
                    <w:tr2bl w:val="nil"/>
                  </w:tcBorders>
                  <w:vAlign w:val="center"/>
                </w:tcPr>
                <w:p w14:paraId="5E88356D">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耐酸耐腐蚀箱</w:t>
                  </w:r>
                </w:p>
              </w:tc>
              <w:tc>
                <w:tcPr>
                  <w:tcW w:w="3604" w:type="dxa"/>
                  <w:tcBorders>
                    <w:tl2br w:val="nil"/>
                    <w:tr2bl w:val="nil"/>
                  </w:tcBorders>
                  <w:vAlign w:val="center"/>
                </w:tcPr>
                <w:p w14:paraId="2F88AB64">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盛放废旧电池等，尺寸，尺寸长*宽*高0.44*0.31*0.27m</w:t>
                  </w:r>
                </w:p>
              </w:tc>
              <w:tc>
                <w:tcPr>
                  <w:tcW w:w="1279" w:type="dxa"/>
                  <w:tcBorders>
                    <w:tl2br w:val="nil"/>
                    <w:tr2bl w:val="nil"/>
                  </w:tcBorders>
                  <w:vAlign w:val="center"/>
                </w:tcPr>
                <w:p w14:paraId="3ABCBA65">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30</w:t>
                  </w:r>
                </w:p>
              </w:tc>
              <w:tc>
                <w:tcPr>
                  <w:tcW w:w="865" w:type="dxa"/>
                  <w:tcBorders>
                    <w:tl2br w:val="nil"/>
                    <w:tr2bl w:val="nil"/>
                  </w:tcBorders>
                  <w:vAlign w:val="center"/>
                </w:tcPr>
                <w:p w14:paraId="64D13B8E">
                  <w:pPr>
                    <w:pStyle w:val="24"/>
                    <w:spacing w:line="240" w:lineRule="auto"/>
                    <w:ind w:firstLine="0" w:firstLineChars="0"/>
                    <w:rPr>
                      <w:rFonts w:hint="eastAsia"/>
                      <w:color w:val="auto"/>
                      <w:highlight w:val="none"/>
                      <w:lang w:val="en-US" w:eastAsia="zh-CN"/>
                    </w:rPr>
                  </w:pPr>
                </w:p>
              </w:tc>
            </w:tr>
            <w:tr w14:paraId="2C12F6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0844DC9B">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9</w:t>
                  </w:r>
                </w:p>
              </w:tc>
              <w:tc>
                <w:tcPr>
                  <w:tcW w:w="1900" w:type="dxa"/>
                  <w:tcBorders>
                    <w:tl2br w:val="nil"/>
                    <w:tr2bl w:val="nil"/>
                  </w:tcBorders>
                  <w:vAlign w:val="center"/>
                </w:tcPr>
                <w:p w14:paraId="6B028CFF">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酸碱油类防护服</w:t>
                  </w:r>
                </w:p>
              </w:tc>
              <w:tc>
                <w:tcPr>
                  <w:tcW w:w="3604" w:type="dxa"/>
                  <w:tcBorders>
                    <w:tl2br w:val="nil"/>
                    <w:tr2bl w:val="nil"/>
                  </w:tcBorders>
                  <w:vAlign w:val="center"/>
                </w:tcPr>
                <w:p w14:paraId="10AFA51D">
                  <w:pPr>
                    <w:pStyle w:val="24"/>
                    <w:spacing w:line="240" w:lineRule="auto"/>
                    <w:ind w:firstLine="0" w:firstLineChars="0"/>
                    <w:rPr>
                      <w:rFonts w:hint="eastAsia"/>
                      <w:color w:val="auto"/>
                      <w:highlight w:val="none"/>
                      <w:lang w:val="en-US" w:eastAsia="zh-CN"/>
                    </w:rPr>
                  </w:pPr>
                </w:p>
              </w:tc>
              <w:tc>
                <w:tcPr>
                  <w:tcW w:w="1279" w:type="dxa"/>
                  <w:tcBorders>
                    <w:tl2br w:val="nil"/>
                    <w:tr2bl w:val="nil"/>
                  </w:tcBorders>
                  <w:vAlign w:val="center"/>
                </w:tcPr>
                <w:p w14:paraId="37A41B6A">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w:t>
                  </w:r>
                </w:p>
              </w:tc>
              <w:tc>
                <w:tcPr>
                  <w:tcW w:w="865" w:type="dxa"/>
                  <w:tcBorders>
                    <w:tl2br w:val="nil"/>
                    <w:tr2bl w:val="nil"/>
                  </w:tcBorders>
                  <w:vAlign w:val="center"/>
                </w:tcPr>
                <w:p w14:paraId="49D43000">
                  <w:pPr>
                    <w:pStyle w:val="24"/>
                    <w:spacing w:line="240" w:lineRule="auto"/>
                    <w:ind w:firstLine="0" w:firstLineChars="0"/>
                    <w:rPr>
                      <w:rFonts w:hint="eastAsia"/>
                      <w:color w:val="auto"/>
                      <w:highlight w:val="none"/>
                      <w:lang w:val="en-US" w:eastAsia="zh-CN"/>
                    </w:rPr>
                  </w:pPr>
                </w:p>
              </w:tc>
            </w:tr>
            <w:tr w14:paraId="752EF6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08C42093">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10</w:t>
                  </w:r>
                </w:p>
              </w:tc>
              <w:tc>
                <w:tcPr>
                  <w:tcW w:w="1900" w:type="dxa"/>
                  <w:tcBorders>
                    <w:tl2br w:val="nil"/>
                    <w:tr2bl w:val="nil"/>
                  </w:tcBorders>
                  <w:vAlign w:val="center"/>
                </w:tcPr>
                <w:p w14:paraId="5BA76136">
                  <w:pPr>
                    <w:pStyle w:val="24"/>
                    <w:spacing w:line="240" w:lineRule="auto"/>
                    <w:ind w:firstLine="0" w:firstLineChars="0"/>
                    <w:rPr>
                      <w:rFonts w:hint="eastAsia"/>
                      <w:color w:val="auto"/>
                      <w:highlight w:val="none"/>
                      <w:lang w:val="en-US" w:eastAsia="zh-CN"/>
                    </w:rPr>
                  </w:pPr>
                  <w:r>
                    <w:rPr>
                      <w:rFonts w:hint="eastAsia"/>
                      <w:color w:val="auto"/>
                      <w:highlight w:val="none"/>
                    </w:rPr>
                    <w:t>耐酸手套</w:t>
                  </w:r>
                </w:p>
              </w:tc>
              <w:tc>
                <w:tcPr>
                  <w:tcW w:w="3604" w:type="dxa"/>
                  <w:tcBorders>
                    <w:tl2br w:val="nil"/>
                    <w:tr2bl w:val="nil"/>
                  </w:tcBorders>
                  <w:vAlign w:val="center"/>
                </w:tcPr>
                <w:p w14:paraId="632B12D1">
                  <w:pPr>
                    <w:pStyle w:val="24"/>
                    <w:spacing w:line="240" w:lineRule="auto"/>
                    <w:ind w:firstLine="0" w:firstLineChars="0"/>
                    <w:rPr>
                      <w:rFonts w:hint="eastAsia"/>
                      <w:color w:val="auto"/>
                      <w:highlight w:val="none"/>
                      <w:lang w:val="en-US" w:eastAsia="zh-CN"/>
                    </w:rPr>
                  </w:pPr>
                </w:p>
              </w:tc>
              <w:tc>
                <w:tcPr>
                  <w:tcW w:w="1279" w:type="dxa"/>
                  <w:tcBorders>
                    <w:tl2br w:val="nil"/>
                    <w:tr2bl w:val="nil"/>
                  </w:tcBorders>
                  <w:vAlign w:val="center"/>
                </w:tcPr>
                <w:p w14:paraId="00A1B3DD">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w:t>
                  </w:r>
                </w:p>
              </w:tc>
              <w:tc>
                <w:tcPr>
                  <w:tcW w:w="865" w:type="dxa"/>
                  <w:tcBorders>
                    <w:tl2br w:val="nil"/>
                    <w:tr2bl w:val="nil"/>
                  </w:tcBorders>
                  <w:vAlign w:val="center"/>
                </w:tcPr>
                <w:p w14:paraId="24A4CC92">
                  <w:pPr>
                    <w:pStyle w:val="24"/>
                    <w:spacing w:line="240" w:lineRule="auto"/>
                    <w:ind w:firstLine="0" w:firstLineChars="0"/>
                    <w:rPr>
                      <w:rFonts w:hint="eastAsia"/>
                      <w:color w:val="auto"/>
                      <w:highlight w:val="none"/>
                      <w:lang w:val="en-US" w:eastAsia="zh-CN"/>
                    </w:rPr>
                  </w:pPr>
                </w:p>
              </w:tc>
            </w:tr>
            <w:tr w14:paraId="0E8BF3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14E7A9A7">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11</w:t>
                  </w:r>
                </w:p>
              </w:tc>
              <w:tc>
                <w:tcPr>
                  <w:tcW w:w="1900" w:type="dxa"/>
                  <w:tcBorders>
                    <w:tl2br w:val="nil"/>
                    <w:tr2bl w:val="nil"/>
                  </w:tcBorders>
                  <w:vAlign w:val="center"/>
                </w:tcPr>
                <w:p w14:paraId="2C38326A">
                  <w:pPr>
                    <w:pStyle w:val="24"/>
                    <w:spacing w:line="240" w:lineRule="auto"/>
                    <w:ind w:firstLine="0" w:firstLineChars="0"/>
                    <w:rPr>
                      <w:rFonts w:hint="eastAsia"/>
                      <w:color w:val="auto"/>
                      <w:highlight w:val="none"/>
                    </w:rPr>
                  </w:pPr>
                  <w:r>
                    <w:rPr>
                      <w:rFonts w:hint="eastAsia"/>
                      <w:color w:val="auto"/>
                      <w:highlight w:val="none"/>
                    </w:rPr>
                    <w:t>自吸过滤防毒面具</w:t>
                  </w:r>
                </w:p>
              </w:tc>
              <w:tc>
                <w:tcPr>
                  <w:tcW w:w="3604" w:type="dxa"/>
                  <w:tcBorders>
                    <w:tl2br w:val="nil"/>
                    <w:tr2bl w:val="nil"/>
                  </w:tcBorders>
                  <w:vAlign w:val="center"/>
                </w:tcPr>
                <w:p w14:paraId="55F10D5F">
                  <w:pPr>
                    <w:pStyle w:val="24"/>
                    <w:spacing w:line="240" w:lineRule="auto"/>
                    <w:ind w:firstLine="0" w:firstLineChars="0"/>
                    <w:rPr>
                      <w:rFonts w:hint="eastAsia"/>
                      <w:color w:val="auto"/>
                      <w:highlight w:val="none"/>
                    </w:rPr>
                  </w:pPr>
                </w:p>
              </w:tc>
              <w:tc>
                <w:tcPr>
                  <w:tcW w:w="1279" w:type="dxa"/>
                  <w:tcBorders>
                    <w:tl2br w:val="nil"/>
                    <w:tr2bl w:val="nil"/>
                  </w:tcBorders>
                  <w:vAlign w:val="center"/>
                </w:tcPr>
                <w:p w14:paraId="573E7F0A">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w:t>
                  </w:r>
                </w:p>
              </w:tc>
              <w:tc>
                <w:tcPr>
                  <w:tcW w:w="865" w:type="dxa"/>
                  <w:tcBorders>
                    <w:tl2br w:val="nil"/>
                    <w:tr2bl w:val="nil"/>
                  </w:tcBorders>
                  <w:vAlign w:val="center"/>
                </w:tcPr>
                <w:p w14:paraId="578F67F6">
                  <w:pPr>
                    <w:pStyle w:val="24"/>
                    <w:spacing w:line="240" w:lineRule="auto"/>
                    <w:ind w:firstLine="0" w:firstLineChars="0"/>
                    <w:rPr>
                      <w:rFonts w:hint="eastAsia"/>
                      <w:color w:val="auto"/>
                      <w:highlight w:val="none"/>
                    </w:rPr>
                  </w:pPr>
                </w:p>
              </w:tc>
            </w:tr>
            <w:tr w14:paraId="559F01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23937F8C">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12</w:t>
                  </w:r>
                </w:p>
              </w:tc>
              <w:tc>
                <w:tcPr>
                  <w:tcW w:w="1900" w:type="dxa"/>
                  <w:tcBorders>
                    <w:tl2br w:val="nil"/>
                    <w:tr2bl w:val="nil"/>
                  </w:tcBorders>
                  <w:vAlign w:val="center"/>
                </w:tcPr>
                <w:p w14:paraId="5D2D9C6A">
                  <w:pPr>
                    <w:pStyle w:val="24"/>
                    <w:spacing w:line="240" w:lineRule="auto"/>
                    <w:ind w:firstLine="0" w:firstLineChars="0"/>
                    <w:rPr>
                      <w:rFonts w:hint="eastAsia"/>
                      <w:color w:val="auto"/>
                      <w:highlight w:val="none"/>
                    </w:rPr>
                  </w:pPr>
                  <w:r>
                    <w:rPr>
                      <w:rFonts w:hint="eastAsia"/>
                      <w:color w:val="auto"/>
                      <w:highlight w:val="none"/>
                    </w:rPr>
                    <w:t>推车式水基型灭火器</w:t>
                  </w:r>
                </w:p>
              </w:tc>
              <w:tc>
                <w:tcPr>
                  <w:tcW w:w="3604" w:type="dxa"/>
                  <w:tcBorders>
                    <w:tl2br w:val="nil"/>
                    <w:tr2bl w:val="nil"/>
                  </w:tcBorders>
                  <w:vAlign w:val="center"/>
                </w:tcPr>
                <w:p w14:paraId="20A1377F">
                  <w:pPr>
                    <w:pStyle w:val="24"/>
                    <w:spacing w:line="240" w:lineRule="auto"/>
                    <w:ind w:firstLine="0" w:firstLineChars="0"/>
                    <w:rPr>
                      <w:rFonts w:hint="eastAsia"/>
                      <w:color w:val="auto"/>
                      <w:highlight w:val="none"/>
                    </w:rPr>
                  </w:pPr>
                  <w:r>
                    <w:rPr>
                      <w:rFonts w:hint="eastAsia"/>
                      <w:color w:val="auto"/>
                      <w:highlight w:val="none"/>
                      <w:lang w:val="en-US" w:eastAsia="zh-CN"/>
                    </w:rPr>
                    <w:t>45L</w:t>
                  </w:r>
                </w:p>
              </w:tc>
              <w:tc>
                <w:tcPr>
                  <w:tcW w:w="1279" w:type="dxa"/>
                  <w:tcBorders>
                    <w:tl2br w:val="nil"/>
                    <w:tr2bl w:val="nil"/>
                  </w:tcBorders>
                  <w:vAlign w:val="center"/>
                </w:tcPr>
                <w:p w14:paraId="4F137281">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w:t>
                  </w:r>
                </w:p>
              </w:tc>
              <w:tc>
                <w:tcPr>
                  <w:tcW w:w="865" w:type="dxa"/>
                  <w:tcBorders>
                    <w:tl2br w:val="nil"/>
                    <w:tr2bl w:val="nil"/>
                  </w:tcBorders>
                  <w:vAlign w:val="center"/>
                </w:tcPr>
                <w:p w14:paraId="4C3F1A85">
                  <w:pPr>
                    <w:pStyle w:val="24"/>
                    <w:spacing w:line="240" w:lineRule="auto"/>
                    <w:ind w:firstLine="0" w:firstLineChars="0"/>
                    <w:rPr>
                      <w:rFonts w:hint="eastAsia"/>
                      <w:color w:val="auto"/>
                      <w:highlight w:val="none"/>
                    </w:rPr>
                  </w:pPr>
                </w:p>
              </w:tc>
            </w:tr>
            <w:tr w14:paraId="2CE0B3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2DEFC40F">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13</w:t>
                  </w:r>
                </w:p>
              </w:tc>
              <w:tc>
                <w:tcPr>
                  <w:tcW w:w="1900" w:type="dxa"/>
                  <w:tcBorders>
                    <w:tl2br w:val="nil"/>
                    <w:tr2bl w:val="nil"/>
                  </w:tcBorders>
                  <w:vAlign w:val="center"/>
                </w:tcPr>
                <w:p w14:paraId="2D8FCC8D">
                  <w:pPr>
                    <w:pStyle w:val="24"/>
                    <w:spacing w:line="240" w:lineRule="auto"/>
                    <w:ind w:firstLine="0" w:firstLineChars="0"/>
                    <w:rPr>
                      <w:rFonts w:hint="eastAsia"/>
                      <w:color w:val="auto"/>
                      <w:highlight w:val="none"/>
                    </w:rPr>
                  </w:pPr>
                  <w:r>
                    <w:rPr>
                      <w:rFonts w:hint="eastAsia"/>
                      <w:color w:val="auto"/>
                      <w:highlight w:val="none"/>
                    </w:rPr>
                    <w:t>消防铁锹</w:t>
                  </w:r>
                </w:p>
              </w:tc>
              <w:tc>
                <w:tcPr>
                  <w:tcW w:w="3604" w:type="dxa"/>
                  <w:tcBorders>
                    <w:tl2br w:val="nil"/>
                    <w:tr2bl w:val="nil"/>
                  </w:tcBorders>
                  <w:vAlign w:val="center"/>
                </w:tcPr>
                <w:p w14:paraId="31D04CA2">
                  <w:pPr>
                    <w:pStyle w:val="24"/>
                    <w:spacing w:line="240" w:lineRule="auto"/>
                    <w:ind w:firstLine="0" w:firstLineChars="0"/>
                    <w:rPr>
                      <w:rFonts w:hint="default" w:eastAsiaTheme="minorEastAsia"/>
                      <w:color w:val="auto"/>
                      <w:highlight w:val="none"/>
                      <w:lang w:val="en-US" w:eastAsia="zh-CN"/>
                    </w:rPr>
                  </w:pPr>
                </w:p>
              </w:tc>
              <w:tc>
                <w:tcPr>
                  <w:tcW w:w="1279" w:type="dxa"/>
                  <w:tcBorders>
                    <w:tl2br w:val="nil"/>
                    <w:tr2bl w:val="nil"/>
                  </w:tcBorders>
                  <w:vAlign w:val="center"/>
                </w:tcPr>
                <w:p w14:paraId="1F9EC524">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2</w:t>
                  </w:r>
                </w:p>
              </w:tc>
              <w:tc>
                <w:tcPr>
                  <w:tcW w:w="865" w:type="dxa"/>
                  <w:tcBorders>
                    <w:tl2br w:val="nil"/>
                    <w:tr2bl w:val="nil"/>
                  </w:tcBorders>
                  <w:vAlign w:val="center"/>
                </w:tcPr>
                <w:p w14:paraId="427E12D5">
                  <w:pPr>
                    <w:pStyle w:val="24"/>
                    <w:spacing w:line="240" w:lineRule="auto"/>
                    <w:ind w:firstLine="0" w:firstLineChars="0"/>
                    <w:rPr>
                      <w:rFonts w:hint="eastAsia"/>
                      <w:color w:val="auto"/>
                      <w:highlight w:val="none"/>
                    </w:rPr>
                  </w:pPr>
                </w:p>
              </w:tc>
            </w:tr>
            <w:tr w14:paraId="480162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708D4F11">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14</w:t>
                  </w:r>
                </w:p>
              </w:tc>
              <w:tc>
                <w:tcPr>
                  <w:tcW w:w="1900" w:type="dxa"/>
                  <w:tcBorders>
                    <w:tl2br w:val="nil"/>
                    <w:tr2bl w:val="nil"/>
                  </w:tcBorders>
                  <w:vAlign w:val="center"/>
                </w:tcPr>
                <w:p w14:paraId="584DC777">
                  <w:pPr>
                    <w:pStyle w:val="24"/>
                    <w:spacing w:line="240" w:lineRule="auto"/>
                    <w:ind w:firstLine="0" w:firstLineChars="0"/>
                    <w:rPr>
                      <w:rFonts w:hint="eastAsia"/>
                      <w:color w:val="auto"/>
                      <w:highlight w:val="none"/>
                    </w:rPr>
                  </w:pPr>
                  <w:r>
                    <w:rPr>
                      <w:rFonts w:hint="eastAsia"/>
                      <w:color w:val="auto"/>
                      <w:highlight w:val="none"/>
                    </w:rPr>
                    <w:t>应急物资箱</w:t>
                  </w:r>
                </w:p>
              </w:tc>
              <w:tc>
                <w:tcPr>
                  <w:tcW w:w="3604" w:type="dxa"/>
                  <w:tcBorders>
                    <w:tl2br w:val="nil"/>
                    <w:tr2bl w:val="nil"/>
                  </w:tcBorders>
                  <w:vAlign w:val="center"/>
                </w:tcPr>
                <w:p w14:paraId="629295A7">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钢材制作，宽度1.4m，高度1.5m，内部有隔层，带锁</w:t>
                  </w:r>
                </w:p>
              </w:tc>
              <w:tc>
                <w:tcPr>
                  <w:tcW w:w="1279" w:type="dxa"/>
                  <w:tcBorders>
                    <w:tl2br w:val="nil"/>
                    <w:tr2bl w:val="nil"/>
                  </w:tcBorders>
                  <w:vAlign w:val="center"/>
                </w:tcPr>
                <w:p w14:paraId="4E70E8ED">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w:t>
                  </w:r>
                </w:p>
              </w:tc>
              <w:tc>
                <w:tcPr>
                  <w:tcW w:w="865" w:type="dxa"/>
                  <w:tcBorders>
                    <w:tl2br w:val="nil"/>
                    <w:tr2bl w:val="nil"/>
                  </w:tcBorders>
                  <w:vAlign w:val="center"/>
                </w:tcPr>
                <w:p w14:paraId="52488947">
                  <w:pPr>
                    <w:pStyle w:val="24"/>
                    <w:spacing w:line="240" w:lineRule="auto"/>
                    <w:ind w:firstLine="0" w:firstLineChars="0"/>
                    <w:rPr>
                      <w:rFonts w:hint="eastAsia"/>
                      <w:color w:val="auto"/>
                      <w:highlight w:val="none"/>
                    </w:rPr>
                  </w:pPr>
                </w:p>
              </w:tc>
            </w:tr>
            <w:tr w14:paraId="5DF8B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66924165">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15</w:t>
                  </w:r>
                </w:p>
              </w:tc>
              <w:tc>
                <w:tcPr>
                  <w:tcW w:w="1900" w:type="dxa"/>
                  <w:tcBorders>
                    <w:tl2br w:val="nil"/>
                    <w:tr2bl w:val="nil"/>
                  </w:tcBorders>
                  <w:vAlign w:val="center"/>
                </w:tcPr>
                <w:p w14:paraId="2ED246A8">
                  <w:pPr>
                    <w:pStyle w:val="24"/>
                    <w:spacing w:line="240" w:lineRule="auto"/>
                    <w:ind w:firstLine="0" w:firstLineChars="0"/>
                    <w:rPr>
                      <w:rFonts w:hint="eastAsia"/>
                      <w:color w:val="auto"/>
                      <w:highlight w:val="none"/>
                    </w:rPr>
                  </w:pPr>
                  <w:r>
                    <w:rPr>
                      <w:rFonts w:hint="eastAsia" w:ascii="Times New Roman" w:hAnsi="Times New Roman" w:cs="Times New Roman"/>
                      <w:color w:val="auto"/>
                      <w:highlight w:val="none"/>
                      <w:lang w:val="en-US" w:eastAsia="zh-CN"/>
                    </w:rPr>
                    <w:t>安全警示及标识，制度板</w:t>
                  </w:r>
                </w:p>
              </w:tc>
              <w:tc>
                <w:tcPr>
                  <w:tcW w:w="3604" w:type="dxa"/>
                  <w:tcBorders>
                    <w:tl2br w:val="nil"/>
                    <w:tr2bl w:val="nil"/>
                  </w:tcBorders>
                  <w:vAlign w:val="center"/>
                </w:tcPr>
                <w:p w14:paraId="750E595D">
                  <w:pPr>
                    <w:pStyle w:val="24"/>
                    <w:spacing w:line="240" w:lineRule="auto"/>
                    <w:ind w:firstLine="0" w:firstLineChars="0"/>
                    <w:rPr>
                      <w:rFonts w:hint="eastAsia"/>
                      <w:color w:val="auto"/>
                      <w:highlight w:val="none"/>
                      <w:lang w:val="en-US" w:eastAsia="zh-CN"/>
                    </w:rPr>
                  </w:pPr>
                </w:p>
              </w:tc>
              <w:tc>
                <w:tcPr>
                  <w:tcW w:w="1279" w:type="dxa"/>
                  <w:tcBorders>
                    <w:tl2br w:val="nil"/>
                    <w:tr2bl w:val="nil"/>
                  </w:tcBorders>
                  <w:vAlign w:val="center"/>
                </w:tcPr>
                <w:p w14:paraId="37363C5E">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24</w:t>
                  </w:r>
                </w:p>
              </w:tc>
              <w:tc>
                <w:tcPr>
                  <w:tcW w:w="865" w:type="dxa"/>
                  <w:tcBorders>
                    <w:tl2br w:val="nil"/>
                    <w:tr2bl w:val="nil"/>
                  </w:tcBorders>
                  <w:vAlign w:val="center"/>
                </w:tcPr>
                <w:p w14:paraId="5D30C37D">
                  <w:pPr>
                    <w:pStyle w:val="24"/>
                    <w:spacing w:line="240" w:lineRule="auto"/>
                    <w:ind w:firstLine="0" w:firstLineChars="0"/>
                    <w:rPr>
                      <w:rFonts w:hint="eastAsia"/>
                      <w:color w:val="auto"/>
                      <w:highlight w:val="none"/>
                    </w:rPr>
                  </w:pPr>
                </w:p>
              </w:tc>
            </w:tr>
            <w:tr w14:paraId="753493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dxa"/>
                  <w:tcBorders>
                    <w:tl2br w:val="nil"/>
                    <w:tr2bl w:val="nil"/>
                  </w:tcBorders>
                  <w:vAlign w:val="center"/>
                </w:tcPr>
                <w:p w14:paraId="7361EA2D">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16</w:t>
                  </w:r>
                </w:p>
              </w:tc>
              <w:tc>
                <w:tcPr>
                  <w:tcW w:w="1900" w:type="dxa"/>
                  <w:tcBorders>
                    <w:tl2br w:val="nil"/>
                    <w:tr2bl w:val="nil"/>
                  </w:tcBorders>
                  <w:vAlign w:val="center"/>
                </w:tcPr>
                <w:p w14:paraId="1A3C314C">
                  <w:pPr>
                    <w:pStyle w:val="24"/>
                    <w:spacing w:line="240" w:lineRule="auto"/>
                    <w:ind w:firstLine="0" w:firstLineChars="0"/>
                    <w:rPr>
                      <w:rFonts w:hint="eastAsia"/>
                      <w:color w:val="auto"/>
                      <w:highlight w:val="none"/>
                    </w:rPr>
                  </w:pPr>
                  <w:r>
                    <w:rPr>
                      <w:rFonts w:hint="eastAsia" w:ascii="Times New Roman" w:hAnsi="Times New Roman" w:cs="Times New Roman"/>
                      <w:color w:val="auto"/>
                      <w:highlight w:val="none"/>
                      <w:lang w:val="en-US" w:eastAsia="zh-CN"/>
                    </w:rPr>
                    <w:t>监控系统</w:t>
                  </w:r>
                </w:p>
              </w:tc>
              <w:tc>
                <w:tcPr>
                  <w:tcW w:w="3604" w:type="dxa"/>
                  <w:tcBorders>
                    <w:tl2br w:val="nil"/>
                    <w:tr2bl w:val="nil"/>
                  </w:tcBorders>
                  <w:vAlign w:val="center"/>
                </w:tcPr>
                <w:p w14:paraId="49207B8F">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枪式摄像机，含摄像支架、配套管线等</w:t>
                  </w:r>
                </w:p>
              </w:tc>
              <w:tc>
                <w:tcPr>
                  <w:tcW w:w="1279" w:type="dxa"/>
                  <w:tcBorders>
                    <w:tl2br w:val="nil"/>
                    <w:tr2bl w:val="nil"/>
                  </w:tcBorders>
                  <w:vAlign w:val="center"/>
                </w:tcPr>
                <w:p w14:paraId="307004ED">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2</w:t>
                  </w:r>
                </w:p>
              </w:tc>
              <w:tc>
                <w:tcPr>
                  <w:tcW w:w="865" w:type="dxa"/>
                  <w:tcBorders>
                    <w:tl2br w:val="nil"/>
                    <w:tr2bl w:val="nil"/>
                  </w:tcBorders>
                  <w:vAlign w:val="center"/>
                </w:tcPr>
                <w:p w14:paraId="541DE676">
                  <w:pPr>
                    <w:pStyle w:val="24"/>
                    <w:spacing w:line="240" w:lineRule="auto"/>
                    <w:ind w:firstLine="0" w:firstLineChars="0"/>
                    <w:rPr>
                      <w:rFonts w:hint="eastAsia"/>
                      <w:color w:val="auto"/>
                      <w:highlight w:val="none"/>
                    </w:rPr>
                  </w:pPr>
                </w:p>
              </w:tc>
            </w:tr>
          </w:tbl>
          <w:p w14:paraId="006AE56E">
            <w:pPr>
              <w:bidi w:val="0"/>
              <w:rPr>
                <w:rFonts w:hint="default"/>
                <w:b/>
                <w:bCs/>
                <w:color w:val="auto"/>
                <w:highlight w:val="none"/>
              </w:rPr>
            </w:pPr>
            <w:r>
              <w:rPr>
                <w:b/>
                <w:bCs/>
                <w:color w:val="auto"/>
                <w:highlight w:val="none"/>
              </w:rPr>
              <w:t>4能源消耗</w:t>
            </w:r>
          </w:p>
          <w:p w14:paraId="62322B8F">
            <w:pPr>
              <w:pStyle w:val="25"/>
              <w:bidi w:val="0"/>
              <w:rPr>
                <w:color w:val="auto"/>
                <w:highlight w:val="none"/>
              </w:rPr>
            </w:pPr>
            <w:r>
              <w:rPr>
                <w:rFonts w:hint="eastAsia"/>
                <w:color w:val="auto"/>
                <w:highlight w:val="none"/>
              </w:rPr>
              <w:t>主要原辅材料及能源消耗情况</w:t>
            </w:r>
          </w:p>
          <w:tbl>
            <w:tblPr>
              <w:tblStyle w:val="17"/>
              <w:tblW w:w="81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6"/>
              <w:gridCol w:w="1252"/>
              <w:gridCol w:w="1587"/>
              <w:gridCol w:w="1488"/>
              <w:gridCol w:w="3118"/>
            </w:tblGrid>
            <w:tr w14:paraId="354682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dxa"/>
                  <w:tcBorders>
                    <w:tl2br w:val="nil"/>
                    <w:tr2bl w:val="nil"/>
                  </w:tcBorders>
                  <w:vAlign w:val="center"/>
                </w:tcPr>
                <w:p w14:paraId="39BDFCDB">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rPr>
                  </w:pPr>
                  <w:r>
                    <w:rPr>
                      <w:rFonts w:eastAsia="宋体"/>
                      <w:b/>
                      <w:color w:val="auto"/>
                      <w:sz w:val="21"/>
                      <w:highlight w:val="none"/>
                    </w:rPr>
                    <w:t>序号</w:t>
                  </w:r>
                </w:p>
              </w:tc>
              <w:tc>
                <w:tcPr>
                  <w:tcW w:w="1252" w:type="dxa"/>
                  <w:tcBorders>
                    <w:tl2br w:val="nil"/>
                    <w:tr2bl w:val="nil"/>
                  </w:tcBorders>
                  <w:vAlign w:val="center"/>
                </w:tcPr>
                <w:p w14:paraId="489A2EEE">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rPr>
                  </w:pPr>
                  <w:r>
                    <w:rPr>
                      <w:rFonts w:eastAsia="宋体"/>
                      <w:b/>
                      <w:color w:val="auto"/>
                      <w:sz w:val="21"/>
                      <w:highlight w:val="none"/>
                    </w:rPr>
                    <w:t>名称</w:t>
                  </w:r>
                </w:p>
              </w:tc>
              <w:tc>
                <w:tcPr>
                  <w:tcW w:w="1587" w:type="dxa"/>
                  <w:tcBorders>
                    <w:tl2br w:val="nil"/>
                    <w:tr2bl w:val="nil"/>
                  </w:tcBorders>
                  <w:vAlign w:val="center"/>
                </w:tcPr>
                <w:p w14:paraId="5E074457">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olor w:val="auto"/>
                      <w:highlight w:val="none"/>
                      <w:lang w:eastAsia="zh-CN"/>
                    </w:rPr>
                  </w:pPr>
                  <w:r>
                    <w:rPr>
                      <w:rFonts w:eastAsia="宋体"/>
                      <w:b/>
                      <w:color w:val="auto"/>
                      <w:sz w:val="21"/>
                      <w:highlight w:val="none"/>
                    </w:rPr>
                    <w:t>用量</w:t>
                  </w:r>
                </w:p>
              </w:tc>
              <w:tc>
                <w:tcPr>
                  <w:tcW w:w="1488" w:type="dxa"/>
                  <w:tcBorders>
                    <w:tl2br w:val="nil"/>
                    <w:tr2bl w:val="nil"/>
                  </w:tcBorders>
                  <w:vAlign w:val="center"/>
                </w:tcPr>
                <w:p w14:paraId="197072E8">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b/>
                      <w:color w:val="auto"/>
                      <w:sz w:val="21"/>
                      <w:highlight w:val="none"/>
                      <w:lang w:eastAsia="zh-CN"/>
                    </w:rPr>
                  </w:pPr>
                  <w:r>
                    <w:rPr>
                      <w:rFonts w:hint="eastAsia" w:eastAsia="宋体"/>
                      <w:b/>
                      <w:color w:val="auto"/>
                      <w:sz w:val="21"/>
                      <w:highlight w:val="none"/>
                      <w:lang w:eastAsia="zh-CN"/>
                    </w:rPr>
                    <w:t>最大贮存量</w:t>
                  </w:r>
                </w:p>
              </w:tc>
              <w:tc>
                <w:tcPr>
                  <w:tcW w:w="3118" w:type="dxa"/>
                  <w:tcBorders>
                    <w:tl2br w:val="nil"/>
                    <w:tr2bl w:val="nil"/>
                  </w:tcBorders>
                  <w:vAlign w:val="center"/>
                </w:tcPr>
                <w:p w14:paraId="38DA99AE">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rPr>
                  </w:pPr>
                  <w:r>
                    <w:rPr>
                      <w:rFonts w:eastAsia="宋体"/>
                      <w:b/>
                      <w:color w:val="auto"/>
                      <w:sz w:val="21"/>
                      <w:highlight w:val="none"/>
                    </w:rPr>
                    <w:t>备注</w:t>
                  </w:r>
                </w:p>
              </w:tc>
            </w:tr>
            <w:tr w14:paraId="5AE1DE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dxa"/>
                  <w:tcBorders>
                    <w:tl2br w:val="nil"/>
                    <w:tr2bl w:val="nil"/>
                  </w:tcBorders>
                  <w:vAlign w:val="center"/>
                </w:tcPr>
                <w:p w14:paraId="2BE136FB">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b w:val="0"/>
                      <w:bCs/>
                      <w:color w:val="auto"/>
                      <w:sz w:val="21"/>
                      <w:highlight w:val="none"/>
                      <w:lang w:val="en-US" w:eastAsia="zh-CN"/>
                    </w:rPr>
                  </w:pPr>
                  <w:r>
                    <w:rPr>
                      <w:rFonts w:hint="eastAsia" w:eastAsia="宋体"/>
                      <w:b w:val="0"/>
                      <w:bCs/>
                      <w:color w:val="auto"/>
                      <w:sz w:val="21"/>
                      <w:highlight w:val="none"/>
                      <w:lang w:val="en-US" w:eastAsia="zh-CN"/>
                    </w:rPr>
                    <w:t>1</w:t>
                  </w:r>
                </w:p>
              </w:tc>
              <w:tc>
                <w:tcPr>
                  <w:tcW w:w="1252" w:type="dxa"/>
                  <w:tcBorders>
                    <w:tl2br w:val="nil"/>
                    <w:tr2bl w:val="nil"/>
                  </w:tcBorders>
                  <w:vAlign w:val="center"/>
                </w:tcPr>
                <w:p w14:paraId="45499D3D">
                  <w:pPr>
                    <w:pStyle w:val="2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color w:val="auto"/>
                      <w:sz w:val="21"/>
                      <w:highlight w:val="none"/>
                      <w:lang w:eastAsia="zh-CN"/>
                    </w:rPr>
                  </w:pPr>
                  <w:r>
                    <w:rPr>
                      <w:rFonts w:hint="eastAsia" w:eastAsia="宋体"/>
                      <w:b w:val="0"/>
                      <w:bCs/>
                      <w:color w:val="auto"/>
                      <w:sz w:val="21"/>
                      <w:highlight w:val="none"/>
                      <w:lang w:eastAsia="zh-CN"/>
                    </w:rPr>
                    <w:t>劳保用品</w:t>
                  </w:r>
                </w:p>
              </w:tc>
              <w:tc>
                <w:tcPr>
                  <w:tcW w:w="1587" w:type="dxa"/>
                  <w:tcBorders>
                    <w:tl2br w:val="nil"/>
                    <w:tr2bl w:val="nil"/>
                  </w:tcBorders>
                  <w:vAlign w:val="center"/>
                </w:tcPr>
                <w:p w14:paraId="5EB54242">
                  <w:pPr>
                    <w:pStyle w:val="2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color w:val="auto"/>
                      <w:sz w:val="21"/>
                      <w:highlight w:val="none"/>
                      <w:lang w:val="en-US" w:eastAsia="zh-CN"/>
                    </w:rPr>
                  </w:pPr>
                  <w:r>
                    <w:rPr>
                      <w:rFonts w:hint="eastAsia" w:eastAsia="宋体"/>
                      <w:b w:val="0"/>
                      <w:bCs/>
                      <w:color w:val="auto"/>
                      <w:sz w:val="21"/>
                      <w:highlight w:val="none"/>
                      <w:lang w:val="en-US" w:eastAsia="zh-CN"/>
                    </w:rPr>
                    <w:t>0.02t/a</w:t>
                  </w:r>
                </w:p>
              </w:tc>
              <w:tc>
                <w:tcPr>
                  <w:tcW w:w="1488" w:type="dxa"/>
                  <w:tcBorders>
                    <w:tl2br w:val="nil"/>
                    <w:tr2bl w:val="nil"/>
                  </w:tcBorders>
                  <w:vAlign w:val="center"/>
                </w:tcPr>
                <w:p w14:paraId="6112F58F">
                  <w:pPr>
                    <w:pStyle w:val="2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 w:val="0"/>
                      <w:bCs/>
                      <w:color w:val="auto"/>
                      <w:sz w:val="21"/>
                      <w:highlight w:val="none"/>
                      <w:lang w:val="en-US" w:eastAsia="zh-CN"/>
                    </w:rPr>
                  </w:pPr>
                  <w:r>
                    <w:rPr>
                      <w:rFonts w:hint="eastAsia" w:eastAsia="宋体"/>
                      <w:b w:val="0"/>
                      <w:bCs/>
                      <w:color w:val="auto"/>
                      <w:sz w:val="21"/>
                      <w:highlight w:val="none"/>
                      <w:lang w:val="en-US" w:eastAsia="zh-CN"/>
                    </w:rPr>
                    <w:t>0.02t/a</w:t>
                  </w:r>
                </w:p>
              </w:tc>
              <w:tc>
                <w:tcPr>
                  <w:tcW w:w="3118" w:type="dxa"/>
                  <w:tcBorders>
                    <w:tl2br w:val="nil"/>
                    <w:tr2bl w:val="nil"/>
                  </w:tcBorders>
                  <w:vAlign w:val="center"/>
                </w:tcPr>
                <w:p w14:paraId="1F40E3BE">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b w:val="0"/>
                      <w:bCs/>
                      <w:color w:val="auto"/>
                      <w:sz w:val="21"/>
                      <w:highlight w:val="none"/>
                      <w:lang w:eastAsia="zh-CN"/>
                    </w:rPr>
                  </w:pPr>
                </w:p>
              </w:tc>
            </w:tr>
            <w:tr w14:paraId="38295B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6" w:type="dxa"/>
                  <w:tcBorders>
                    <w:tl2br w:val="nil"/>
                    <w:tr2bl w:val="nil"/>
                  </w:tcBorders>
                  <w:vAlign w:val="center"/>
                </w:tcPr>
                <w:p w14:paraId="20DE0076">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highlight w:val="none"/>
                      <w:lang w:eastAsia="zh-CN"/>
                    </w:rPr>
                  </w:pPr>
                  <w:r>
                    <w:rPr>
                      <w:rFonts w:hint="eastAsia"/>
                      <w:color w:val="auto"/>
                      <w:highlight w:val="none"/>
                      <w:lang w:val="en-US" w:eastAsia="zh-CN"/>
                    </w:rPr>
                    <w:t>2</w:t>
                  </w:r>
                </w:p>
              </w:tc>
              <w:tc>
                <w:tcPr>
                  <w:tcW w:w="1252" w:type="dxa"/>
                  <w:tcBorders>
                    <w:tl2br w:val="nil"/>
                    <w:tr2bl w:val="nil"/>
                  </w:tcBorders>
                  <w:vAlign w:val="center"/>
                </w:tcPr>
                <w:p w14:paraId="7FC47FA3">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r>
                    <w:rPr>
                      <w:rFonts w:hint="eastAsia"/>
                      <w:color w:val="auto"/>
                      <w:highlight w:val="none"/>
                    </w:rPr>
                    <w:t>电</w:t>
                  </w:r>
                </w:p>
              </w:tc>
              <w:tc>
                <w:tcPr>
                  <w:tcW w:w="1587" w:type="dxa"/>
                  <w:tcBorders>
                    <w:tl2br w:val="nil"/>
                    <w:tr2bl w:val="nil"/>
                  </w:tcBorders>
                  <w:vAlign w:val="center"/>
                </w:tcPr>
                <w:p w14:paraId="30618913">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Theme="minorEastAsia"/>
                      <w:color w:val="auto"/>
                      <w:highlight w:val="none"/>
                      <w:lang w:val="en-US" w:eastAsia="zh-CN"/>
                    </w:rPr>
                  </w:pPr>
                  <w:r>
                    <w:rPr>
                      <w:rFonts w:hint="eastAsia"/>
                      <w:color w:val="auto"/>
                      <w:highlight w:val="none"/>
                      <w:lang w:val="en-US" w:eastAsia="zh-CN"/>
                    </w:rPr>
                    <w:t>1250</w:t>
                  </w:r>
                  <w:r>
                    <w:rPr>
                      <w:color w:val="auto"/>
                      <w:highlight w:val="none"/>
                    </w:rPr>
                    <w:t>kWh/a</w:t>
                  </w:r>
                </w:p>
              </w:tc>
              <w:tc>
                <w:tcPr>
                  <w:tcW w:w="1488" w:type="dxa"/>
                  <w:tcBorders>
                    <w:tl2br w:val="nil"/>
                    <w:tr2bl w:val="nil"/>
                  </w:tcBorders>
                  <w:vAlign w:val="center"/>
                </w:tcPr>
                <w:p w14:paraId="05DFD123">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lang w:val="en-US" w:eastAsia="zh-CN"/>
                    </w:rPr>
                  </w:pPr>
                  <w:r>
                    <w:rPr>
                      <w:rFonts w:hint="eastAsia"/>
                      <w:color w:val="auto"/>
                      <w:highlight w:val="none"/>
                      <w:lang w:val="en-US" w:eastAsia="zh-CN"/>
                    </w:rPr>
                    <w:t>/</w:t>
                  </w:r>
                </w:p>
              </w:tc>
              <w:tc>
                <w:tcPr>
                  <w:tcW w:w="3118" w:type="dxa"/>
                  <w:tcBorders>
                    <w:tl2br w:val="nil"/>
                    <w:tr2bl w:val="nil"/>
                  </w:tcBorders>
                  <w:vAlign w:val="center"/>
                </w:tcPr>
                <w:p w14:paraId="79F14678">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r>
                    <w:rPr>
                      <w:rFonts w:hint="eastAsia"/>
                      <w:color w:val="auto"/>
                      <w:highlight w:val="none"/>
                    </w:rPr>
                    <w:t>由厂区供电系统供给，用于</w:t>
                  </w:r>
                  <w:r>
                    <w:rPr>
                      <w:rFonts w:hint="eastAsia"/>
                      <w:color w:val="auto"/>
                      <w:highlight w:val="none"/>
                      <w:lang w:eastAsia="zh-CN"/>
                    </w:rPr>
                    <w:t>危险废物贮存点</w:t>
                  </w:r>
                  <w:r>
                    <w:rPr>
                      <w:rFonts w:hint="eastAsia"/>
                      <w:color w:val="auto"/>
                      <w:highlight w:val="none"/>
                    </w:rPr>
                    <w:t>照明</w:t>
                  </w:r>
                </w:p>
              </w:tc>
            </w:tr>
          </w:tbl>
          <w:p w14:paraId="25B0212C">
            <w:pPr>
              <w:bidi w:val="0"/>
              <w:rPr>
                <w:rFonts w:hint="default"/>
                <w:b/>
                <w:bCs/>
                <w:color w:val="auto"/>
                <w:highlight w:val="none"/>
              </w:rPr>
            </w:pPr>
            <w:r>
              <w:rPr>
                <w:b/>
                <w:bCs/>
                <w:color w:val="auto"/>
                <w:highlight w:val="none"/>
              </w:rPr>
              <w:t>5危险废物</w:t>
            </w:r>
            <w:r>
              <w:rPr>
                <w:rFonts w:hint="eastAsia"/>
                <w:b/>
                <w:bCs/>
                <w:color w:val="auto"/>
                <w:highlight w:val="none"/>
                <w:lang w:eastAsia="zh-CN"/>
              </w:rPr>
              <w:t>收集、</w:t>
            </w:r>
            <w:r>
              <w:rPr>
                <w:b/>
                <w:bCs/>
                <w:color w:val="auto"/>
                <w:highlight w:val="none"/>
              </w:rPr>
              <w:t>贮存</w:t>
            </w:r>
            <w:r>
              <w:rPr>
                <w:rFonts w:hint="eastAsia"/>
                <w:b/>
                <w:bCs/>
                <w:color w:val="auto"/>
                <w:highlight w:val="none"/>
                <w:lang w:eastAsia="zh-CN"/>
              </w:rPr>
              <w:t>、处置</w:t>
            </w:r>
            <w:r>
              <w:rPr>
                <w:b/>
                <w:bCs/>
                <w:color w:val="auto"/>
                <w:highlight w:val="none"/>
              </w:rPr>
              <w:t>情况</w:t>
            </w:r>
          </w:p>
          <w:p w14:paraId="5DE01409">
            <w:pPr>
              <w:bidi w:val="0"/>
              <w:rPr>
                <w:rFonts w:hint="eastAsia"/>
                <w:color w:val="auto"/>
                <w:highlight w:val="none"/>
                <w:lang w:eastAsia="zh-CN"/>
              </w:rPr>
            </w:pPr>
            <w:r>
              <w:rPr>
                <w:rFonts w:hint="eastAsia"/>
                <w:color w:val="auto"/>
                <w:highlight w:val="none"/>
              </w:rPr>
              <w:t>本次新建</w:t>
            </w:r>
            <w:r>
              <w:rPr>
                <w:rFonts w:hint="eastAsia"/>
                <w:color w:val="auto"/>
                <w:highlight w:val="none"/>
                <w:lang w:eastAsia="zh-CN"/>
              </w:rPr>
              <w:t>危险废物贮存点</w:t>
            </w:r>
            <w:r>
              <w:rPr>
                <w:rFonts w:hint="eastAsia"/>
                <w:color w:val="auto"/>
                <w:highlight w:val="none"/>
              </w:rPr>
              <w:t>，进行危险废物的收集与贮存</w:t>
            </w:r>
            <w:r>
              <w:rPr>
                <w:rFonts w:hint="eastAsia"/>
                <w:color w:val="auto"/>
                <w:highlight w:val="none"/>
                <w:lang w:eastAsia="zh-CN"/>
              </w:rPr>
              <w:t>。本项目收集贮存危险废物为废蓄电池、废液压油、废空压机油、废汽轮机油、废变压器油、废润滑油、废油漆桶、废油桶、实验室废液及废试剂瓶、废劳保用品。</w:t>
            </w:r>
          </w:p>
          <w:p w14:paraId="72183014">
            <w:pPr>
              <w:bidi w:val="0"/>
              <w:ind w:firstLine="480"/>
              <w:rPr>
                <w:rFonts w:hint="eastAsia"/>
                <w:color w:val="auto"/>
                <w:highlight w:val="none"/>
                <w:lang w:eastAsia="zh-CN"/>
              </w:rPr>
            </w:pPr>
            <w:r>
              <w:rPr>
                <w:rFonts w:hint="eastAsia"/>
                <w:color w:val="auto"/>
                <w:highlight w:val="none"/>
              </w:rPr>
              <w:t>危险废物</w:t>
            </w:r>
            <w:r>
              <w:rPr>
                <w:rFonts w:hint="eastAsia"/>
                <w:color w:val="auto"/>
                <w:highlight w:val="none"/>
                <w:lang w:eastAsia="zh-CN"/>
              </w:rPr>
              <w:t>收集、</w:t>
            </w:r>
            <w:r>
              <w:rPr>
                <w:rFonts w:hint="eastAsia"/>
                <w:color w:val="auto"/>
                <w:highlight w:val="none"/>
              </w:rPr>
              <w:t>包装运输</w:t>
            </w:r>
            <w:r>
              <w:rPr>
                <w:rFonts w:hint="eastAsia"/>
                <w:color w:val="auto"/>
                <w:highlight w:val="none"/>
                <w:lang w:eastAsia="zh-CN"/>
              </w:rPr>
              <w:t>、贮存</w:t>
            </w:r>
            <w:r>
              <w:rPr>
                <w:rFonts w:hint="eastAsia"/>
                <w:color w:val="auto"/>
                <w:highlight w:val="none"/>
              </w:rPr>
              <w:t>应满足《危险货物运输包装通用技术条件》（GB 12463-2009）</w:t>
            </w:r>
            <w:r>
              <w:rPr>
                <w:rFonts w:hint="eastAsia"/>
                <w:color w:val="auto"/>
                <w:highlight w:val="none"/>
                <w:lang w:eastAsia="zh-CN"/>
              </w:rPr>
              <w:t>、</w:t>
            </w:r>
            <w:r>
              <w:rPr>
                <w:rFonts w:hint="eastAsia" w:cs="Times New Roman"/>
                <w:color w:val="auto"/>
                <w:sz w:val="24"/>
                <w:szCs w:val="24"/>
                <w:highlight w:val="none"/>
              </w:rPr>
              <w:t>《危险废物收集 贮存 运输技术规范》（HJ2025-2012）</w:t>
            </w:r>
            <w:r>
              <w:rPr>
                <w:rFonts w:hint="eastAsia" w:cs="Times New Roman"/>
                <w:color w:val="auto"/>
                <w:sz w:val="24"/>
                <w:szCs w:val="24"/>
                <w:highlight w:val="none"/>
                <w:lang w:eastAsia="zh-CN"/>
              </w:rPr>
              <w:t>、</w:t>
            </w:r>
            <w:r>
              <w:rPr>
                <w:rFonts w:hint="eastAsia"/>
                <w:color w:val="auto"/>
                <w:highlight w:val="none"/>
              </w:rPr>
              <w:t>《危险废物贮存污染控制标准》（GB18597-2023）等相关要求。</w:t>
            </w:r>
          </w:p>
          <w:p w14:paraId="2C505A13">
            <w:pPr>
              <w:bidi w:val="0"/>
              <w:rPr>
                <w:b/>
                <w:bCs/>
                <w:color w:val="auto"/>
                <w:highlight w:val="none"/>
              </w:rPr>
            </w:pPr>
            <w:r>
              <w:rPr>
                <w:rFonts w:hint="eastAsia"/>
                <w:b/>
                <w:bCs/>
                <w:color w:val="auto"/>
                <w:highlight w:val="none"/>
              </w:rPr>
              <w:t>5.1厂内收集</w:t>
            </w:r>
          </w:p>
          <w:p w14:paraId="53A85D05">
            <w:pPr>
              <w:bidi w:val="0"/>
              <w:rPr>
                <w:rFonts w:hint="eastAsia"/>
                <w:color w:val="auto"/>
                <w:highlight w:val="none"/>
              </w:rPr>
            </w:pPr>
            <w:r>
              <w:rPr>
                <w:rFonts w:hint="eastAsia"/>
                <w:color w:val="auto"/>
                <w:highlight w:val="none"/>
              </w:rPr>
              <w:t>本项目废液压油、废空压机油、废汽轮机油、废变压器油、废润滑油装入桶内，加盖收集运输。废油漆桶、废油桶经密封收集，放置于防腐防渗漏托盘上运输。</w:t>
            </w:r>
          </w:p>
          <w:p w14:paraId="48F46CE3">
            <w:pPr>
              <w:bidi w:val="0"/>
              <w:rPr>
                <w:rFonts w:hint="eastAsia"/>
                <w:color w:val="auto"/>
                <w:highlight w:val="none"/>
              </w:rPr>
            </w:pPr>
            <w:r>
              <w:rPr>
                <w:rFonts w:hint="eastAsia"/>
                <w:color w:val="auto"/>
                <w:highlight w:val="none"/>
              </w:rPr>
              <w:t>本项目废蓄电池放入耐酸耐腐蚀箱内收集运输，事故状态下遇破损的废铅蓄电池采用覆膜缠绕密封后置于耐酸耐腐蚀箱内，耐酸耐腐蚀箱加盖密闭，并放置于防腐防渗漏托盘上运输。</w:t>
            </w:r>
          </w:p>
          <w:p w14:paraId="1139B21F">
            <w:pPr>
              <w:bidi w:val="0"/>
              <w:rPr>
                <w:rFonts w:hint="eastAsia"/>
                <w:color w:val="auto"/>
                <w:highlight w:val="none"/>
              </w:rPr>
            </w:pPr>
            <w:r>
              <w:rPr>
                <w:rFonts w:hint="eastAsia"/>
                <w:color w:val="auto"/>
                <w:highlight w:val="none"/>
                <w:lang w:eastAsia="zh-CN"/>
              </w:rPr>
              <w:t>本项目实验室废液及废试剂瓶瓶装密封后，</w:t>
            </w:r>
            <w:r>
              <w:rPr>
                <w:rFonts w:hint="eastAsia"/>
                <w:color w:val="auto"/>
                <w:highlight w:val="none"/>
              </w:rPr>
              <w:t>收集至耐酸耐腐蚀箱内加盖密闭贮存，并放置于防腐防渗漏托盘上运输。</w:t>
            </w:r>
          </w:p>
          <w:p w14:paraId="6C732621">
            <w:pPr>
              <w:bidi w:val="0"/>
              <w:rPr>
                <w:rFonts w:hint="eastAsia"/>
                <w:color w:val="auto"/>
                <w:highlight w:val="none"/>
              </w:rPr>
            </w:pPr>
            <w:r>
              <w:rPr>
                <w:rFonts w:hint="eastAsia"/>
                <w:color w:val="auto"/>
                <w:highlight w:val="none"/>
                <w:lang w:eastAsia="zh-CN"/>
              </w:rPr>
              <w:t>本项目</w:t>
            </w:r>
            <w:r>
              <w:rPr>
                <w:rFonts w:hint="eastAsia"/>
                <w:color w:val="auto"/>
                <w:highlight w:val="none"/>
              </w:rPr>
              <w:t>废劳保用品</w:t>
            </w:r>
            <w:r>
              <w:rPr>
                <w:rFonts w:hint="eastAsia" w:ascii="Times New Roman" w:hAnsi="Times New Roman" w:eastAsia="宋体" w:cs="Times New Roman"/>
                <w:color w:val="auto"/>
                <w:highlight w:val="none"/>
                <w:lang w:eastAsia="zh-CN"/>
              </w:rPr>
              <w:t>在危废贮存点直接更</w:t>
            </w:r>
            <w:r>
              <w:rPr>
                <w:rFonts w:hint="eastAsia"/>
                <w:color w:val="auto"/>
                <w:highlight w:val="none"/>
              </w:rPr>
              <w:t>换后收集贮存在耐酸耐腐蚀箱内。</w:t>
            </w:r>
          </w:p>
          <w:p w14:paraId="0A22CE04">
            <w:pPr>
              <w:bidi w:val="0"/>
              <w:rPr>
                <w:rFonts w:hint="eastAsia"/>
                <w:color w:val="auto"/>
                <w:highlight w:val="none"/>
              </w:rPr>
            </w:pPr>
            <w:r>
              <w:rPr>
                <w:rFonts w:hint="eastAsia"/>
                <w:color w:val="auto"/>
                <w:highlight w:val="none"/>
              </w:rPr>
              <w:t>危险废物收集过程中配备必要的个人防护装备。</w:t>
            </w:r>
          </w:p>
          <w:p w14:paraId="1597191A">
            <w:pPr>
              <w:bidi w:val="0"/>
              <w:rPr>
                <w:rFonts w:hint="eastAsia"/>
                <w:color w:val="auto"/>
                <w:highlight w:val="none"/>
              </w:rPr>
            </w:pPr>
            <w:r>
              <w:rPr>
                <w:rFonts w:hint="eastAsia"/>
                <w:color w:val="auto"/>
                <w:highlight w:val="none"/>
              </w:rPr>
              <w:t>收集至运输作业时，确定相应作业区域，同时要设置作业界限标志和警示牌，留有专用通道，收集时应配备必要的收集工具和包装物，危险废物收集填写记录表，记录表妥善保管，收集结束后应清理和恢复收集作业区域，确保作业区域环境整洁安全。收集危险废物的容器、设备、设施、场所及其他物品转作他用时，应消除污染，确保其使用安全。</w:t>
            </w:r>
          </w:p>
          <w:p w14:paraId="341C147A">
            <w:pPr>
              <w:bidi w:val="0"/>
              <w:rPr>
                <w:b/>
                <w:bCs/>
                <w:color w:val="auto"/>
                <w:highlight w:val="none"/>
              </w:rPr>
            </w:pPr>
            <w:r>
              <w:rPr>
                <w:rFonts w:hint="eastAsia"/>
                <w:b/>
                <w:bCs/>
                <w:color w:val="auto"/>
                <w:highlight w:val="none"/>
              </w:rPr>
              <w:t>5.2厂内运输</w:t>
            </w:r>
          </w:p>
          <w:p w14:paraId="482B21CB">
            <w:pPr>
              <w:bidi w:val="0"/>
              <w:rPr>
                <w:rFonts w:hint="eastAsia"/>
                <w:color w:val="auto"/>
                <w:highlight w:val="none"/>
              </w:rPr>
            </w:pPr>
            <w:r>
              <w:rPr>
                <w:rFonts w:hint="eastAsia"/>
                <w:color w:val="auto"/>
                <w:highlight w:val="none"/>
              </w:rPr>
              <w:t>本项目危险废物分别经收集后，由</w:t>
            </w:r>
            <w:r>
              <w:rPr>
                <w:rFonts w:hint="eastAsia"/>
                <w:color w:val="auto"/>
                <w:highlight w:val="none"/>
                <w:lang w:eastAsia="zh-CN"/>
              </w:rPr>
              <w:t>厂内搬运倾倒车</w:t>
            </w:r>
            <w:r>
              <w:rPr>
                <w:rFonts w:hint="eastAsia"/>
                <w:color w:val="auto"/>
                <w:highlight w:val="none"/>
              </w:rPr>
              <w:t>运输至本项目</w:t>
            </w:r>
            <w:r>
              <w:rPr>
                <w:rFonts w:hint="eastAsia"/>
                <w:color w:val="auto"/>
                <w:highlight w:val="none"/>
                <w:lang w:eastAsia="zh-CN"/>
              </w:rPr>
              <w:t>危险废物贮存点</w:t>
            </w:r>
            <w:r>
              <w:rPr>
                <w:rFonts w:hint="eastAsia"/>
                <w:color w:val="auto"/>
                <w:highlight w:val="none"/>
              </w:rPr>
              <w:t>，运输过程中使用封闭铁桶、硬质PVC耐酸耐腐蚀箱等包装承装，保证运输过程中无跑、冒、滴、漏等现象发生；运输、搬运过程采用专人专车并做到轻拿轻放，保证危废不倾斜翻出。</w:t>
            </w:r>
          </w:p>
          <w:p w14:paraId="4A4F4D19">
            <w:pPr>
              <w:bidi w:val="0"/>
              <w:rPr>
                <w:color w:val="auto"/>
                <w:highlight w:val="none"/>
              </w:rPr>
            </w:pPr>
            <w:r>
              <w:rPr>
                <w:rFonts w:hint="eastAsia"/>
                <w:color w:val="auto"/>
                <w:highlight w:val="none"/>
              </w:rPr>
              <w:t>危险废物内部转运综合考虑厂区的实际情况确定转运路线。作业采用专用的工具，危险废物内部转运填写危险废物厂内转运记录表；危险废物内部转运结束后，应对转运路线进行检查和清理，确保无危险废物遗失在转运路线上，并对转运工具进行清洁。</w:t>
            </w:r>
          </w:p>
          <w:p w14:paraId="7520F3D7">
            <w:pPr>
              <w:bidi w:val="0"/>
              <w:rPr>
                <w:b/>
                <w:bCs/>
                <w:color w:val="auto"/>
                <w:highlight w:val="none"/>
              </w:rPr>
            </w:pPr>
            <w:r>
              <w:rPr>
                <w:rFonts w:hint="eastAsia"/>
                <w:b/>
                <w:bCs/>
                <w:color w:val="auto"/>
                <w:highlight w:val="none"/>
              </w:rPr>
              <w:t>5.3厂内贮存</w:t>
            </w:r>
          </w:p>
          <w:p w14:paraId="22DE7D72">
            <w:pPr>
              <w:bidi w:val="0"/>
              <w:rPr>
                <w:color w:val="auto"/>
                <w:highlight w:val="none"/>
              </w:rPr>
            </w:pPr>
            <w:r>
              <w:rPr>
                <w:rFonts w:hint="eastAsia"/>
                <w:color w:val="auto"/>
                <w:highlight w:val="none"/>
              </w:rPr>
              <w:t>本项目危险废物合理规划转运时间，贮存量接近临界量时，应及时联系转运单位，禁止超量贮存。</w:t>
            </w:r>
          </w:p>
          <w:p w14:paraId="0595A2AE">
            <w:pPr>
              <w:bidi w:val="0"/>
              <w:rPr>
                <w:color w:val="auto"/>
                <w:highlight w:val="none"/>
              </w:rPr>
            </w:pPr>
            <w:r>
              <w:rPr>
                <w:rFonts w:hint="eastAsia"/>
                <w:color w:val="auto"/>
                <w:highlight w:val="none"/>
              </w:rPr>
              <w:t>本项目</w:t>
            </w:r>
            <w:r>
              <w:rPr>
                <w:rFonts w:hint="eastAsia"/>
                <w:color w:val="auto"/>
                <w:highlight w:val="none"/>
                <w:lang w:eastAsia="zh-CN"/>
              </w:rPr>
              <w:t>危险废物贮存点</w:t>
            </w:r>
            <w:r>
              <w:rPr>
                <w:rFonts w:hint="eastAsia"/>
                <w:color w:val="auto"/>
                <w:highlight w:val="none"/>
              </w:rPr>
              <w:t>长</w:t>
            </w:r>
            <w:r>
              <w:rPr>
                <w:rFonts w:hint="eastAsia"/>
                <w:color w:val="auto"/>
                <w:highlight w:val="none"/>
                <w:lang w:val="en-US" w:eastAsia="zh-CN"/>
              </w:rPr>
              <w:t>6</w:t>
            </w:r>
            <w:r>
              <w:rPr>
                <w:rFonts w:hint="eastAsia"/>
                <w:color w:val="auto"/>
                <w:highlight w:val="none"/>
              </w:rPr>
              <w:t>米、宽</w:t>
            </w:r>
            <w:r>
              <w:rPr>
                <w:rFonts w:hint="eastAsia"/>
                <w:color w:val="auto"/>
                <w:highlight w:val="none"/>
                <w:lang w:val="en-US" w:eastAsia="zh-CN"/>
              </w:rPr>
              <w:t>7</w:t>
            </w:r>
            <w:r>
              <w:rPr>
                <w:rFonts w:hint="eastAsia"/>
                <w:color w:val="auto"/>
                <w:highlight w:val="none"/>
              </w:rPr>
              <w:t>米、高</w:t>
            </w:r>
            <w:r>
              <w:rPr>
                <w:rFonts w:hint="eastAsia"/>
                <w:color w:val="auto"/>
                <w:highlight w:val="none"/>
                <w:lang w:val="en-US" w:eastAsia="zh-CN"/>
              </w:rPr>
              <w:t>4</w:t>
            </w:r>
            <w:r>
              <w:rPr>
                <w:rFonts w:hint="eastAsia"/>
                <w:color w:val="auto"/>
                <w:highlight w:val="none"/>
              </w:rPr>
              <w:t>米</w:t>
            </w:r>
            <w:r>
              <w:rPr>
                <w:rFonts w:hint="eastAsia"/>
                <w:color w:val="auto"/>
                <w:highlight w:val="none"/>
                <w:lang w:eastAsia="zh-CN"/>
              </w:rPr>
              <w:t>，</w:t>
            </w:r>
            <w:r>
              <w:rPr>
                <w:rFonts w:hint="eastAsia"/>
                <w:color w:val="auto"/>
                <w:highlight w:val="none"/>
              </w:rPr>
              <w:t>其中设置</w:t>
            </w:r>
            <w:r>
              <w:rPr>
                <w:rFonts w:hint="eastAsia"/>
                <w:color w:val="auto"/>
                <w:highlight w:val="none"/>
                <w:lang w:eastAsia="zh-CN"/>
              </w:rPr>
              <w:t>隔间和</w:t>
            </w:r>
            <w:r>
              <w:rPr>
                <w:rFonts w:hint="eastAsia"/>
                <w:color w:val="auto"/>
                <w:highlight w:val="none"/>
              </w:rPr>
              <w:t>隔挡，可实现分区贮存。</w:t>
            </w:r>
          </w:p>
          <w:p w14:paraId="321C91B3">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w:t>
            </w:r>
            <w:r>
              <w:rPr>
                <w:rFonts w:hint="eastAsia" w:eastAsia="宋体" w:cs="Times New Roman"/>
                <w:color w:val="auto"/>
                <w:sz w:val="24"/>
                <w:szCs w:val="24"/>
                <w:highlight w:val="none"/>
                <w:lang w:eastAsia="zh-CN"/>
              </w:rPr>
              <w:t>废油类</w:t>
            </w:r>
            <w:r>
              <w:rPr>
                <w:rFonts w:hint="eastAsia" w:cs="Times New Roman"/>
                <w:color w:val="auto"/>
                <w:sz w:val="24"/>
                <w:szCs w:val="24"/>
                <w:highlight w:val="none"/>
                <w:lang w:eastAsia="zh-CN"/>
              </w:rPr>
              <w:t>物质</w:t>
            </w:r>
            <w:r>
              <w:rPr>
                <w:rFonts w:hint="eastAsia" w:eastAsia="宋体" w:cs="Times New Roman"/>
                <w:color w:val="auto"/>
                <w:sz w:val="24"/>
                <w:szCs w:val="24"/>
                <w:highlight w:val="none"/>
                <w:lang w:eastAsia="zh-CN"/>
              </w:rPr>
              <w:t>区：</w:t>
            </w:r>
            <w:r>
              <w:rPr>
                <w:rFonts w:hint="eastAsia" w:ascii="Times New Roman" w:hAnsi="Times New Roman" w:eastAsia="Times New Roman" w:cs="Times New Roman"/>
                <w:color w:val="auto"/>
                <w:sz w:val="24"/>
                <w:szCs w:val="24"/>
                <w:highlight w:val="none"/>
              </w:rPr>
              <w:t>本项目</w:t>
            </w:r>
            <w:r>
              <w:rPr>
                <w:rFonts w:hint="eastAsia" w:cs="Times New Roman"/>
                <w:color w:val="auto"/>
                <w:sz w:val="24"/>
                <w:szCs w:val="24"/>
                <w:highlight w:val="none"/>
                <w:lang w:val="en-US" w:eastAsia="zh-CN"/>
              </w:rPr>
              <w:t>废油类物质</w:t>
            </w:r>
            <w:r>
              <w:rPr>
                <w:rFonts w:hint="eastAsia" w:ascii="Times New Roman" w:hAnsi="Times New Roman" w:eastAsia="Times New Roman" w:cs="Times New Roman"/>
                <w:color w:val="auto"/>
                <w:sz w:val="24"/>
                <w:szCs w:val="24"/>
                <w:highlight w:val="none"/>
                <w:lang w:val="en-US" w:eastAsia="zh-CN"/>
              </w:rPr>
              <w:t>最大贮存量为</w:t>
            </w:r>
            <w:r>
              <w:rPr>
                <w:rFonts w:hint="eastAsia" w:eastAsia="Times New Roman" w:cs="Times New Roman"/>
                <w:color w:val="auto"/>
                <w:sz w:val="24"/>
                <w:szCs w:val="24"/>
                <w:highlight w:val="none"/>
                <w:lang w:val="en-US" w:eastAsia="zh-CN"/>
              </w:rPr>
              <w:t>1.3</w:t>
            </w:r>
            <w:r>
              <w:rPr>
                <w:rFonts w:hint="eastAsia" w:ascii="Times New Roman" w:hAnsi="Times New Roman" w:eastAsia="Times New Roman" w:cs="Times New Roman"/>
                <w:color w:val="auto"/>
                <w:sz w:val="24"/>
                <w:szCs w:val="24"/>
                <w:highlight w:val="none"/>
                <w:lang w:val="en-US" w:eastAsia="zh-CN"/>
              </w:rPr>
              <w:t>t，废液压油、废空压机油</w:t>
            </w:r>
            <w:r>
              <w:rPr>
                <w:rFonts w:hint="eastAsia" w:eastAsia="Times New Roman" w:cs="Times New Roman"/>
                <w:color w:val="auto"/>
                <w:sz w:val="24"/>
                <w:szCs w:val="24"/>
                <w:highlight w:val="none"/>
                <w:lang w:val="en-US" w:eastAsia="zh-CN"/>
              </w:rPr>
              <w:t>和</w:t>
            </w:r>
            <w:r>
              <w:rPr>
                <w:rFonts w:hint="eastAsia" w:ascii="Times New Roman" w:hAnsi="Times New Roman" w:eastAsia="Times New Roman" w:cs="Times New Roman"/>
                <w:color w:val="auto"/>
                <w:sz w:val="24"/>
                <w:szCs w:val="24"/>
                <w:highlight w:val="none"/>
                <w:lang w:val="en-US" w:eastAsia="zh-CN"/>
              </w:rPr>
              <w:t>废汽轮机油、废变压器油、废润滑油</w:t>
            </w:r>
            <w:r>
              <w:rPr>
                <w:rFonts w:hint="eastAsia" w:eastAsia="Times New Roman" w:cs="Times New Roman"/>
                <w:color w:val="auto"/>
                <w:sz w:val="24"/>
                <w:szCs w:val="24"/>
                <w:highlight w:val="none"/>
                <w:lang w:val="en-US" w:eastAsia="zh-CN"/>
              </w:rPr>
              <w:t>均</w:t>
            </w:r>
            <w:r>
              <w:rPr>
                <w:rFonts w:hint="eastAsia" w:ascii="Times New Roman" w:hAnsi="Times New Roman" w:eastAsia="Times New Roman" w:cs="Times New Roman"/>
                <w:color w:val="auto"/>
                <w:sz w:val="24"/>
                <w:szCs w:val="24"/>
                <w:highlight w:val="none"/>
              </w:rPr>
              <w:t>采用</w:t>
            </w:r>
            <w:r>
              <w:rPr>
                <w:rFonts w:hint="eastAsia" w:ascii="Times New Roman" w:hAnsi="Times New Roman" w:eastAsia="Times New Roman" w:cs="Times New Roman"/>
                <w:color w:val="auto"/>
                <w:sz w:val="24"/>
                <w:szCs w:val="24"/>
                <w:highlight w:val="none"/>
                <w:lang w:val="en-US" w:eastAsia="zh-CN"/>
              </w:rPr>
              <w:t>桶装加盖</w:t>
            </w:r>
            <w:r>
              <w:rPr>
                <w:rFonts w:hint="eastAsia" w:ascii="Times New Roman" w:hAnsi="Times New Roman" w:eastAsia="Times New Roman" w:cs="Times New Roman"/>
                <w:color w:val="auto"/>
                <w:sz w:val="24"/>
                <w:szCs w:val="24"/>
                <w:highlight w:val="none"/>
              </w:rPr>
              <w:t>密闭存放，按照每只200L桶占地面积约0.26m</w:t>
            </w:r>
            <w:r>
              <w:rPr>
                <w:rFonts w:hint="eastAsia" w:ascii="Times New Roman" w:hAnsi="Times New Roman" w:eastAsia="Times New Roman" w:cs="Times New Roman"/>
                <w:color w:val="auto"/>
                <w:sz w:val="24"/>
                <w:szCs w:val="24"/>
                <w:highlight w:val="none"/>
                <w:vertAlign w:val="superscript"/>
              </w:rPr>
              <w:t>2</w:t>
            </w:r>
            <w:r>
              <w:rPr>
                <w:rFonts w:hint="eastAsia" w:ascii="Times New Roman" w:hAnsi="Times New Roman" w:eastAsia="Times New Roman" w:cs="Times New Roman"/>
                <w:color w:val="auto"/>
                <w:sz w:val="24"/>
                <w:szCs w:val="24"/>
                <w:highlight w:val="none"/>
              </w:rPr>
              <w:t>，废油密度约为895kg/m</w:t>
            </w:r>
            <w:r>
              <w:rPr>
                <w:rFonts w:hint="eastAsia" w:ascii="Times New Roman" w:hAnsi="Times New Roman" w:eastAsia="Times New Roman" w:cs="Times New Roman"/>
                <w:color w:val="auto"/>
                <w:sz w:val="24"/>
                <w:szCs w:val="24"/>
                <w:highlight w:val="none"/>
                <w:vertAlign w:val="superscript"/>
              </w:rPr>
              <w:t>3</w:t>
            </w:r>
            <w:r>
              <w:rPr>
                <w:rFonts w:hint="eastAsia" w:ascii="Times New Roman" w:hAnsi="Times New Roman" w:eastAsia="Times New Roman" w:cs="Times New Roman"/>
                <w:color w:val="auto"/>
                <w:sz w:val="24"/>
                <w:szCs w:val="24"/>
                <w:highlight w:val="none"/>
              </w:rPr>
              <w:t>，充装系数为0.85，则贮存期内</w:t>
            </w:r>
            <w:r>
              <w:rPr>
                <w:rFonts w:hint="eastAsia" w:ascii="Times New Roman" w:hAnsi="Times New Roman" w:eastAsia="Times New Roman" w:cs="Times New Roman"/>
                <w:color w:val="auto"/>
                <w:sz w:val="24"/>
                <w:szCs w:val="24"/>
                <w:highlight w:val="none"/>
                <w:lang w:val="en-US" w:eastAsia="zh-CN"/>
              </w:rPr>
              <w:t>废液压油需要2只铁桶，废空压机油</w:t>
            </w:r>
            <w:r>
              <w:rPr>
                <w:rFonts w:hint="eastAsia" w:eastAsia="Times New Roman" w:cs="Times New Roman"/>
                <w:color w:val="auto"/>
                <w:sz w:val="24"/>
                <w:szCs w:val="24"/>
                <w:highlight w:val="none"/>
                <w:lang w:val="en-US" w:eastAsia="zh-CN"/>
              </w:rPr>
              <w:t>和</w:t>
            </w:r>
            <w:r>
              <w:rPr>
                <w:rFonts w:hint="eastAsia" w:ascii="Times New Roman" w:hAnsi="Times New Roman" w:eastAsia="Times New Roman" w:cs="Times New Roman"/>
                <w:color w:val="auto"/>
                <w:sz w:val="24"/>
                <w:szCs w:val="24"/>
                <w:highlight w:val="none"/>
                <w:lang w:val="en-US" w:eastAsia="zh-CN"/>
              </w:rPr>
              <w:t>废汽轮机油需要4只铁桶，废变压器油需要4只铁桶，废润滑油需要</w:t>
            </w:r>
            <w:r>
              <w:rPr>
                <w:rFonts w:hint="eastAsia" w:eastAsia="Times New Roman" w:cs="Times New Roman"/>
                <w:color w:val="auto"/>
                <w:sz w:val="24"/>
                <w:szCs w:val="24"/>
                <w:highlight w:val="none"/>
                <w:lang w:val="en-US" w:eastAsia="zh-CN"/>
              </w:rPr>
              <w:t>1</w:t>
            </w:r>
            <w:r>
              <w:rPr>
                <w:rFonts w:hint="eastAsia" w:ascii="Times New Roman" w:hAnsi="Times New Roman" w:eastAsia="Times New Roman" w:cs="Times New Roman"/>
                <w:color w:val="auto"/>
                <w:sz w:val="24"/>
                <w:szCs w:val="24"/>
                <w:highlight w:val="none"/>
                <w:lang w:val="en-US" w:eastAsia="zh-CN"/>
              </w:rPr>
              <w:t>只铁桶，</w:t>
            </w:r>
            <w:r>
              <w:rPr>
                <w:rFonts w:hint="eastAsia" w:eastAsia="Times New Roman" w:cs="Times New Roman"/>
                <w:color w:val="auto"/>
                <w:sz w:val="24"/>
                <w:szCs w:val="24"/>
                <w:highlight w:val="none"/>
                <w:lang w:val="en-US" w:eastAsia="zh-CN"/>
              </w:rPr>
              <w:t>故</w:t>
            </w:r>
            <w:r>
              <w:rPr>
                <w:rFonts w:hint="eastAsia" w:cs="Times New Roman"/>
                <w:color w:val="auto"/>
                <w:sz w:val="24"/>
                <w:szCs w:val="24"/>
                <w:highlight w:val="none"/>
                <w:lang w:val="en-US" w:eastAsia="zh-CN"/>
              </w:rPr>
              <w:t>废油类物质</w:t>
            </w:r>
            <w:r>
              <w:rPr>
                <w:rFonts w:hint="eastAsia" w:eastAsia="Times New Roman" w:cs="Times New Roman"/>
                <w:color w:val="auto"/>
                <w:sz w:val="24"/>
                <w:szCs w:val="24"/>
                <w:highlight w:val="none"/>
                <w:lang w:val="en-US" w:eastAsia="zh-CN"/>
              </w:rPr>
              <w:t>共</w:t>
            </w:r>
            <w:r>
              <w:rPr>
                <w:rFonts w:hint="eastAsia" w:ascii="Times New Roman" w:hAnsi="Times New Roman" w:eastAsia="Times New Roman" w:cs="Times New Roman"/>
                <w:color w:val="auto"/>
                <w:sz w:val="24"/>
                <w:szCs w:val="24"/>
                <w:highlight w:val="none"/>
              </w:rPr>
              <w:t>需要约</w:t>
            </w:r>
            <w:r>
              <w:rPr>
                <w:rFonts w:hint="eastAsia" w:eastAsia="Times New Roman" w:cs="Times New Roman"/>
                <w:color w:val="auto"/>
                <w:sz w:val="24"/>
                <w:szCs w:val="24"/>
                <w:highlight w:val="none"/>
                <w:lang w:val="en-US" w:eastAsia="zh-CN"/>
              </w:rPr>
              <w:t>11</w:t>
            </w:r>
            <w:r>
              <w:rPr>
                <w:rFonts w:hint="eastAsia" w:ascii="Times New Roman" w:hAnsi="Times New Roman" w:eastAsia="Times New Roman" w:cs="Times New Roman"/>
                <w:color w:val="auto"/>
                <w:sz w:val="24"/>
                <w:szCs w:val="24"/>
                <w:highlight w:val="none"/>
              </w:rPr>
              <w:t>只铁桶，按单层贮存考虑，则所需贮存面积</w:t>
            </w:r>
            <w:r>
              <w:rPr>
                <w:rFonts w:hint="eastAsia" w:eastAsia="宋体" w:cs="Times New Roman"/>
                <w:color w:val="auto"/>
                <w:sz w:val="24"/>
                <w:szCs w:val="24"/>
                <w:highlight w:val="none"/>
                <w:lang w:eastAsia="zh-CN"/>
              </w:rPr>
              <w:t>共</w:t>
            </w:r>
            <w:r>
              <w:rPr>
                <w:rFonts w:hint="eastAsia" w:ascii="Times New Roman" w:hAnsi="Times New Roman" w:eastAsia="Times New Roman" w:cs="Times New Roman"/>
                <w:color w:val="auto"/>
                <w:sz w:val="24"/>
                <w:szCs w:val="24"/>
                <w:highlight w:val="none"/>
              </w:rPr>
              <w:t>约为</w:t>
            </w:r>
            <w:r>
              <w:rPr>
                <w:rFonts w:hint="eastAsia" w:eastAsia="Times New Roman" w:cs="Times New Roman"/>
                <w:color w:val="auto"/>
                <w:sz w:val="24"/>
                <w:szCs w:val="24"/>
                <w:highlight w:val="none"/>
                <w:lang w:val="en-US" w:eastAsia="zh-CN"/>
              </w:rPr>
              <w:t>2.86</w:t>
            </w:r>
            <w:r>
              <w:rPr>
                <w:rFonts w:hint="eastAsia" w:ascii="Times New Roman" w:hAnsi="Times New Roman" w:eastAsia="Times New Roman" w:cs="Times New Roman"/>
                <w:color w:val="auto"/>
                <w:sz w:val="24"/>
                <w:szCs w:val="24"/>
                <w:highlight w:val="none"/>
              </w:rPr>
              <w:t>m</w:t>
            </w:r>
            <w:r>
              <w:rPr>
                <w:rFonts w:hint="eastAsia" w:ascii="Times New Roman" w:hAnsi="Times New Roman" w:eastAsia="Times New Roman" w:cs="Times New Roman"/>
                <w:color w:val="auto"/>
                <w:sz w:val="24"/>
                <w:szCs w:val="24"/>
                <w:highlight w:val="none"/>
                <w:vertAlign w:val="superscript"/>
              </w:rPr>
              <w:t>2</w:t>
            </w:r>
            <w:r>
              <w:rPr>
                <w:rFonts w:hint="eastAsia" w:eastAsia="宋体" w:cs="Times New Roman"/>
                <w:color w:val="auto"/>
                <w:sz w:val="24"/>
                <w:szCs w:val="24"/>
                <w:highlight w:val="none"/>
                <w:vertAlign w:val="baseline"/>
                <w:lang w:eastAsia="zh-CN"/>
              </w:rPr>
              <w:t>，</w:t>
            </w:r>
            <w:r>
              <w:rPr>
                <w:rFonts w:hint="eastAsia"/>
                <w:color w:val="auto"/>
                <w:highlight w:val="none"/>
                <w:lang w:val="en-US" w:eastAsia="zh-CN"/>
              </w:rPr>
              <w:t>本项目设计</w:t>
            </w:r>
            <w:r>
              <w:rPr>
                <w:rFonts w:hint="eastAsia" w:cs="Times New Roman"/>
                <w:color w:val="auto"/>
                <w:sz w:val="24"/>
                <w:szCs w:val="24"/>
                <w:highlight w:val="none"/>
                <w:lang w:val="en-US" w:eastAsia="zh-CN"/>
              </w:rPr>
              <w:t>废油类物质</w:t>
            </w:r>
            <w:r>
              <w:rPr>
                <w:rFonts w:hint="eastAsia" w:ascii="Times New Roman" w:hAnsi="Times New Roman" w:eastAsia="宋体" w:cs="Times New Roman"/>
                <w:color w:val="auto"/>
                <w:highlight w:val="none"/>
                <w:lang w:eastAsia="zh-CN"/>
              </w:rPr>
              <w:t>贮存区面积约为</w:t>
            </w:r>
            <w:r>
              <w:rPr>
                <w:rFonts w:hint="eastAsia" w:cs="Times New Roman"/>
                <w:color w:val="auto"/>
                <w:highlight w:val="none"/>
                <w:lang w:val="en-US" w:eastAsia="zh-CN"/>
              </w:rPr>
              <w:t>6.25m</w:t>
            </w:r>
            <w:r>
              <w:rPr>
                <w:rFonts w:hint="eastAsia"/>
                <w:color w:val="auto"/>
                <w:highlight w:val="none"/>
                <w:vertAlign w:val="superscript"/>
                <w:lang w:val="en-US" w:eastAsia="zh-CN"/>
              </w:rPr>
              <w:t>2</w:t>
            </w:r>
            <w:r>
              <w:rPr>
                <w:rFonts w:hint="eastAsia"/>
                <w:color w:val="auto"/>
                <w:highlight w:val="none"/>
                <w:lang w:val="en-US" w:eastAsia="zh-CN"/>
              </w:rPr>
              <w:t>，满足</w:t>
            </w:r>
            <w:r>
              <w:rPr>
                <w:rFonts w:hint="eastAsia" w:ascii="Times New Roman" w:hAnsi="Times New Roman" w:eastAsia="宋体" w:cs="Times New Roman"/>
                <w:color w:val="auto"/>
                <w:highlight w:val="none"/>
                <w:lang w:eastAsia="zh-CN"/>
              </w:rPr>
              <w:t>贮存要求</w:t>
            </w:r>
            <w:r>
              <w:rPr>
                <w:rFonts w:hint="eastAsia" w:ascii="Times New Roman" w:hAnsi="Times New Roman" w:eastAsia="Times New Roman" w:cs="Times New Roman"/>
                <w:color w:val="auto"/>
                <w:sz w:val="24"/>
                <w:szCs w:val="24"/>
                <w:highlight w:val="none"/>
              </w:rPr>
              <w:t>。</w:t>
            </w:r>
          </w:p>
          <w:p w14:paraId="31BA62E1">
            <w:pPr>
              <w:rPr>
                <w:rFonts w:hint="eastAsia" w:ascii="Times New Roman" w:hAnsi="Times New Roman" w:eastAsia="宋体" w:cs="Times New Roman"/>
                <w:color w:val="auto"/>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eastAsia" w:eastAsia="宋体" w:cs="Times New Roman"/>
                <w:color w:val="auto"/>
                <w:sz w:val="24"/>
                <w:szCs w:val="24"/>
                <w:highlight w:val="none"/>
                <w:lang w:eastAsia="zh-CN"/>
              </w:rPr>
              <w:t>废桶区：本项目涉及废油桶、废油漆桶最大贮存量为</w:t>
            </w:r>
            <w:r>
              <w:rPr>
                <w:rFonts w:hint="eastAsia" w:cs="Times New Roman"/>
                <w:color w:val="auto"/>
                <w:sz w:val="24"/>
                <w:szCs w:val="24"/>
                <w:highlight w:val="none"/>
                <w:lang w:val="en-US" w:eastAsia="zh-CN"/>
              </w:rPr>
              <w:t>0.68</w:t>
            </w:r>
            <w:r>
              <w:rPr>
                <w:rFonts w:hint="eastAsia" w:eastAsia="宋体" w:cs="Times New Roman"/>
                <w:color w:val="auto"/>
                <w:sz w:val="24"/>
                <w:szCs w:val="24"/>
                <w:highlight w:val="none"/>
                <w:lang w:val="en-US" w:eastAsia="zh-CN"/>
              </w:rPr>
              <w:t>t，</w:t>
            </w:r>
            <w:r>
              <w:rPr>
                <w:rFonts w:hint="eastAsia" w:ascii="Times New Roman" w:hAnsi="Times New Roman" w:eastAsia="Times New Roman" w:cs="Times New Roman"/>
                <w:color w:val="auto"/>
                <w:sz w:val="24"/>
                <w:szCs w:val="24"/>
                <w:highlight w:val="none"/>
              </w:rPr>
              <w:t>按照每只200L桶占地面积约0.26m</w:t>
            </w:r>
            <w:r>
              <w:rPr>
                <w:rFonts w:hint="eastAsia" w:ascii="Times New Roman" w:hAnsi="Times New Roman" w:eastAsia="Times New Roman" w:cs="Times New Roman"/>
                <w:color w:val="auto"/>
                <w:sz w:val="24"/>
                <w:szCs w:val="24"/>
                <w:highlight w:val="none"/>
                <w:vertAlign w:val="superscript"/>
              </w:rPr>
              <w:t>2</w:t>
            </w:r>
            <w:r>
              <w:rPr>
                <w:rFonts w:hint="eastAsia" w:ascii="Times New Roman" w:hAnsi="Times New Roman" w:eastAsia="Times New Roman" w:cs="Times New Roman"/>
                <w:color w:val="auto"/>
                <w:kern w:val="2"/>
                <w:sz w:val="24"/>
                <w:szCs w:val="24"/>
                <w:highlight w:val="none"/>
                <w:lang w:val="en-US" w:eastAsia="zh-CN" w:bidi="ar-SA"/>
              </w:rPr>
              <w:t>，每只铁桶空桶重量为170kg，则</w:t>
            </w:r>
            <w:r>
              <w:rPr>
                <w:rFonts w:hint="eastAsia" w:eastAsia="宋体" w:cs="Times New Roman"/>
                <w:color w:val="auto"/>
                <w:sz w:val="24"/>
                <w:szCs w:val="24"/>
                <w:highlight w:val="none"/>
                <w:lang w:eastAsia="zh-CN"/>
              </w:rPr>
              <w:t>废油桶、废油漆桶最大能贮存</w:t>
            </w:r>
            <w:r>
              <w:rPr>
                <w:rFonts w:hint="eastAsia" w:cs="Times New Roman"/>
                <w:color w:val="auto"/>
                <w:sz w:val="24"/>
                <w:szCs w:val="24"/>
                <w:highlight w:val="none"/>
                <w:lang w:val="en-US" w:eastAsia="zh-CN"/>
              </w:rPr>
              <w:t>4</w:t>
            </w:r>
            <w:r>
              <w:rPr>
                <w:rFonts w:hint="eastAsia" w:eastAsia="宋体" w:cs="Times New Roman"/>
                <w:color w:val="auto"/>
                <w:sz w:val="24"/>
                <w:szCs w:val="24"/>
                <w:highlight w:val="none"/>
                <w:lang w:val="en-US" w:eastAsia="zh-CN"/>
              </w:rPr>
              <w:t>只，所需贮存面积为</w:t>
            </w:r>
            <w:r>
              <w:rPr>
                <w:rFonts w:hint="eastAsia" w:cs="Times New Roman"/>
                <w:color w:val="auto"/>
                <w:sz w:val="24"/>
                <w:szCs w:val="24"/>
                <w:highlight w:val="none"/>
                <w:lang w:val="en-US" w:eastAsia="zh-CN"/>
              </w:rPr>
              <w:t>1.04</w:t>
            </w:r>
            <w:r>
              <w:rPr>
                <w:rFonts w:hint="eastAsia" w:ascii="Times New Roman" w:hAnsi="Times New Roman" w:eastAsia="Times New Roman" w:cs="Times New Roman"/>
                <w:color w:val="auto"/>
                <w:sz w:val="24"/>
                <w:szCs w:val="24"/>
                <w:highlight w:val="none"/>
              </w:rPr>
              <w:t>m</w:t>
            </w:r>
            <w:r>
              <w:rPr>
                <w:rFonts w:hint="eastAsia" w:ascii="Times New Roman" w:hAnsi="Times New Roman" w:eastAsia="Times New Roman" w:cs="Times New Roman"/>
                <w:color w:val="auto"/>
                <w:sz w:val="24"/>
                <w:szCs w:val="24"/>
                <w:highlight w:val="none"/>
                <w:vertAlign w:val="superscript"/>
              </w:rPr>
              <w:t>2</w:t>
            </w:r>
            <w:r>
              <w:rPr>
                <w:rFonts w:hint="eastAsia" w:ascii="Times New Roman" w:hAnsi="Times New Roman" w:eastAsia="宋体" w:cs="Times New Roman"/>
                <w:color w:val="auto"/>
                <w:kern w:val="2"/>
                <w:sz w:val="24"/>
                <w:szCs w:val="24"/>
                <w:highlight w:val="none"/>
                <w:lang w:val="en-US" w:eastAsia="zh-CN" w:bidi="ar-SA"/>
              </w:rPr>
              <w:t>，本项目设计</w:t>
            </w:r>
            <w:r>
              <w:rPr>
                <w:rFonts w:hint="eastAsia" w:eastAsia="宋体" w:cs="Times New Roman"/>
                <w:color w:val="auto"/>
                <w:sz w:val="24"/>
                <w:szCs w:val="24"/>
                <w:highlight w:val="none"/>
                <w:lang w:eastAsia="zh-CN"/>
              </w:rPr>
              <w:t>废油桶、废油漆桶贮存区面积约为</w:t>
            </w:r>
            <w:r>
              <w:rPr>
                <w:rFonts w:hint="eastAsia" w:eastAsia="宋体" w:cs="Times New Roman"/>
                <w:color w:val="auto"/>
                <w:sz w:val="24"/>
                <w:szCs w:val="24"/>
                <w:highlight w:val="none"/>
                <w:lang w:val="en-US" w:eastAsia="zh-CN"/>
              </w:rPr>
              <w:t>3.75</w:t>
            </w:r>
            <w:r>
              <w:rPr>
                <w:rFonts w:hint="eastAsia" w:cs="Times New Roman"/>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lang w:val="en-US" w:eastAsia="zh-CN"/>
              </w:rPr>
              <w:t>，满足</w:t>
            </w:r>
            <w:r>
              <w:rPr>
                <w:rFonts w:hint="eastAsia" w:ascii="Times New Roman" w:hAnsi="Times New Roman" w:eastAsia="宋体" w:cs="Times New Roman"/>
                <w:color w:val="auto"/>
                <w:highlight w:val="none"/>
                <w:lang w:eastAsia="zh-CN"/>
              </w:rPr>
              <w:t>贮存要求。</w:t>
            </w:r>
          </w:p>
          <w:p w14:paraId="022BE036">
            <w:pPr>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w:t>
            </w:r>
            <w:r>
              <w:rPr>
                <w:rFonts w:hint="eastAsia" w:cs="Times New Roman"/>
                <w:color w:val="auto"/>
                <w:highlight w:val="none"/>
                <w:lang w:val="en-US" w:eastAsia="zh-CN"/>
              </w:rPr>
              <w:t>3</w:t>
            </w:r>
            <w:r>
              <w:rPr>
                <w:rFonts w:hint="eastAsia" w:cs="Times New Roman"/>
                <w:color w:val="auto"/>
                <w:highlight w:val="none"/>
                <w:lang w:eastAsia="zh-CN"/>
              </w:rPr>
              <w:t>）</w:t>
            </w:r>
            <w:r>
              <w:rPr>
                <w:rFonts w:hint="eastAsia" w:ascii="Times New Roman" w:hAnsi="Times New Roman" w:eastAsia="宋体" w:cs="Times New Roman"/>
                <w:color w:val="auto"/>
                <w:highlight w:val="none"/>
                <w:lang w:eastAsia="zh-CN"/>
              </w:rPr>
              <w:t>废蓄电池区：本项目设备采用电池机组进行参照《电池废料贮运规范》（GB/T 26493-2011）中表2不同贮存方式的要求：规范要求单一贮存区最大贮存量为200-300t；贮存区之间以通道隔开；通道宽度要求1-2m；墙距宽度要求为0.3m-0.5m；贮存区间隔要求为0.5-1.0m。本项目废铅蓄电池最大贮存量为0.</w:t>
            </w:r>
            <w:r>
              <w:rPr>
                <w:rFonts w:hint="eastAsia" w:cs="Times New Roman"/>
                <w:color w:val="auto"/>
                <w:highlight w:val="none"/>
                <w:lang w:val="en-US" w:eastAsia="zh-CN"/>
              </w:rPr>
              <w:t>52</w:t>
            </w:r>
            <w:r>
              <w:rPr>
                <w:rFonts w:hint="eastAsia" w:ascii="Times New Roman" w:hAnsi="Times New Roman" w:eastAsia="宋体" w:cs="Times New Roman"/>
                <w:color w:val="auto"/>
                <w:highlight w:val="none"/>
                <w:lang w:eastAsia="zh-CN"/>
              </w:rPr>
              <w:t>t，贮存区间隔通道宽度取0.5m，本项目废铅蓄电池贮存点建筑面积约为</w:t>
            </w:r>
            <w:r>
              <w:rPr>
                <w:rFonts w:hint="eastAsia" w:ascii="Times New Roman" w:hAnsi="Times New Roman" w:eastAsia="宋体" w:cs="Times New Roman"/>
                <w:color w:val="auto"/>
                <w:highlight w:val="none"/>
                <w:lang w:val="en-US" w:eastAsia="zh-CN"/>
              </w:rPr>
              <w:t>10</w:t>
            </w:r>
            <w:r>
              <w:rPr>
                <w:rFonts w:hint="eastAsia" w:ascii="Times New Roman" w:hAnsi="Times New Roman" w:eastAsia="宋体" w:cs="Times New Roman"/>
                <w:color w:val="auto"/>
                <w:highlight w:val="none"/>
                <w:lang w:eastAsia="zh-CN"/>
              </w:rPr>
              <w:t>m</w:t>
            </w:r>
            <w:r>
              <w:rPr>
                <w:rFonts w:hint="eastAsia" w:ascii="Times New Roman" w:hAnsi="Times New Roman" w:eastAsia="宋体" w:cs="Times New Roman"/>
                <w:color w:val="auto"/>
                <w:highlight w:val="none"/>
                <w:vertAlign w:val="superscript"/>
                <w:lang w:eastAsia="zh-CN"/>
              </w:rPr>
              <w:t>2</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4</w:t>
            </w:r>
            <w:r>
              <w:rPr>
                <w:rFonts w:hint="eastAsia" w:ascii="Times New Roman" w:hAnsi="Times New Roman" w:eastAsia="宋体" w:cs="Times New Roman"/>
                <w:color w:val="auto"/>
                <w:highlight w:val="none"/>
                <w:lang w:eastAsia="zh-CN"/>
              </w:rPr>
              <w:t>m×</w:t>
            </w:r>
            <w:r>
              <w:rPr>
                <w:rFonts w:hint="eastAsia" w:ascii="Times New Roman" w:hAnsi="Times New Roman" w:eastAsia="宋体" w:cs="Times New Roman"/>
                <w:color w:val="auto"/>
                <w:highlight w:val="none"/>
                <w:lang w:val="en-US" w:eastAsia="zh-CN"/>
              </w:rPr>
              <w:t>2.5</w:t>
            </w:r>
            <w:r>
              <w:rPr>
                <w:rFonts w:hint="eastAsia" w:ascii="Times New Roman" w:hAnsi="Times New Roman" w:eastAsia="宋体" w:cs="Times New Roman"/>
                <w:color w:val="auto"/>
                <w:highlight w:val="none"/>
                <w:lang w:eastAsia="zh-CN"/>
              </w:rPr>
              <w:t>m），则满足贮存要求。</w:t>
            </w:r>
          </w:p>
          <w:p w14:paraId="13ECDEEB">
            <w:pPr>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w:t>
            </w:r>
            <w:r>
              <w:rPr>
                <w:rFonts w:hint="eastAsia" w:cs="Times New Roman"/>
                <w:color w:val="auto"/>
                <w:highlight w:val="none"/>
                <w:lang w:val="en-US" w:eastAsia="zh-CN"/>
              </w:rPr>
              <w:t>4</w:t>
            </w:r>
            <w:r>
              <w:rPr>
                <w:rFonts w:hint="eastAsia" w:cs="Times New Roman"/>
                <w:color w:val="auto"/>
                <w:highlight w:val="none"/>
                <w:lang w:eastAsia="zh-CN"/>
              </w:rPr>
              <w:t>）</w:t>
            </w:r>
            <w:r>
              <w:rPr>
                <w:rFonts w:hint="eastAsia" w:ascii="Times New Roman" w:hAnsi="Times New Roman" w:eastAsia="宋体" w:cs="Times New Roman"/>
                <w:color w:val="auto"/>
                <w:highlight w:val="none"/>
                <w:lang w:eastAsia="zh-CN"/>
              </w:rPr>
              <w:t>实验室废液及废试剂瓶区：</w:t>
            </w:r>
            <w:r>
              <w:rPr>
                <w:rFonts w:hint="eastAsia" w:ascii="Times New Roman" w:hAnsi="Times New Roman" w:eastAsia="宋体" w:cs="Times New Roman"/>
                <w:color w:val="auto"/>
                <w:highlight w:val="none"/>
                <w:lang w:val="en-US" w:eastAsia="zh-CN"/>
              </w:rPr>
              <w:t>实验室废液及废试剂瓶</w:t>
            </w:r>
            <w:r>
              <w:rPr>
                <w:rFonts w:hint="eastAsia" w:cs="Times New Roman"/>
                <w:color w:val="auto"/>
                <w:highlight w:val="none"/>
                <w:lang w:val="en-US" w:eastAsia="zh-CN"/>
              </w:rPr>
              <w:t>经</w:t>
            </w:r>
            <w:r>
              <w:rPr>
                <w:rFonts w:hint="eastAsia" w:ascii="Times New Roman" w:hAnsi="Times New Roman" w:eastAsia="宋体" w:cs="Times New Roman"/>
                <w:color w:val="auto"/>
                <w:highlight w:val="none"/>
                <w:lang w:val="en-US" w:eastAsia="zh-CN"/>
              </w:rPr>
              <w:t>瓶装密封后用</w:t>
            </w:r>
            <w:r>
              <w:rPr>
                <w:rFonts w:hint="default" w:ascii="Times New Roman" w:hAnsi="Times New Roman" w:eastAsia="宋体" w:cs="Times New Roman"/>
                <w:color w:val="auto"/>
                <w:highlight w:val="none"/>
                <w:lang w:val="en-US" w:eastAsia="zh-CN"/>
              </w:rPr>
              <w:t>耐酸耐腐蚀箱承装，按照耐酸耐腐蚀箱占地面积约为0.1</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，本项目设计</w:t>
            </w:r>
            <w:r>
              <w:rPr>
                <w:rFonts w:hint="eastAsia" w:ascii="Times New Roman" w:hAnsi="Times New Roman" w:eastAsia="宋体" w:cs="Times New Roman"/>
                <w:color w:val="auto"/>
                <w:highlight w:val="none"/>
                <w:lang w:eastAsia="zh-CN"/>
              </w:rPr>
              <w:t>实验室废液及废试剂瓶</w:t>
            </w:r>
            <w:r>
              <w:rPr>
                <w:rFonts w:hint="default" w:ascii="Times New Roman" w:hAnsi="Times New Roman" w:eastAsia="宋体" w:cs="Times New Roman"/>
                <w:color w:val="auto"/>
                <w:highlight w:val="none"/>
                <w:lang w:val="en-US" w:eastAsia="zh-CN"/>
              </w:rPr>
              <w:t>贮存区面积约为</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，满足贮存要求。</w:t>
            </w:r>
          </w:p>
          <w:p w14:paraId="2D954F79">
            <w:pPr>
              <w:rPr>
                <w:rFonts w:hint="default" w:ascii="Times New Roman" w:hAnsi="Times New Roman" w:eastAsia="宋体"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5</w:t>
            </w:r>
            <w:r>
              <w:rPr>
                <w:rFonts w:hint="eastAsia" w:cs="Times New Roman"/>
                <w:color w:val="auto"/>
                <w:highlight w:val="none"/>
                <w:lang w:eastAsia="zh-CN"/>
              </w:rPr>
              <w:t>）</w:t>
            </w:r>
            <w:r>
              <w:rPr>
                <w:rFonts w:hint="eastAsia" w:ascii="Times New Roman" w:hAnsi="Times New Roman" w:eastAsia="宋体" w:cs="Times New Roman"/>
                <w:color w:val="auto"/>
                <w:highlight w:val="none"/>
                <w:lang w:eastAsia="zh-CN"/>
              </w:rPr>
              <w:t>废劳保用品区：</w:t>
            </w:r>
            <w:r>
              <w:rPr>
                <w:rFonts w:hint="default" w:ascii="Times New Roman" w:hAnsi="Times New Roman" w:eastAsia="宋体" w:cs="Times New Roman"/>
                <w:color w:val="auto"/>
                <w:highlight w:val="none"/>
                <w:lang w:val="en-US" w:eastAsia="zh-CN"/>
              </w:rPr>
              <w:t>废劳保用品采用耐酸耐腐蚀箱承装，按照耐酸耐腐蚀箱占地面积约为0.1</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，本项目设计</w:t>
            </w:r>
            <w:r>
              <w:rPr>
                <w:rFonts w:hint="eastAsia" w:ascii="Times New Roman" w:hAnsi="Times New Roman" w:eastAsia="宋体" w:cs="Times New Roman"/>
                <w:color w:val="auto"/>
                <w:highlight w:val="none"/>
                <w:lang w:eastAsia="zh-CN"/>
              </w:rPr>
              <w:t>废劳保用品</w:t>
            </w:r>
            <w:r>
              <w:rPr>
                <w:rFonts w:hint="default" w:ascii="Times New Roman" w:hAnsi="Times New Roman" w:eastAsia="宋体" w:cs="Times New Roman"/>
                <w:color w:val="auto"/>
                <w:highlight w:val="none"/>
                <w:lang w:val="en-US" w:eastAsia="zh-CN"/>
              </w:rPr>
              <w:t>贮存区面积约为1m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，满足废劳保用品贮存要求。</w:t>
            </w:r>
          </w:p>
          <w:p w14:paraId="16477E6A">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综上所述，本项目</w:t>
            </w:r>
            <w:r>
              <w:rPr>
                <w:rFonts w:hint="eastAsia" w:eastAsia="宋体" w:cs="Times New Roman"/>
                <w:color w:val="auto"/>
                <w:sz w:val="24"/>
                <w:szCs w:val="24"/>
                <w:highlight w:val="none"/>
                <w:lang w:eastAsia="zh-CN"/>
              </w:rPr>
              <w:t>设计危险废物</w:t>
            </w:r>
            <w:r>
              <w:rPr>
                <w:rFonts w:hint="eastAsia" w:ascii="Times New Roman" w:hAnsi="Times New Roman" w:eastAsia="Times New Roman" w:cs="Times New Roman"/>
                <w:color w:val="auto"/>
                <w:sz w:val="24"/>
                <w:szCs w:val="24"/>
                <w:highlight w:val="none"/>
                <w:lang w:val="en-US" w:eastAsia="zh-CN"/>
              </w:rPr>
              <w:t>贮存所需总</w:t>
            </w:r>
            <w:r>
              <w:rPr>
                <w:rFonts w:hint="eastAsia" w:ascii="Times New Roman" w:hAnsi="Times New Roman" w:eastAsia="Times New Roman" w:cs="Times New Roman"/>
                <w:color w:val="auto"/>
                <w:sz w:val="24"/>
                <w:szCs w:val="24"/>
                <w:highlight w:val="none"/>
              </w:rPr>
              <w:t>建筑面积约为</w:t>
            </w:r>
            <w:r>
              <w:rPr>
                <w:rFonts w:hint="eastAsia" w:ascii="Times New Roman" w:hAnsi="Times New Roman" w:eastAsia="宋体" w:cs="Times New Roman"/>
                <w:color w:val="auto"/>
                <w:sz w:val="24"/>
                <w:szCs w:val="24"/>
                <w:highlight w:val="none"/>
                <w:lang w:val="en-US" w:eastAsia="zh-CN"/>
              </w:rPr>
              <w:t>25</w:t>
            </w:r>
            <w:r>
              <w:rPr>
                <w:rFonts w:hint="eastAsia" w:ascii="Times New Roman" w:hAnsi="Times New Roman" w:eastAsia="Times New Roman" w:cs="Times New Roman"/>
                <w:color w:val="auto"/>
                <w:sz w:val="24"/>
                <w:szCs w:val="24"/>
                <w:highlight w:val="none"/>
                <w:lang w:val="en-US" w:eastAsia="zh-CN"/>
              </w:rPr>
              <w:t>m</w:t>
            </w:r>
            <w:r>
              <w:rPr>
                <w:rFonts w:hint="eastAsia" w:ascii="Times New Roman" w:hAnsi="Times New Roman" w:eastAsia="Times New Roman" w:cs="Times New Roman"/>
                <w:color w:val="auto"/>
                <w:sz w:val="24"/>
                <w:szCs w:val="24"/>
                <w:highlight w:val="none"/>
                <w:vertAlign w:val="superscript"/>
                <w:lang w:val="en-US" w:eastAsia="zh-CN"/>
              </w:rPr>
              <w:t>2</w:t>
            </w:r>
            <w:r>
              <w:rPr>
                <w:rFonts w:hint="eastAsia" w:ascii="Times New Roman" w:hAnsi="Times New Roman" w:eastAsia="Times New Roman" w:cs="Times New Roman"/>
                <w:color w:val="auto"/>
                <w:sz w:val="24"/>
                <w:szCs w:val="24"/>
                <w:highlight w:val="none"/>
                <w:vertAlign w:val="baseline"/>
                <w:lang w:val="en-US" w:eastAsia="zh-CN"/>
              </w:rPr>
              <w:t>，</w:t>
            </w:r>
            <w:r>
              <w:rPr>
                <w:rFonts w:hint="eastAsia" w:ascii="Times New Roman" w:hAnsi="Times New Roman" w:eastAsia="Times New Roman" w:cs="Times New Roman"/>
                <w:color w:val="auto"/>
                <w:sz w:val="24"/>
                <w:szCs w:val="24"/>
                <w:highlight w:val="none"/>
                <w:lang w:val="en-US" w:eastAsia="zh-CN"/>
              </w:rPr>
              <w:t>而本危废</w:t>
            </w:r>
            <w:r>
              <w:rPr>
                <w:rFonts w:hint="eastAsia" w:eastAsia="Times New Roman" w:cs="Times New Roman"/>
                <w:color w:val="auto"/>
                <w:sz w:val="24"/>
                <w:szCs w:val="24"/>
                <w:highlight w:val="none"/>
                <w:lang w:val="en-US" w:eastAsia="zh-CN"/>
              </w:rPr>
              <w:t>贮存点</w:t>
            </w:r>
            <w:r>
              <w:rPr>
                <w:rFonts w:hint="eastAsia" w:ascii="Times New Roman" w:hAnsi="Times New Roman" w:eastAsia="Times New Roman" w:cs="Times New Roman"/>
                <w:color w:val="auto"/>
                <w:sz w:val="24"/>
                <w:szCs w:val="24"/>
                <w:highlight w:val="none"/>
                <w:lang w:val="en-US" w:eastAsia="zh-CN"/>
              </w:rPr>
              <w:t>总建筑面积为</w:t>
            </w:r>
            <w:r>
              <w:rPr>
                <w:rFonts w:hint="eastAsia" w:eastAsia="Times New Roman" w:cs="Times New Roman"/>
                <w:color w:val="auto"/>
                <w:sz w:val="24"/>
                <w:szCs w:val="24"/>
                <w:highlight w:val="none"/>
                <w:lang w:val="en-US" w:eastAsia="zh-CN"/>
              </w:rPr>
              <w:t>42</w:t>
            </w:r>
            <w:r>
              <w:rPr>
                <w:rFonts w:hint="eastAsia" w:ascii="Times New Roman" w:hAnsi="Times New Roman" w:eastAsia="Times New Roman" w:cs="Times New Roman"/>
                <w:color w:val="auto"/>
                <w:sz w:val="24"/>
                <w:szCs w:val="24"/>
                <w:highlight w:val="none"/>
                <w:lang w:val="en-US" w:eastAsia="zh-CN"/>
              </w:rPr>
              <w:t>m</w:t>
            </w:r>
            <w:r>
              <w:rPr>
                <w:rFonts w:hint="eastAsia" w:ascii="Times New Roman" w:hAnsi="Times New Roman" w:eastAsia="Times New Roman" w:cs="Times New Roman"/>
                <w:color w:val="auto"/>
                <w:sz w:val="24"/>
                <w:szCs w:val="24"/>
                <w:highlight w:val="none"/>
                <w:vertAlign w:val="superscript"/>
                <w:lang w:val="en-US" w:eastAsia="zh-CN"/>
              </w:rPr>
              <w:t>2</w:t>
            </w:r>
            <w:r>
              <w:rPr>
                <w:rFonts w:hint="eastAsia" w:ascii="Times New Roman" w:hAnsi="Times New Roman" w:eastAsia="Times New Roman" w:cs="Times New Roman"/>
                <w:color w:val="auto"/>
                <w:sz w:val="24"/>
                <w:szCs w:val="24"/>
                <w:highlight w:val="none"/>
              </w:rPr>
              <w:t>，</w:t>
            </w:r>
            <w:r>
              <w:rPr>
                <w:rFonts w:hint="eastAsia" w:ascii="Times New Roman" w:hAnsi="Times New Roman" w:eastAsia="Times New Roman" w:cs="Times New Roman"/>
                <w:color w:val="auto"/>
                <w:sz w:val="24"/>
                <w:szCs w:val="24"/>
                <w:highlight w:val="none"/>
                <w:lang w:val="en-US" w:eastAsia="zh-CN"/>
              </w:rPr>
              <w:t>能</w:t>
            </w:r>
            <w:r>
              <w:rPr>
                <w:rFonts w:hint="eastAsia" w:ascii="Times New Roman" w:hAnsi="Times New Roman" w:eastAsia="Times New Roman" w:cs="Times New Roman"/>
                <w:color w:val="auto"/>
                <w:sz w:val="24"/>
                <w:szCs w:val="24"/>
                <w:highlight w:val="none"/>
              </w:rPr>
              <w:t>满足贮存要求。</w:t>
            </w:r>
          </w:p>
          <w:p w14:paraId="7F74DCF4">
            <w:pPr>
              <w:bidi w:val="0"/>
              <w:rPr>
                <w:rFonts w:hint="eastAsia"/>
                <w:color w:val="auto"/>
                <w:highlight w:val="none"/>
              </w:rPr>
            </w:pPr>
            <w:r>
              <w:rPr>
                <w:rFonts w:hint="eastAsia"/>
                <w:color w:val="auto"/>
                <w:highlight w:val="none"/>
              </w:rPr>
              <w:t>危险废物贮存单位建立危险废物贮存的台账及管理制度。</w:t>
            </w:r>
          </w:p>
          <w:p w14:paraId="39B2C7CD">
            <w:pPr>
              <w:pStyle w:val="25"/>
              <w:bidi w:val="0"/>
              <w:rPr>
                <w:rFonts w:hint="eastAsia"/>
                <w:color w:val="auto"/>
                <w:highlight w:val="none"/>
              </w:rPr>
            </w:pPr>
            <w:r>
              <w:rPr>
                <w:color w:val="auto"/>
                <w:highlight w:val="none"/>
              </w:rPr>
              <w:t>危险废物贮存库内部布置信息一览表</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9"/>
              <w:gridCol w:w="1956"/>
              <w:gridCol w:w="1822"/>
              <w:gridCol w:w="3409"/>
            </w:tblGrid>
            <w:tr w14:paraId="33E907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9" w:type="dxa"/>
                  <w:tcBorders>
                    <w:tl2br w:val="nil"/>
                    <w:tr2bl w:val="nil"/>
                  </w:tcBorders>
                  <w:vAlign w:val="center"/>
                </w:tcPr>
                <w:p w14:paraId="047EA31E">
                  <w:pPr>
                    <w:pStyle w:val="44"/>
                    <w:spacing w:before="0" w:line="240" w:lineRule="auto"/>
                    <w:ind w:left="0" w:leftChars="0" w:firstLine="0" w:firstLineChars="0"/>
                    <w:jc w:val="center"/>
                    <w:rPr>
                      <w:rFonts w:hint="eastAsia" w:eastAsiaTheme="minorEastAsia"/>
                      <w:color w:val="auto"/>
                      <w:sz w:val="21"/>
                      <w:szCs w:val="21"/>
                      <w:highlight w:val="none"/>
                      <w:shd w:val="clear" w:color="auto" w:fill="auto"/>
                      <w:lang w:eastAsia="zh-CN"/>
                    </w:rPr>
                  </w:pPr>
                  <w:r>
                    <w:rPr>
                      <w:b/>
                      <w:bCs/>
                      <w:color w:val="auto"/>
                      <w:spacing w:val="4"/>
                      <w:sz w:val="21"/>
                      <w:szCs w:val="21"/>
                      <w:highlight w:val="none"/>
                    </w:rPr>
                    <w:t>序号</w:t>
                  </w:r>
                </w:p>
              </w:tc>
              <w:tc>
                <w:tcPr>
                  <w:tcW w:w="1996" w:type="dxa"/>
                  <w:tcBorders>
                    <w:tl2br w:val="nil"/>
                    <w:tr2bl w:val="nil"/>
                  </w:tcBorders>
                  <w:vAlign w:val="center"/>
                </w:tcPr>
                <w:p w14:paraId="47340F73">
                  <w:pPr>
                    <w:pStyle w:val="44"/>
                    <w:spacing w:before="0" w:line="240" w:lineRule="auto"/>
                    <w:ind w:left="0" w:leftChars="0" w:firstLine="0" w:firstLineChars="0"/>
                    <w:jc w:val="center"/>
                    <w:rPr>
                      <w:rFonts w:hint="eastAsia" w:eastAsiaTheme="minorEastAsia"/>
                      <w:color w:val="auto"/>
                      <w:sz w:val="21"/>
                      <w:szCs w:val="21"/>
                      <w:highlight w:val="none"/>
                      <w:shd w:val="clear" w:color="auto" w:fill="auto"/>
                      <w:lang w:eastAsia="zh-CN"/>
                    </w:rPr>
                  </w:pPr>
                  <w:r>
                    <w:rPr>
                      <w:b/>
                      <w:bCs/>
                      <w:color w:val="auto"/>
                      <w:spacing w:val="2"/>
                      <w:sz w:val="21"/>
                      <w:szCs w:val="21"/>
                      <w:highlight w:val="none"/>
                    </w:rPr>
                    <w:t>名称</w:t>
                  </w:r>
                </w:p>
              </w:tc>
              <w:tc>
                <w:tcPr>
                  <w:tcW w:w="1859" w:type="dxa"/>
                  <w:tcBorders>
                    <w:tl2br w:val="nil"/>
                    <w:tr2bl w:val="nil"/>
                  </w:tcBorders>
                  <w:vAlign w:val="center"/>
                </w:tcPr>
                <w:p w14:paraId="35BEDB3A">
                  <w:pPr>
                    <w:pStyle w:val="44"/>
                    <w:spacing w:before="0" w:line="240" w:lineRule="auto"/>
                    <w:ind w:left="0" w:leftChars="0" w:firstLine="0" w:firstLineChars="0"/>
                    <w:jc w:val="center"/>
                    <w:rPr>
                      <w:rFonts w:hint="eastAsia" w:eastAsiaTheme="minorEastAsia"/>
                      <w:color w:val="auto"/>
                      <w:sz w:val="21"/>
                      <w:szCs w:val="21"/>
                      <w:highlight w:val="none"/>
                      <w:shd w:val="clear" w:color="auto" w:fill="auto"/>
                      <w:lang w:eastAsia="zh-CN"/>
                    </w:rPr>
                  </w:pPr>
                  <w:r>
                    <w:rPr>
                      <w:b/>
                      <w:bCs/>
                      <w:color w:val="auto"/>
                      <w:spacing w:val="3"/>
                      <w:sz w:val="21"/>
                      <w:szCs w:val="21"/>
                      <w:highlight w:val="none"/>
                    </w:rPr>
                    <w:t>规格</w:t>
                  </w:r>
                </w:p>
              </w:tc>
              <w:tc>
                <w:tcPr>
                  <w:tcW w:w="3484" w:type="dxa"/>
                  <w:tcBorders>
                    <w:tl2br w:val="nil"/>
                    <w:tr2bl w:val="nil"/>
                  </w:tcBorders>
                  <w:vAlign w:val="center"/>
                </w:tcPr>
                <w:p w14:paraId="69F48840">
                  <w:pPr>
                    <w:pStyle w:val="44"/>
                    <w:spacing w:before="0" w:line="240" w:lineRule="auto"/>
                    <w:ind w:left="0" w:leftChars="0" w:firstLine="0" w:firstLineChars="0"/>
                    <w:jc w:val="center"/>
                    <w:rPr>
                      <w:rFonts w:hint="eastAsia" w:eastAsiaTheme="minorEastAsia"/>
                      <w:color w:val="auto"/>
                      <w:sz w:val="21"/>
                      <w:szCs w:val="21"/>
                      <w:highlight w:val="none"/>
                      <w:shd w:val="clear" w:color="auto" w:fill="auto"/>
                      <w:lang w:eastAsia="zh-CN"/>
                    </w:rPr>
                  </w:pPr>
                  <w:r>
                    <w:rPr>
                      <w:b/>
                      <w:bCs/>
                      <w:color w:val="auto"/>
                      <w:spacing w:val="2"/>
                      <w:sz w:val="21"/>
                      <w:szCs w:val="21"/>
                      <w:highlight w:val="none"/>
                    </w:rPr>
                    <w:t>说明</w:t>
                  </w:r>
                </w:p>
              </w:tc>
            </w:tr>
            <w:tr w14:paraId="43F349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9" w:type="dxa"/>
                  <w:tcBorders>
                    <w:tl2br w:val="nil"/>
                    <w:tr2bl w:val="nil"/>
                  </w:tcBorders>
                  <w:vAlign w:val="center"/>
                </w:tcPr>
                <w:p w14:paraId="6B07AB6B">
                  <w:pPr>
                    <w:spacing w:before="0" w:line="240" w:lineRule="auto"/>
                    <w:ind w:left="0" w:leftChars="0" w:firstLine="0" w:firstLineChars="0"/>
                    <w:jc w:val="center"/>
                    <w:rPr>
                      <w:rFonts w:hint="eastAsia" w:eastAsiaTheme="minorEastAsia"/>
                      <w:color w:val="auto"/>
                      <w:sz w:val="21"/>
                      <w:szCs w:val="21"/>
                      <w:highlight w:val="none"/>
                      <w:shd w:val="clear" w:color="auto" w:fill="auto"/>
                      <w:lang w:eastAsia="zh-CN"/>
                    </w:rPr>
                  </w:pPr>
                  <w:r>
                    <w:rPr>
                      <w:rFonts w:ascii="Times New Roman" w:hAnsi="Times New Roman" w:eastAsia="Times New Roman" w:cs="Times New Roman"/>
                      <w:color w:val="auto"/>
                      <w:position w:val="1"/>
                      <w:sz w:val="21"/>
                      <w:szCs w:val="21"/>
                      <w:highlight w:val="none"/>
                    </w:rPr>
                    <w:t>1</w:t>
                  </w:r>
                </w:p>
              </w:tc>
              <w:tc>
                <w:tcPr>
                  <w:tcW w:w="1996" w:type="dxa"/>
                  <w:tcBorders>
                    <w:tl2br w:val="nil"/>
                    <w:tr2bl w:val="nil"/>
                  </w:tcBorders>
                  <w:vAlign w:val="center"/>
                </w:tcPr>
                <w:p w14:paraId="6CD6E8D1">
                  <w:pPr>
                    <w:pStyle w:val="44"/>
                    <w:spacing w:before="0" w:line="240" w:lineRule="auto"/>
                    <w:ind w:left="0" w:leftChars="0" w:firstLine="0" w:firstLineChars="0"/>
                    <w:jc w:val="center"/>
                    <w:rPr>
                      <w:rFonts w:hint="eastAsia"/>
                      <w:color w:val="auto"/>
                      <w:sz w:val="21"/>
                      <w:szCs w:val="21"/>
                      <w:highlight w:val="none"/>
                      <w:shd w:val="clear" w:color="auto" w:fill="auto"/>
                      <w:lang w:val="en-US" w:eastAsia="zh-CN"/>
                    </w:rPr>
                  </w:pPr>
                  <w:r>
                    <w:rPr>
                      <w:color w:val="auto"/>
                      <w:spacing w:val="8"/>
                      <w:sz w:val="21"/>
                      <w:szCs w:val="21"/>
                      <w:highlight w:val="none"/>
                    </w:rPr>
                    <w:t>废</w:t>
                  </w:r>
                  <w:r>
                    <w:rPr>
                      <w:rFonts w:hint="eastAsia"/>
                      <w:color w:val="auto"/>
                      <w:spacing w:val="8"/>
                      <w:sz w:val="21"/>
                      <w:szCs w:val="21"/>
                      <w:highlight w:val="none"/>
                      <w:lang w:eastAsia="zh-CN"/>
                    </w:rPr>
                    <w:t>油类物质</w:t>
                  </w:r>
                  <w:r>
                    <w:rPr>
                      <w:color w:val="auto"/>
                      <w:spacing w:val="8"/>
                      <w:sz w:val="21"/>
                      <w:szCs w:val="21"/>
                      <w:highlight w:val="none"/>
                    </w:rPr>
                    <w:t>区</w:t>
                  </w:r>
                </w:p>
              </w:tc>
              <w:tc>
                <w:tcPr>
                  <w:tcW w:w="1859" w:type="dxa"/>
                  <w:tcBorders>
                    <w:tl2br w:val="nil"/>
                    <w:tr2bl w:val="nil"/>
                  </w:tcBorders>
                  <w:vAlign w:val="center"/>
                </w:tcPr>
                <w:p w14:paraId="274A557B">
                  <w:pPr>
                    <w:pStyle w:val="44"/>
                    <w:spacing w:before="0" w:line="240" w:lineRule="auto"/>
                    <w:ind w:left="0" w:leftChars="0" w:firstLine="0" w:firstLineChars="0"/>
                    <w:jc w:val="center"/>
                    <w:rPr>
                      <w:rFonts w:hint="eastAsia"/>
                      <w:color w:val="auto"/>
                      <w:sz w:val="21"/>
                      <w:szCs w:val="21"/>
                      <w:highlight w:val="none"/>
                      <w:shd w:val="clear" w:color="auto" w:fill="auto"/>
                      <w:lang w:val="en-US" w:eastAsia="zh-CN"/>
                    </w:rPr>
                  </w:pPr>
                  <w:r>
                    <w:rPr>
                      <w:color w:val="auto"/>
                      <w:spacing w:val="2"/>
                      <w:position w:val="1"/>
                      <w:sz w:val="21"/>
                      <w:szCs w:val="21"/>
                      <w:highlight w:val="none"/>
                    </w:rPr>
                    <w:t>占地面积</w:t>
                  </w:r>
                  <w:r>
                    <w:rPr>
                      <w:rFonts w:hint="eastAsia" w:ascii="Times New Roman" w:hAnsi="Times New Roman" w:eastAsia="宋体" w:cs="Times New Roman"/>
                      <w:color w:val="auto"/>
                      <w:spacing w:val="2"/>
                      <w:position w:val="1"/>
                      <w:sz w:val="21"/>
                      <w:szCs w:val="21"/>
                      <w:highlight w:val="none"/>
                      <w:lang w:val="en-US" w:eastAsia="zh-CN"/>
                    </w:rPr>
                    <w:t>6.25</w:t>
                  </w:r>
                  <w:r>
                    <w:rPr>
                      <w:rFonts w:ascii="Times New Roman" w:hAnsi="Times New Roman" w:eastAsia="Times New Roman" w:cs="Times New Roman"/>
                      <w:color w:val="auto"/>
                      <w:spacing w:val="2"/>
                      <w:position w:val="1"/>
                      <w:sz w:val="21"/>
                      <w:szCs w:val="21"/>
                      <w:highlight w:val="none"/>
                    </w:rPr>
                    <w:t>m</w:t>
                  </w:r>
                  <w:r>
                    <w:rPr>
                      <w:rFonts w:hint="eastAsia" w:ascii="Times New Roman" w:hAnsi="Times New Roman" w:eastAsia="宋体" w:cs="Times New Roman"/>
                      <w:color w:val="auto"/>
                      <w:spacing w:val="2"/>
                      <w:position w:val="1"/>
                      <w:sz w:val="21"/>
                      <w:szCs w:val="21"/>
                      <w:highlight w:val="none"/>
                      <w:vertAlign w:val="superscript"/>
                      <w:lang w:val="en-US" w:eastAsia="zh-CN"/>
                    </w:rPr>
                    <w:t>2</w:t>
                  </w:r>
                </w:p>
              </w:tc>
              <w:tc>
                <w:tcPr>
                  <w:tcW w:w="3484" w:type="dxa"/>
                  <w:tcBorders>
                    <w:tl2br w:val="nil"/>
                    <w:tr2bl w:val="nil"/>
                  </w:tcBorders>
                  <w:vAlign w:val="center"/>
                </w:tcPr>
                <w:p w14:paraId="41CD91D7">
                  <w:pPr>
                    <w:pStyle w:val="44"/>
                    <w:spacing w:before="0" w:line="240" w:lineRule="auto"/>
                    <w:ind w:left="0" w:leftChars="0" w:firstLine="0" w:firstLineChars="0"/>
                    <w:jc w:val="center"/>
                    <w:rPr>
                      <w:rFonts w:hint="eastAsia" w:eastAsiaTheme="minorEastAsia"/>
                      <w:color w:val="auto"/>
                      <w:sz w:val="21"/>
                      <w:szCs w:val="21"/>
                      <w:highlight w:val="none"/>
                      <w:shd w:val="clear" w:color="auto" w:fill="auto"/>
                      <w:lang w:eastAsia="zh-CN"/>
                    </w:rPr>
                  </w:pPr>
                  <w:r>
                    <w:rPr>
                      <w:rFonts w:hint="eastAsia"/>
                      <w:color w:val="auto"/>
                      <w:spacing w:val="9"/>
                      <w:sz w:val="21"/>
                      <w:szCs w:val="21"/>
                      <w:highlight w:val="none"/>
                    </w:rPr>
                    <w:t>废液压油、废空压机油、废汽轮机油、废变压器油、废润滑油</w:t>
                  </w:r>
                  <w:r>
                    <w:rPr>
                      <w:color w:val="auto"/>
                      <w:spacing w:val="9"/>
                      <w:sz w:val="21"/>
                      <w:szCs w:val="21"/>
                      <w:highlight w:val="none"/>
                    </w:rPr>
                    <w:t>桶装</w:t>
                  </w:r>
                  <w:r>
                    <w:rPr>
                      <w:rFonts w:hint="eastAsia"/>
                      <w:color w:val="auto"/>
                      <w:spacing w:val="9"/>
                      <w:sz w:val="21"/>
                      <w:szCs w:val="21"/>
                      <w:highlight w:val="none"/>
                      <w:lang w:eastAsia="zh-CN"/>
                    </w:rPr>
                    <w:t>加盖密封贮存</w:t>
                  </w:r>
                </w:p>
              </w:tc>
            </w:tr>
            <w:tr w14:paraId="6BADBE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9" w:type="dxa"/>
                  <w:vAlign w:val="center"/>
                </w:tcPr>
                <w:p w14:paraId="32EE145A">
                  <w:pPr>
                    <w:spacing w:before="0" w:line="240" w:lineRule="auto"/>
                    <w:ind w:left="0" w:leftChars="0" w:firstLine="0" w:firstLineChars="0"/>
                    <w:jc w:val="center"/>
                    <w:rPr>
                      <w:rFonts w:hint="eastAsia" w:eastAsiaTheme="minorEastAsia"/>
                      <w:color w:val="auto"/>
                      <w:sz w:val="21"/>
                      <w:szCs w:val="21"/>
                      <w:highlight w:val="none"/>
                      <w:shd w:val="clear" w:color="auto" w:fill="auto"/>
                      <w:lang w:eastAsia="zh-CN"/>
                    </w:rPr>
                  </w:pPr>
                  <w:r>
                    <w:rPr>
                      <w:rFonts w:ascii="Times New Roman" w:hAnsi="Times New Roman" w:eastAsia="Times New Roman" w:cs="Times New Roman"/>
                      <w:color w:val="auto"/>
                      <w:position w:val="1"/>
                      <w:sz w:val="21"/>
                      <w:szCs w:val="21"/>
                      <w:highlight w:val="none"/>
                    </w:rPr>
                    <w:t>2</w:t>
                  </w:r>
                </w:p>
              </w:tc>
              <w:tc>
                <w:tcPr>
                  <w:tcW w:w="1996" w:type="dxa"/>
                  <w:vAlign w:val="center"/>
                </w:tcPr>
                <w:p w14:paraId="45E6C6C9">
                  <w:pPr>
                    <w:pStyle w:val="44"/>
                    <w:spacing w:before="0" w:line="240" w:lineRule="auto"/>
                    <w:ind w:left="0" w:leftChars="0" w:firstLine="0" w:firstLineChars="0"/>
                    <w:jc w:val="center"/>
                    <w:rPr>
                      <w:rFonts w:hint="default"/>
                      <w:color w:val="auto"/>
                      <w:sz w:val="21"/>
                      <w:szCs w:val="21"/>
                      <w:highlight w:val="none"/>
                      <w:shd w:val="clear" w:color="auto" w:fill="auto"/>
                      <w:lang w:val="en-US" w:eastAsia="zh-CN"/>
                    </w:rPr>
                  </w:pPr>
                  <w:r>
                    <w:rPr>
                      <w:rFonts w:hint="eastAsia"/>
                      <w:color w:val="auto"/>
                      <w:spacing w:val="8"/>
                      <w:sz w:val="21"/>
                      <w:szCs w:val="21"/>
                      <w:highlight w:val="none"/>
                      <w:lang w:eastAsia="zh-CN"/>
                    </w:rPr>
                    <w:t>废桶</w:t>
                  </w:r>
                  <w:r>
                    <w:rPr>
                      <w:color w:val="auto"/>
                      <w:spacing w:val="8"/>
                      <w:sz w:val="21"/>
                      <w:szCs w:val="21"/>
                      <w:highlight w:val="none"/>
                    </w:rPr>
                    <w:t>区</w:t>
                  </w:r>
                </w:p>
              </w:tc>
              <w:tc>
                <w:tcPr>
                  <w:tcW w:w="1859" w:type="dxa"/>
                  <w:vAlign w:val="center"/>
                </w:tcPr>
                <w:p w14:paraId="5C37E8C6">
                  <w:pPr>
                    <w:pStyle w:val="44"/>
                    <w:spacing w:before="0" w:line="240" w:lineRule="auto"/>
                    <w:ind w:left="0" w:leftChars="0" w:firstLine="0" w:firstLineChars="0"/>
                    <w:jc w:val="center"/>
                    <w:rPr>
                      <w:rFonts w:hint="eastAsia"/>
                      <w:color w:val="auto"/>
                      <w:sz w:val="21"/>
                      <w:szCs w:val="21"/>
                      <w:highlight w:val="none"/>
                      <w:shd w:val="clear" w:color="auto" w:fill="auto"/>
                      <w:lang w:eastAsia="zh-CN"/>
                    </w:rPr>
                  </w:pPr>
                  <w:r>
                    <w:rPr>
                      <w:color w:val="auto"/>
                      <w:spacing w:val="2"/>
                      <w:position w:val="1"/>
                      <w:sz w:val="21"/>
                      <w:szCs w:val="21"/>
                      <w:highlight w:val="none"/>
                    </w:rPr>
                    <w:t>占地面积</w:t>
                  </w:r>
                  <w:r>
                    <w:rPr>
                      <w:rFonts w:hint="eastAsia" w:ascii="Times New Roman" w:hAnsi="Times New Roman" w:eastAsia="宋体" w:cs="Times New Roman"/>
                      <w:color w:val="auto"/>
                      <w:spacing w:val="2"/>
                      <w:position w:val="1"/>
                      <w:sz w:val="21"/>
                      <w:szCs w:val="21"/>
                      <w:highlight w:val="none"/>
                      <w:lang w:val="en-US" w:eastAsia="zh-CN"/>
                    </w:rPr>
                    <w:t>3.75</w:t>
                  </w:r>
                  <w:r>
                    <w:rPr>
                      <w:rFonts w:ascii="Times New Roman" w:hAnsi="Times New Roman" w:eastAsia="Times New Roman" w:cs="Times New Roman"/>
                      <w:color w:val="auto"/>
                      <w:spacing w:val="2"/>
                      <w:position w:val="1"/>
                      <w:sz w:val="21"/>
                      <w:szCs w:val="21"/>
                      <w:highlight w:val="none"/>
                    </w:rPr>
                    <w:t>m</w:t>
                  </w:r>
                  <w:r>
                    <w:rPr>
                      <w:rFonts w:hint="eastAsia" w:ascii="Times New Roman" w:hAnsi="Times New Roman" w:eastAsia="宋体" w:cs="Times New Roman"/>
                      <w:color w:val="auto"/>
                      <w:spacing w:val="2"/>
                      <w:position w:val="1"/>
                      <w:sz w:val="21"/>
                      <w:szCs w:val="21"/>
                      <w:highlight w:val="none"/>
                      <w:vertAlign w:val="superscript"/>
                      <w:lang w:val="en-US" w:eastAsia="zh-CN"/>
                    </w:rPr>
                    <w:t>2</w:t>
                  </w:r>
                </w:p>
              </w:tc>
              <w:tc>
                <w:tcPr>
                  <w:tcW w:w="3484" w:type="dxa"/>
                  <w:vAlign w:val="center"/>
                </w:tcPr>
                <w:p w14:paraId="05B20BE5">
                  <w:pPr>
                    <w:pStyle w:val="44"/>
                    <w:spacing w:before="0" w:line="240" w:lineRule="auto"/>
                    <w:ind w:left="0" w:leftChars="0" w:firstLine="0" w:firstLineChars="0"/>
                    <w:jc w:val="center"/>
                    <w:rPr>
                      <w:rFonts w:hint="eastAsia" w:eastAsia="宋体"/>
                      <w:color w:val="auto"/>
                      <w:sz w:val="21"/>
                      <w:szCs w:val="21"/>
                      <w:highlight w:val="none"/>
                      <w:shd w:val="clear" w:color="auto" w:fill="auto"/>
                      <w:lang w:eastAsia="zh-CN"/>
                    </w:rPr>
                  </w:pPr>
                  <w:r>
                    <w:rPr>
                      <w:rFonts w:hint="eastAsia"/>
                      <w:color w:val="auto"/>
                      <w:sz w:val="21"/>
                      <w:szCs w:val="21"/>
                      <w:highlight w:val="none"/>
                      <w:shd w:val="clear" w:color="auto" w:fill="auto"/>
                    </w:rPr>
                    <w:t>废油桶、废油漆桶</w:t>
                  </w:r>
                  <w:r>
                    <w:rPr>
                      <w:rFonts w:hint="eastAsia"/>
                      <w:color w:val="auto"/>
                      <w:sz w:val="21"/>
                      <w:szCs w:val="21"/>
                      <w:highlight w:val="none"/>
                      <w:shd w:val="clear" w:color="auto" w:fill="auto"/>
                      <w:lang w:eastAsia="zh-CN"/>
                    </w:rPr>
                    <w:t>加盖密封贮存</w:t>
                  </w:r>
                </w:p>
              </w:tc>
            </w:tr>
            <w:tr w14:paraId="029CFA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9" w:type="dxa"/>
                  <w:vAlign w:val="center"/>
                </w:tcPr>
                <w:p w14:paraId="7B76F76D">
                  <w:pPr>
                    <w:spacing w:before="0" w:line="240" w:lineRule="auto"/>
                    <w:ind w:left="0" w:leftChars="0" w:firstLine="0" w:firstLineChars="0"/>
                    <w:jc w:val="center"/>
                    <w:rPr>
                      <w:rFonts w:hint="eastAsia" w:eastAsiaTheme="minorEastAsia"/>
                      <w:color w:val="auto"/>
                      <w:sz w:val="21"/>
                      <w:szCs w:val="21"/>
                      <w:highlight w:val="none"/>
                      <w:shd w:val="clear" w:color="auto" w:fill="auto"/>
                      <w:lang w:eastAsia="zh-CN"/>
                    </w:rPr>
                  </w:pPr>
                  <w:r>
                    <w:rPr>
                      <w:rFonts w:ascii="Times New Roman" w:hAnsi="Times New Roman" w:eastAsia="Times New Roman" w:cs="Times New Roman"/>
                      <w:color w:val="auto"/>
                      <w:position w:val="2"/>
                      <w:sz w:val="21"/>
                      <w:szCs w:val="21"/>
                      <w:highlight w:val="none"/>
                    </w:rPr>
                    <w:t>3</w:t>
                  </w:r>
                </w:p>
              </w:tc>
              <w:tc>
                <w:tcPr>
                  <w:tcW w:w="1996" w:type="dxa"/>
                  <w:vAlign w:val="center"/>
                </w:tcPr>
                <w:p w14:paraId="2BDAB4EB">
                  <w:pPr>
                    <w:pStyle w:val="44"/>
                    <w:spacing w:before="0" w:line="240" w:lineRule="auto"/>
                    <w:ind w:left="0" w:leftChars="0" w:firstLine="0" w:firstLineChars="0"/>
                    <w:jc w:val="center"/>
                    <w:rPr>
                      <w:rFonts w:hint="eastAsia"/>
                      <w:color w:val="auto"/>
                      <w:sz w:val="21"/>
                      <w:szCs w:val="21"/>
                      <w:highlight w:val="none"/>
                      <w:shd w:val="clear" w:color="auto" w:fill="auto"/>
                      <w:lang w:eastAsia="zh-CN"/>
                    </w:rPr>
                  </w:pPr>
                  <w:r>
                    <w:rPr>
                      <w:rFonts w:hint="eastAsia"/>
                      <w:color w:val="auto"/>
                      <w:spacing w:val="8"/>
                      <w:sz w:val="21"/>
                      <w:szCs w:val="21"/>
                      <w:highlight w:val="none"/>
                    </w:rPr>
                    <w:t>废蓄电池</w:t>
                  </w:r>
                  <w:r>
                    <w:rPr>
                      <w:color w:val="auto"/>
                      <w:spacing w:val="8"/>
                      <w:sz w:val="21"/>
                      <w:szCs w:val="21"/>
                      <w:highlight w:val="none"/>
                    </w:rPr>
                    <w:t>区</w:t>
                  </w:r>
                </w:p>
              </w:tc>
              <w:tc>
                <w:tcPr>
                  <w:tcW w:w="1859" w:type="dxa"/>
                  <w:vAlign w:val="center"/>
                </w:tcPr>
                <w:p w14:paraId="1ECA7E8A">
                  <w:pPr>
                    <w:pStyle w:val="44"/>
                    <w:spacing w:before="0" w:line="240" w:lineRule="auto"/>
                    <w:ind w:left="0" w:leftChars="0" w:firstLine="0" w:firstLineChars="0"/>
                    <w:jc w:val="center"/>
                    <w:rPr>
                      <w:rFonts w:hint="eastAsia"/>
                      <w:color w:val="auto"/>
                      <w:sz w:val="21"/>
                      <w:szCs w:val="21"/>
                      <w:highlight w:val="none"/>
                      <w:shd w:val="clear" w:color="auto" w:fill="auto"/>
                      <w:lang w:eastAsia="zh-CN"/>
                    </w:rPr>
                  </w:pPr>
                  <w:r>
                    <w:rPr>
                      <w:color w:val="auto"/>
                      <w:spacing w:val="2"/>
                      <w:position w:val="1"/>
                      <w:sz w:val="21"/>
                      <w:szCs w:val="21"/>
                      <w:highlight w:val="none"/>
                    </w:rPr>
                    <w:t>占地面积</w:t>
                  </w:r>
                  <w:r>
                    <w:rPr>
                      <w:rFonts w:hint="eastAsia" w:ascii="Times New Roman" w:hAnsi="Times New Roman" w:eastAsia="宋体" w:cs="Times New Roman"/>
                      <w:color w:val="auto"/>
                      <w:spacing w:val="2"/>
                      <w:position w:val="1"/>
                      <w:sz w:val="21"/>
                      <w:szCs w:val="21"/>
                      <w:highlight w:val="none"/>
                      <w:lang w:eastAsia="zh-CN"/>
                    </w:rPr>
                    <w:t>1</w:t>
                  </w:r>
                  <w:r>
                    <w:rPr>
                      <w:rFonts w:hint="eastAsia" w:ascii="Times New Roman" w:hAnsi="Times New Roman" w:eastAsia="宋体" w:cs="Times New Roman"/>
                      <w:color w:val="auto"/>
                      <w:spacing w:val="2"/>
                      <w:position w:val="1"/>
                      <w:sz w:val="21"/>
                      <w:szCs w:val="21"/>
                      <w:highlight w:val="none"/>
                      <w:lang w:val="en-US" w:eastAsia="zh-CN"/>
                    </w:rPr>
                    <w:t>0</w:t>
                  </w:r>
                  <w:r>
                    <w:rPr>
                      <w:rFonts w:ascii="Times New Roman" w:hAnsi="Times New Roman" w:eastAsia="Times New Roman" w:cs="Times New Roman"/>
                      <w:color w:val="auto"/>
                      <w:spacing w:val="2"/>
                      <w:position w:val="1"/>
                      <w:sz w:val="21"/>
                      <w:szCs w:val="21"/>
                      <w:highlight w:val="none"/>
                    </w:rPr>
                    <w:t>m</w:t>
                  </w:r>
                  <w:r>
                    <w:rPr>
                      <w:rFonts w:hint="eastAsia" w:ascii="Times New Roman" w:hAnsi="Times New Roman" w:eastAsia="宋体" w:cs="Times New Roman"/>
                      <w:color w:val="auto"/>
                      <w:spacing w:val="2"/>
                      <w:position w:val="1"/>
                      <w:sz w:val="21"/>
                      <w:szCs w:val="21"/>
                      <w:highlight w:val="none"/>
                      <w:vertAlign w:val="superscript"/>
                      <w:lang w:val="en-US" w:eastAsia="zh-CN"/>
                    </w:rPr>
                    <w:t>2</w:t>
                  </w:r>
                </w:p>
              </w:tc>
              <w:tc>
                <w:tcPr>
                  <w:tcW w:w="3484" w:type="dxa"/>
                  <w:vAlign w:val="center"/>
                </w:tcPr>
                <w:p w14:paraId="128A5333">
                  <w:pPr>
                    <w:pStyle w:val="44"/>
                    <w:spacing w:before="0" w:line="240" w:lineRule="auto"/>
                    <w:ind w:left="0" w:leftChars="0" w:firstLine="0" w:firstLineChars="0"/>
                    <w:jc w:val="center"/>
                    <w:rPr>
                      <w:rFonts w:hint="eastAsia"/>
                      <w:color w:val="auto"/>
                      <w:sz w:val="21"/>
                      <w:szCs w:val="21"/>
                      <w:highlight w:val="none"/>
                      <w:shd w:val="clear" w:color="auto" w:fill="auto"/>
                      <w:lang w:eastAsia="zh-CN"/>
                    </w:rPr>
                  </w:pPr>
                  <w:r>
                    <w:rPr>
                      <w:rFonts w:hint="eastAsia"/>
                      <w:color w:val="auto"/>
                      <w:spacing w:val="8"/>
                      <w:sz w:val="21"/>
                      <w:szCs w:val="21"/>
                      <w:highlight w:val="none"/>
                    </w:rPr>
                    <w:t>废蓄电池</w:t>
                  </w:r>
                  <w:r>
                    <w:rPr>
                      <w:rFonts w:hint="eastAsia"/>
                      <w:color w:val="auto"/>
                      <w:spacing w:val="8"/>
                      <w:sz w:val="21"/>
                      <w:szCs w:val="21"/>
                      <w:highlight w:val="none"/>
                      <w:lang w:eastAsia="zh-CN"/>
                    </w:rPr>
                    <w:t>放置在耐酸耐腐蚀箱内密封贮存</w:t>
                  </w:r>
                </w:p>
              </w:tc>
            </w:tr>
            <w:tr w14:paraId="57558D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9" w:type="dxa"/>
                  <w:vAlign w:val="center"/>
                </w:tcPr>
                <w:p w14:paraId="7260EF96">
                  <w:pPr>
                    <w:spacing w:before="0" w:line="240" w:lineRule="auto"/>
                    <w:ind w:left="0" w:leftChars="0" w:firstLine="0" w:firstLineChars="0"/>
                    <w:jc w:val="center"/>
                    <w:rPr>
                      <w:rFonts w:hint="eastAsia"/>
                      <w:color w:val="auto"/>
                      <w:sz w:val="21"/>
                      <w:szCs w:val="21"/>
                      <w:highlight w:val="none"/>
                      <w:shd w:val="clear" w:color="auto" w:fill="auto"/>
                      <w:lang w:eastAsia="zh-CN"/>
                    </w:rPr>
                  </w:pPr>
                  <w:r>
                    <w:rPr>
                      <w:rFonts w:ascii="Times New Roman" w:hAnsi="Times New Roman" w:eastAsia="Times New Roman" w:cs="Times New Roman"/>
                      <w:color w:val="auto"/>
                      <w:spacing w:val="1"/>
                      <w:position w:val="1"/>
                      <w:sz w:val="21"/>
                      <w:szCs w:val="21"/>
                      <w:highlight w:val="none"/>
                    </w:rPr>
                    <w:t>4</w:t>
                  </w:r>
                </w:p>
              </w:tc>
              <w:tc>
                <w:tcPr>
                  <w:tcW w:w="1996" w:type="dxa"/>
                  <w:vAlign w:val="center"/>
                </w:tcPr>
                <w:p w14:paraId="0DCC66AC">
                  <w:pPr>
                    <w:pStyle w:val="44"/>
                    <w:spacing w:before="0" w:line="240" w:lineRule="auto"/>
                    <w:ind w:left="0" w:leftChars="0" w:firstLine="0" w:firstLineChars="0"/>
                    <w:jc w:val="center"/>
                    <w:rPr>
                      <w:rFonts w:hint="eastAsia"/>
                      <w:color w:val="auto"/>
                      <w:sz w:val="21"/>
                      <w:szCs w:val="21"/>
                      <w:highlight w:val="none"/>
                      <w:shd w:val="clear" w:color="auto" w:fill="auto"/>
                      <w:lang w:eastAsia="zh-CN"/>
                    </w:rPr>
                  </w:pPr>
                  <w:r>
                    <w:rPr>
                      <w:rFonts w:hint="eastAsia"/>
                      <w:color w:val="auto"/>
                      <w:sz w:val="21"/>
                      <w:szCs w:val="21"/>
                      <w:highlight w:val="none"/>
                      <w:shd w:val="clear" w:color="auto" w:fill="auto"/>
                      <w:lang w:eastAsia="zh-CN"/>
                    </w:rPr>
                    <w:t>实验室废液及废试剂瓶区</w:t>
                  </w:r>
                </w:p>
              </w:tc>
              <w:tc>
                <w:tcPr>
                  <w:tcW w:w="1859" w:type="dxa"/>
                  <w:vAlign w:val="center"/>
                </w:tcPr>
                <w:p w14:paraId="6AADD400">
                  <w:pPr>
                    <w:pStyle w:val="44"/>
                    <w:spacing w:before="0" w:line="240" w:lineRule="auto"/>
                    <w:ind w:left="0" w:leftChars="0" w:firstLine="0" w:firstLineChars="0"/>
                    <w:jc w:val="center"/>
                    <w:rPr>
                      <w:rFonts w:hint="eastAsia"/>
                      <w:color w:val="auto"/>
                      <w:sz w:val="21"/>
                      <w:szCs w:val="21"/>
                      <w:highlight w:val="none"/>
                      <w:shd w:val="clear" w:color="auto" w:fill="auto"/>
                      <w:lang w:eastAsia="zh-CN"/>
                    </w:rPr>
                  </w:pPr>
                  <w:r>
                    <w:rPr>
                      <w:color w:val="auto"/>
                      <w:spacing w:val="2"/>
                      <w:position w:val="1"/>
                      <w:sz w:val="21"/>
                      <w:szCs w:val="21"/>
                      <w:highlight w:val="none"/>
                    </w:rPr>
                    <w:t>占地面积</w:t>
                  </w:r>
                  <w:r>
                    <w:rPr>
                      <w:rFonts w:hint="eastAsia" w:ascii="Times New Roman" w:hAnsi="Times New Roman" w:eastAsia="宋体" w:cs="Times New Roman"/>
                      <w:color w:val="auto"/>
                      <w:spacing w:val="2"/>
                      <w:position w:val="1"/>
                      <w:sz w:val="21"/>
                      <w:szCs w:val="21"/>
                      <w:highlight w:val="none"/>
                      <w:lang w:eastAsia="zh-CN"/>
                    </w:rPr>
                    <w:t>4</w:t>
                  </w:r>
                  <w:r>
                    <w:rPr>
                      <w:rFonts w:ascii="Times New Roman" w:hAnsi="Times New Roman" w:eastAsia="Times New Roman" w:cs="Times New Roman"/>
                      <w:color w:val="auto"/>
                      <w:spacing w:val="2"/>
                      <w:position w:val="1"/>
                      <w:sz w:val="21"/>
                      <w:szCs w:val="21"/>
                      <w:highlight w:val="none"/>
                    </w:rPr>
                    <w:t>m</w:t>
                  </w:r>
                  <w:r>
                    <w:rPr>
                      <w:rFonts w:hint="eastAsia" w:ascii="Times New Roman" w:hAnsi="Times New Roman" w:eastAsia="宋体" w:cs="Times New Roman"/>
                      <w:color w:val="auto"/>
                      <w:spacing w:val="2"/>
                      <w:position w:val="1"/>
                      <w:sz w:val="21"/>
                      <w:szCs w:val="21"/>
                      <w:highlight w:val="none"/>
                      <w:vertAlign w:val="superscript"/>
                      <w:lang w:val="en-US" w:eastAsia="zh-CN"/>
                    </w:rPr>
                    <w:t>2</w:t>
                  </w:r>
                </w:p>
              </w:tc>
              <w:tc>
                <w:tcPr>
                  <w:tcW w:w="3484" w:type="dxa"/>
                  <w:vAlign w:val="center"/>
                </w:tcPr>
                <w:p w14:paraId="7F3955E3">
                  <w:pPr>
                    <w:pStyle w:val="44"/>
                    <w:spacing w:before="0" w:line="240" w:lineRule="auto"/>
                    <w:ind w:left="0" w:leftChars="0" w:firstLine="0" w:firstLineChars="0"/>
                    <w:jc w:val="center"/>
                    <w:rPr>
                      <w:rFonts w:hint="eastAsia"/>
                      <w:color w:val="auto"/>
                      <w:sz w:val="21"/>
                      <w:szCs w:val="21"/>
                      <w:highlight w:val="none"/>
                      <w:shd w:val="clear" w:color="auto" w:fill="auto"/>
                      <w:lang w:eastAsia="zh-CN"/>
                    </w:rPr>
                  </w:pPr>
                  <w:r>
                    <w:rPr>
                      <w:rFonts w:hint="eastAsia"/>
                      <w:color w:val="auto"/>
                      <w:sz w:val="21"/>
                      <w:szCs w:val="21"/>
                      <w:highlight w:val="none"/>
                      <w:shd w:val="clear" w:color="auto" w:fill="auto"/>
                    </w:rPr>
                    <w:t>实验室废液及废试剂瓶经瓶装密封后</w:t>
                  </w:r>
                  <w:r>
                    <w:rPr>
                      <w:rFonts w:hint="eastAsia"/>
                      <w:color w:val="auto"/>
                      <w:sz w:val="21"/>
                      <w:szCs w:val="21"/>
                      <w:highlight w:val="none"/>
                      <w:shd w:val="clear" w:color="auto" w:fill="auto"/>
                      <w:lang w:eastAsia="zh-CN"/>
                    </w:rPr>
                    <w:t>置于</w:t>
                  </w:r>
                  <w:r>
                    <w:rPr>
                      <w:rFonts w:hint="eastAsia"/>
                      <w:color w:val="auto"/>
                      <w:sz w:val="21"/>
                      <w:szCs w:val="21"/>
                      <w:highlight w:val="none"/>
                      <w:shd w:val="clear" w:color="auto" w:fill="auto"/>
                    </w:rPr>
                    <w:t>耐酸耐腐蚀</w:t>
                  </w:r>
                  <w:r>
                    <w:rPr>
                      <w:rFonts w:hint="eastAsia"/>
                      <w:color w:val="auto"/>
                      <w:sz w:val="21"/>
                      <w:szCs w:val="21"/>
                      <w:highlight w:val="none"/>
                      <w:shd w:val="clear" w:color="auto" w:fill="auto"/>
                      <w:lang w:eastAsia="zh-CN"/>
                    </w:rPr>
                    <w:t>箱内密封</w:t>
                  </w:r>
                </w:p>
              </w:tc>
            </w:tr>
            <w:tr w14:paraId="0E0191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9" w:type="dxa"/>
                  <w:vAlign w:val="center"/>
                </w:tcPr>
                <w:p w14:paraId="365A2731">
                  <w:pPr>
                    <w:pStyle w:val="44"/>
                    <w:spacing w:before="0" w:line="240" w:lineRule="auto"/>
                    <w:ind w:left="0" w:leftChars="0" w:firstLine="0" w:firstLineChars="0"/>
                    <w:jc w:val="center"/>
                    <w:rPr>
                      <w:rFonts w:hint="eastAsia"/>
                      <w:color w:val="auto"/>
                      <w:sz w:val="21"/>
                      <w:szCs w:val="21"/>
                      <w:highlight w:val="none"/>
                      <w:shd w:val="clear" w:color="auto" w:fill="auto"/>
                      <w:lang w:eastAsia="zh-CN"/>
                    </w:rPr>
                  </w:pPr>
                  <w:r>
                    <w:rPr>
                      <w:rFonts w:hint="eastAsia" w:ascii="Times New Roman" w:hAnsi="Times New Roman" w:eastAsia="宋体" w:cs="Times New Roman"/>
                      <w:color w:val="auto"/>
                      <w:spacing w:val="1"/>
                      <w:position w:val="1"/>
                      <w:sz w:val="21"/>
                      <w:szCs w:val="21"/>
                      <w:highlight w:val="none"/>
                      <w:lang w:eastAsia="zh-CN"/>
                    </w:rPr>
                    <w:t>5</w:t>
                  </w:r>
                </w:p>
              </w:tc>
              <w:tc>
                <w:tcPr>
                  <w:tcW w:w="1996" w:type="dxa"/>
                  <w:vAlign w:val="center"/>
                </w:tcPr>
                <w:p w14:paraId="05485A35">
                  <w:pPr>
                    <w:pStyle w:val="44"/>
                    <w:spacing w:before="0" w:line="240" w:lineRule="auto"/>
                    <w:ind w:left="0" w:leftChars="0" w:firstLine="0" w:firstLineChars="0"/>
                    <w:jc w:val="center"/>
                    <w:rPr>
                      <w:rFonts w:hint="default"/>
                      <w:color w:val="auto"/>
                      <w:sz w:val="21"/>
                      <w:szCs w:val="21"/>
                      <w:highlight w:val="none"/>
                      <w:shd w:val="clear" w:color="auto" w:fill="auto"/>
                      <w:lang w:val="en-US" w:eastAsia="zh-CN"/>
                    </w:rPr>
                  </w:pPr>
                  <w:r>
                    <w:rPr>
                      <w:rFonts w:hint="eastAsia"/>
                      <w:color w:val="auto"/>
                      <w:spacing w:val="7"/>
                      <w:sz w:val="21"/>
                      <w:szCs w:val="21"/>
                      <w:highlight w:val="none"/>
                      <w:lang w:eastAsia="zh-CN"/>
                    </w:rPr>
                    <w:t>废劳保用品</w:t>
                  </w:r>
                  <w:r>
                    <w:rPr>
                      <w:color w:val="auto"/>
                      <w:spacing w:val="7"/>
                      <w:sz w:val="21"/>
                      <w:szCs w:val="21"/>
                      <w:highlight w:val="none"/>
                    </w:rPr>
                    <w:t>区</w:t>
                  </w:r>
                </w:p>
              </w:tc>
              <w:tc>
                <w:tcPr>
                  <w:tcW w:w="1859" w:type="dxa"/>
                  <w:vAlign w:val="center"/>
                </w:tcPr>
                <w:p w14:paraId="29997A8A">
                  <w:pPr>
                    <w:pStyle w:val="44"/>
                    <w:spacing w:before="0" w:line="240" w:lineRule="auto"/>
                    <w:ind w:left="0" w:leftChars="0" w:firstLine="0" w:firstLineChars="0"/>
                    <w:jc w:val="center"/>
                    <w:rPr>
                      <w:color w:val="auto"/>
                      <w:sz w:val="21"/>
                      <w:szCs w:val="21"/>
                      <w:highlight w:val="none"/>
                      <w:shd w:val="clear" w:color="auto" w:fill="auto"/>
                    </w:rPr>
                  </w:pPr>
                  <w:r>
                    <w:rPr>
                      <w:color w:val="auto"/>
                      <w:spacing w:val="2"/>
                      <w:position w:val="1"/>
                      <w:sz w:val="21"/>
                      <w:szCs w:val="21"/>
                      <w:highlight w:val="none"/>
                    </w:rPr>
                    <w:t>占地面积</w:t>
                  </w:r>
                  <w:r>
                    <w:rPr>
                      <w:rFonts w:hint="default" w:ascii="Times New Roman" w:hAnsi="Times New Roman" w:cs="Times New Roman"/>
                      <w:color w:val="auto"/>
                      <w:spacing w:val="2"/>
                      <w:position w:val="1"/>
                      <w:sz w:val="21"/>
                      <w:szCs w:val="21"/>
                      <w:highlight w:val="none"/>
                      <w:lang w:val="en-US" w:eastAsia="zh-CN"/>
                    </w:rPr>
                    <w:t>1</w:t>
                  </w:r>
                  <w:r>
                    <w:rPr>
                      <w:rFonts w:ascii="Times New Roman" w:hAnsi="Times New Roman" w:eastAsia="Times New Roman" w:cs="Times New Roman"/>
                      <w:color w:val="auto"/>
                      <w:spacing w:val="2"/>
                      <w:position w:val="1"/>
                      <w:sz w:val="21"/>
                      <w:szCs w:val="21"/>
                      <w:highlight w:val="none"/>
                    </w:rPr>
                    <w:t>m</w:t>
                  </w:r>
                  <w:r>
                    <w:rPr>
                      <w:rFonts w:hint="eastAsia" w:ascii="Times New Roman" w:hAnsi="Times New Roman" w:eastAsia="宋体" w:cs="Times New Roman"/>
                      <w:color w:val="auto"/>
                      <w:spacing w:val="2"/>
                      <w:position w:val="1"/>
                      <w:sz w:val="21"/>
                      <w:szCs w:val="21"/>
                      <w:highlight w:val="none"/>
                      <w:vertAlign w:val="superscript"/>
                      <w:lang w:val="en-US" w:eastAsia="zh-CN"/>
                    </w:rPr>
                    <w:t>2</w:t>
                  </w:r>
                </w:p>
              </w:tc>
              <w:tc>
                <w:tcPr>
                  <w:tcW w:w="3484" w:type="dxa"/>
                  <w:vAlign w:val="center"/>
                </w:tcPr>
                <w:p w14:paraId="2223F9DC">
                  <w:pPr>
                    <w:pStyle w:val="44"/>
                    <w:spacing w:before="0" w:line="240" w:lineRule="auto"/>
                    <w:ind w:left="0" w:firstLine="0" w:firstLineChars="0"/>
                    <w:jc w:val="center"/>
                    <w:rPr>
                      <w:color w:val="auto"/>
                      <w:spacing w:val="2"/>
                      <w:position w:val="1"/>
                      <w:sz w:val="21"/>
                      <w:szCs w:val="21"/>
                      <w:highlight w:val="none"/>
                    </w:rPr>
                  </w:pPr>
                  <w:r>
                    <w:rPr>
                      <w:rFonts w:hint="eastAsia"/>
                      <w:color w:val="auto"/>
                      <w:spacing w:val="8"/>
                      <w:sz w:val="21"/>
                      <w:szCs w:val="21"/>
                      <w:highlight w:val="none"/>
                    </w:rPr>
                    <w:t>废</w:t>
                  </w:r>
                  <w:r>
                    <w:rPr>
                      <w:rFonts w:hint="eastAsia"/>
                      <w:color w:val="auto"/>
                      <w:spacing w:val="8"/>
                      <w:sz w:val="21"/>
                      <w:szCs w:val="21"/>
                      <w:highlight w:val="none"/>
                      <w:lang w:eastAsia="zh-CN"/>
                    </w:rPr>
                    <w:t>劳保用品放置在耐酸耐腐蚀箱内密封贮存</w:t>
                  </w:r>
                </w:p>
              </w:tc>
            </w:tr>
            <w:tr w14:paraId="03819C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10" w:type="dxa"/>
                  <w:gridSpan w:val="2"/>
                  <w:vAlign w:val="center"/>
                </w:tcPr>
                <w:p w14:paraId="5AA1224E">
                  <w:pPr>
                    <w:pStyle w:val="44"/>
                    <w:spacing w:before="0" w:line="240" w:lineRule="auto"/>
                    <w:ind w:left="0" w:leftChars="0" w:firstLine="0" w:firstLineChars="0"/>
                    <w:jc w:val="center"/>
                    <w:rPr>
                      <w:rFonts w:hint="eastAsia"/>
                      <w:color w:val="auto"/>
                      <w:sz w:val="21"/>
                      <w:szCs w:val="21"/>
                      <w:highlight w:val="none"/>
                      <w:shd w:val="clear" w:color="auto" w:fill="auto"/>
                      <w:lang w:val="en-US" w:eastAsia="zh-CN"/>
                    </w:rPr>
                  </w:pPr>
                  <w:r>
                    <w:rPr>
                      <w:color w:val="auto"/>
                      <w:spacing w:val="8"/>
                      <w:sz w:val="21"/>
                      <w:szCs w:val="21"/>
                      <w:highlight w:val="none"/>
                    </w:rPr>
                    <w:t>危险废物贮存</w:t>
                  </w:r>
                  <w:r>
                    <w:rPr>
                      <w:rFonts w:hint="eastAsia"/>
                      <w:color w:val="auto"/>
                      <w:spacing w:val="8"/>
                      <w:sz w:val="21"/>
                      <w:szCs w:val="21"/>
                      <w:highlight w:val="none"/>
                      <w:lang w:eastAsia="zh-CN"/>
                    </w:rPr>
                    <w:t>点</w:t>
                  </w:r>
                </w:p>
              </w:tc>
              <w:tc>
                <w:tcPr>
                  <w:tcW w:w="1859" w:type="dxa"/>
                  <w:vAlign w:val="center"/>
                </w:tcPr>
                <w:p w14:paraId="67E65862">
                  <w:pPr>
                    <w:spacing w:before="0" w:line="240" w:lineRule="auto"/>
                    <w:ind w:left="0" w:leftChars="0" w:firstLine="0" w:firstLineChars="0"/>
                    <w:jc w:val="center"/>
                    <w:rPr>
                      <w:rFonts w:hint="eastAsia"/>
                      <w:color w:val="auto"/>
                      <w:sz w:val="21"/>
                      <w:szCs w:val="21"/>
                      <w:highlight w:val="none"/>
                      <w:shd w:val="clear" w:color="auto" w:fill="auto"/>
                      <w:lang w:eastAsia="zh-CN"/>
                    </w:rPr>
                  </w:pPr>
                  <w:r>
                    <w:rPr>
                      <w:color w:val="auto"/>
                      <w:spacing w:val="2"/>
                      <w:position w:val="1"/>
                      <w:sz w:val="21"/>
                      <w:szCs w:val="21"/>
                      <w:highlight w:val="none"/>
                    </w:rPr>
                    <w:t>占地面积</w:t>
                  </w:r>
                  <w:r>
                    <w:rPr>
                      <w:rFonts w:hint="eastAsia" w:eastAsia="宋体" w:cs="Times New Roman"/>
                      <w:color w:val="auto"/>
                      <w:spacing w:val="2"/>
                      <w:position w:val="1"/>
                      <w:sz w:val="21"/>
                      <w:szCs w:val="21"/>
                      <w:highlight w:val="none"/>
                      <w:lang w:eastAsia="zh-CN"/>
                    </w:rPr>
                    <w:t>4</w:t>
                  </w:r>
                  <w:r>
                    <w:rPr>
                      <w:rFonts w:hint="eastAsia" w:eastAsia="宋体" w:cs="Times New Roman"/>
                      <w:color w:val="auto"/>
                      <w:spacing w:val="2"/>
                      <w:position w:val="1"/>
                      <w:sz w:val="21"/>
                      <w:szCs w:val="21"/>
                      <w:highlight w:val="none"/>
                      <w:lang w:val="en-US" w:eastAsia="zh-CN"/>
                    </w:rPr>
                    <w:t>2</w:t>
                  </w:r>
                  <w:r>
                    <w:rPr>
                      <w:rFonts w:ascii="Times New Roman" w:hAnsi="Times New Roman" w:eastAsia="Times New Roman" w:cs="Times New Roman"/>
                      <w:color w:val="auto"/>
                      <w:spacing w:val="2"/>
                      <w:position w:val="1"/>
                      <w:sz w:val="21"/>
                      <w:szCs w:val="21"/>
                      <w:highlight w:val="none"/>
                    </w:rPr>
                    <w:t>m</w:t>
                  </w:r>
                  <w:r>
                    <w:rPr>
                      <w:rFonts w:hint="eastAsia" w:ascii="Times New Roman" w:hAnsi="Times New Roman" w:eastAsia="宋体" w:cs="Times New Roman"/>
                      <w:color w:val="auto"/>
                      <w:spacing w:val="2"/>
                      <w:position w:val="1"/>
                      <w:sz w:val="21"/>
                      <w:szCs w:val="21"/>
                      <w:highlight w:val="none"/>
                      <w:vertAlign w:val="superscript"/>
                      <w:lang w:val="en-US" w:eastAsia="zh-CN"/>
                    </w:rPr>
                    <w:t>2</w:t>
                  </w:r>
                </w:p>
              </w:tc>
              <w:tc>
                <w:tcPr>
                  <w:tcW w:w="3484" w:type="dxa"/>
                  <w:vAlign w:val="center"/>
                </w:tcPr>
                <w:p w14:paraId="62D09B42">
                  <w:pPr>
                    <w:pStyle w:val="44"/>
                    <w:spacing w:before="0" w:line="240" w:lineRule="auto"/>
                    <w:ind w:left="0" w:leftChars="0" w:firstLine="0" w:firstLineChars="0"/>
                    <w:jc w:val="center"/>
                    <w:rPr>
                      <w:rFonts w:hint="eastAsia"/>
                      <w:color w:val="auto"/>
                      <w:sz w:val="21"/>
                      <w:szCs w:val="21"/>
                      <w:highlight w:val="none"/>
                      <w:shd w:val="clear" w:color="auto" w:fill="auto"/>
                      <w:lang w:eastAsia="zh-CN"/>
                    </w:rPr>
                  </w:pPr>
                  <w:r>
                    <w:rPr>
                      <w:rFonts w:hint="eastAsia"/>
                      <w:color w:val="auto"/>
                      <w:spacing w:val="8"/>
                      <w:sz w:val="21"/>
                      <w:szCs w:val="21"/>
                      <w:highlight w:val="none"/>
                      <w:lang w:eastAsia="zh-CN"/>
                    </w:rPr>
                    <w:t>/</w:t>
                  </w:r>
                </w:p>
              </w:tc>
            </w:tr>
          </w:tbl>
          <w:p w14:paraId="6EC937F9">
            <w:pPr>
              <w:bidi w:val="0"/>
              <w:rPr>
                <w:b/>
                <w:bCs/>
                <w:color w:val="auto"/>
                <w:highlight w:val="none"/>
              </w:rPr>
            </w:pPr>
            <w:r>
              <w:rPr>
                <w:rFonts w:hint="eastAsia"/>
                <w:b/>
                <w:bCs/>
                <w:color w:val="auto"/>
                <w:highlight w:val="none"/>
              </w:rPr>
              <w:t>5.4处置</w:t>
            </w:r>
          </w:p>
          <w:p w14:paraId="053F0A3D">
            <w:pPr>
              <w:bidi w:val="0"/>
              <w:rPr>
                <w:color w:val="auto"/>
                <w:highlight w:val="none"/>
              </w:rPr>
            </w:pPr>
            <w:r>
              <w:rPr>
                <w:rFonts w:hint="eastAsia"/>
                <w:color w:val="auto"/>
                <w:highlight w:val="none"/>
              </w:rPr>
              <w:t>本项目危险废物处置交由有相关危废资质单位进行处置。厂外运输由处置单位进行负责。</w:t>
            </w:r>
          </w:p>
          <w:p w14:paraId="53A8E767">
            <w:pPr>
              <w:bidi w:val="0"/>
              <w:rPr>
                <w:color w:val="auto"/>
                <w:highlight w:val="none"/>
              </w:rPr>
            </w:pPr>
            <w:r>
              <w:rPr>
                <w:rFonts w:hint="eastAsia"/>
                <w:color w:val="auto"/>
                <w:highlight w:val="none"/>
              </w:rPr>
              <w:t>项目转移危险废物时，应填写危险废物转移联单，并根据《危险货物道路运输规则（系列）》（JT/T 617-2018）注明对应的危险货物联合国编号。</w:t>
            </w:r>
          </w:p>
          <w:p w14:paraId="106CDBE1">
            <w:pPr>
              <w:bidi w:val="0"/>
              <w:rPr>
                <w:rFonts w:hint="eastAsia"/>
                <w:color w:val="auto"/>
                <w:highlight w:val="none"/>
              </w:rPr>
            </w:pPr>
            <w:r>
              <w:rPr>
                <w:rFonts w:hint="eastAsia"/>
                <w:color w:val="auto"/>
                <w:highlight w:val="none"/>
              </w:rPr>
              <w:t>本项目危险废物管理台账可参照《危险废物管理计划和管理台账制定技术导则》（HJ 1259-2022）中附录B内容设置。保存时间原则上应存档5年以上。</w:t>
            </w:r>
          </w:p>
          <w:p w14:paraId="55974BB1">
            <w:pPr>
              <w:pStyle w:val="25"/>
              <w:bidi w:val="0"/>
              <w:rPr>
                <w:color w:val="auto"/>
                <w:highlight w:val="none"/>
              </w:rPr>
            </w:pPr>
            <w:r>
              <w:rPr>
                <w:rFonts w:hint="eastAsia"/>
                <w:color w:val="auto"/>
                <w:highlight w:val="none"/>
              </w:rPr>
              <w:t>贮存危险废物情况</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2"/>
              <w:gridCol w:w="852"/>
              <w:gridCol w:w="875"/>
              <w:gridCol w:w="874"/>
              <w:gridCol w:w="378"/>
              <w:gridCol w:w="653"/>
              <w:gridCol w:w="699"/>
              <w:gridCol w:w="881"/>
              <w:gridCol w:w="698"/>
              <w:gridCol w:w="578"/>
              <w:gridCol w:w="656"/>
            </w:tblGrid>
            <w:tr w14:paraId="525A7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tcBorders>
                    <w:tl2br w:val="nil"/>
                    <w:tr2bl w:val="nil"/>
                  </w:tcBorders>
                  <w:vAlign w:val="center"/>
                </w:tcPr>
                <w:p w14:paraId="15485F8D">
                  <w:pPr>
                    <w:pStyle w:val="27"/>
                    <w:spacing w:line="240" w:lineRule="auto"/>
                    <w:jc w:val="center"/>
                    <w:rPr>
                      <w:rFonts w:hint="eastAsia" w:eastAsiaTheme="minorEastAsia"/>
                      <w:color w:val="auto"/>
                      <w:highlight w:val="none"/>
                      <w:shd w:val="clear" w:color="auto" w:fill="auto"/>
                      <w:lang w:eastAsia="zh-CN"/>
                    </w:rPr>
                  </w:pPr>
                  <w:r>
                    <w:rPr>
                      <w:color w:val="auto"/>
                      <w:highlight w:val="none"/>
                      <w:shd w:val="clear" w:color="auto" w:fill="auto"/>
                    </w:rPr>
                    <w:t>危险废物名称</w:t>
                  </w:r>
                </w:p>
              </w:tc>
              <w:tc>
                <w:tcPr>
                  <w:tcW w:w="841" w:type="dxa"/>
                  <w:tcBorders>
                    <w:tl2br w:val="nil"/>
                    <w:tr2bl w:val="nil"/>
                  </w:tcBorders>
                  <w:vAlign w:val="center"/>
                </w:tcPr>
                <w:p w14:paraId="670BC81A">
                  <w:pPr>
                    <w:pStyle w:val="27"/>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类别</w:t>
                  </w:r>
                </w:p>
              </w:tc>
              <w:tc>
                <w:tcPr>
                  <w:tcW w:w="864" w:type="dxa"/>
                  <w:tcBorders>
                    <w:tl2br w:val="nil"/>
                    <w:tr2bl w:val="nil"/>
                  </w:tcBorders>
                  <w:vAlign w:val="center"/>
                </w:tcPr>
                <w:p w14:paraId="16CE4D63">
                  <w:pPr>
                    <w:pStyle w:val="27"/>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代码</w:t>
                  </w:r>
                </w:p>
              </w:tc>
              <w:tc>
                <w:tcPr>
                  <w:tcW w:w="863" w:type="dxa"/>
                  <w:tcBorders>
                    <w:tl2br w:val="nil"/>
                    <w:tr2bl w:val="nil"/>
                  </w:tcBorders>
                  <w:vAlign w:val="center"/>
                </w:tcPr>
                <w:p w14:paraId="06BCFFF7">
                  <w:pPr>
                    <w:pStyle w:val="27"/>
                    <w:spacing w:line="240" w:lineRule="auto"/>
                    <w:jc w:val="center"/>
                    <w:rPr>
                      <w:rFonts w:hint="eastAsia" w:eastAsiaTheme="minorEastAsia"/>
                      <w:color w:val="auto"/>
                      <w:highlight w:val="none"/>
                      <w:shd w:val="clear" w:color="auto" w:fill="auto"/>
                      <w:lang w:eastAsia="zh-CN"/>
                    </w:rPr>
                  </w:pPr>
                  <w:r>
                    <w:rPr>
                      <w:color w:val="auto"/>
                      <w:highlight w:val="none"/>
                      <w:shd w:val="clear" w:color="auto" w:fill="auto"/>
                    </w:rPr>
                    <w:t>来源</w:t>
                  </w:r>
                </w:p>
              </w:tc>
              <w:tc>
                <w:tcPr>
                  <w:tcW w:w="373" w:type="dxa"/>
                  <w:tcBorders>
                    <w:tl2br w:val="nil"/>
                    <w:tr2bl w:val="nil"/>
                  </w:tcBorders>
                  <w:vAlign w:val="center"/>
                </w:tcPr>
                <w:p w14:paraId="1B5CF8BB">
                  <w:pPr>
                    <w:pStyle w:val="27"/>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形态</w:t>
                  </w:r>
                </w:p>
              </w:tc>
              <w:tc>
                <w:tcPr>
                  <w:tcW w:w="645" w:type="dxa"/>
                  <w:tcBorders>
                    <w:tl2br w:val="nil"/>
                    <w:tr2bl w:val="nil"/>
                  </w:tcBorders>
                  <w:vAlign w:val="center"/>
                </w:tcPr>
                <w:p w14:paraId="7CDE5480">
                  <w:pPr>
                    <w:pStyle w:val="27"/>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lang w:eastAsia="zh-CN"/>
                    </w:rPr>
                    <w:t>危险特性</w:t>
                  </w:r>
                </w:p>
              </w:tc>
              <w:tc>
                <w:tcPr>
                  <w:tcW w:w="690" w:type="dxa"/>
                  <w:tcBorders>
                    <w:tl2br w:val="nil"/>
                    <w:tr2bl w:val="nil"/>
                  </w:tcBorders>
                  <w:vAlign w:val="center"/>
                </w:tcPr>
                <w:p w14:paraId="1348258C">
                  <w:pPr>
                    <w:pStyle w:val="27"/>
                    <w:spacing w:line="240" w:lineRule="auto"/>
                    <w:jc w:val="center"/>
                    <w:rPr>
                      <w:rFonts w:hint="eastAsia" w:eastAsiaTheme="minorEastAsia"/>
                      <w:color w:val="auto"/>
                      <w:highlight w:val="none"/>
                      <w:shd w:val="clear" w:color="auto" w:fill="auto"/>
                      <w:lang w:eastAsia="zh-CN"/>
                    </w:rPr>
                  </w:pPr>
                  <w:r>
                    <w:rPr>
                      <w:color w:val="auto"/>
                      <w:highlight w:val="none"/>
                      <w:shd w:val="clear" w:color="auto" w:fill="auto"/>
                    </w:rPr>
                    <w:t>年</w:t>
                  </w:r>
                  <w:r>
                    <w:rPr>
                      <w:rFonts w:hint="eastAsia"/>
                      <w:color w:val="auto"/>
                      <w:highlight w:val="none"/>
                      <w:shd w:val="clear" w:color="auto" w:fill="auto"/>
                      <w:lang w:eastAsia="zh-CN"/>
                    </w:rPr>
                    <w:t>产生量</w:t>
                  </w:r>
                  <w:r>
                    <w:rPr>
                      <w:color w:val="auto"/>
                      <w:highlight w:val="none"/>
                      <w:shd w:val="clear" w:color="auto" w:fill="auto"/>
                    </w:rPr>
                    <w:t>t/a</w:t>
                  </w:r>
                </w:p>
              </w:tc>
              <w:tc>
                <w:tcPr>
                  <w:tcW w:w="870" w:type="dxa"/>
                  <w:tcBorders>
                    <w:tl2br w:val="nil"/>
                    <w:tr2bl w:val="nil"/>
                  </w:tcBorders>
                  <w:vAlign w:val="center"/>
                </w:tcPr>
                <w:p w14:paraId="43A39995">
                  <w:pPr>
                    <w:pStyle w:val="27"/>
                    <w:spacing w:line="240" w:lineRule="auto"/>
                    <w:jc w:val="center"/>
                    <w:rPr>
                      <w:rFonts w:hint="eastAsia" w:eastAsiaTheme="minorEastAsia"/>
                      <w:color w:val="auto"/>
                      <w:highlight w:val="none"/>
                      <w:shd w:val="clear" w:color="auto" w:fill="auto"/>
                      <w:lang w:eastAsia="zh-CN"/>
                    </w:rPr>
                  </w:pPr>
                  <w:r>
                    <w:rPr>
                      <w:color w:val="auto"/>
                      <w:highlight w:val="none"/>
                      <w:shd w:val="clear" w:color="auto" w:fill="auto"/>
                    </w:rPr>
                    <w:t>贮存方式</w:t>
                  </w:r>
                </w:p>
              </w:tc>
              <w:tc>
                <w:tcPr>
                  <w:tcW w:w="689" w:type="dxa"/>
                  <w:tcBorders>
                    <w:tl2br w:val="nil"/>
                    <w:tr2bl w:val="nil"/>
                  </w:tcBorders>
                  <w:vAlign w:val="center"/>
                </w:tcPr>
                <w:p w14:paraId="68387144">
                  <w:pPr>
                    <w:pStyle w:val="27"/>
                    <w:spacing w:line="240" w:lineRule="auto"/>
                    <w:jc w:val="center"/>
                    <w:rPr>
                      <w:rFonts w:hint="default"/>
                      <w:color w:val="auto"/>
                      <w:highlight w:val="none"/>
                      <w:shd w:val="clear" w:color="auto" w:fill="auto"/>
                    </w:rPr>
                  </w:pPr>
                  <w:r>
                    <w:rPr>
                      <w:color w:val="auto"/>
                      <w:highlight w:val="none"/>
                      <w:shd w:val="clear" w:color="auto" w:fill="auto"/>
                    </w:rPr>
                    <w:t>最大贮存量t</w:t>
                  </w:r>
                </w:p>
              </w:tc>
              <w:tc>
                <w:tcPr>
                  <w:tcW w:w="571" w:type="dxa"/>
                  <w:tcBorders>
                    <w:tl2br w:val="nil"/>
                    <w:tr2bl w:val="nil"/>
                  </w:tcBorders>
                  <w:vAlign w:val="center"/>
                </w:tcPr>
                <w:p w14:paraId="5344A92B">
                  <w:pPr>
                    <w:pStyle w:val="27"/>
                    <w:spacing w:line="240" w:lineRule="auto"/>
                    <w:jc w:val="center"/>
                    <w:rPr>
                      <w:rFonts w:hint="default"/>
                      <w:color w:val="auto"/>
                      <w:highlight w:val="none"/>
                      <w:shd w:val="clear" w:color="auto" w:fill="auto"/>
                    </w:rPr>
                  </w:pPr>
                  <w:r>
                    <w:rPr>
                      <w:color w:val="auto"/>
                      <w:highlight w:val="none"/>
                      <w:shd w:val="clear" w:color="auto" w:fill="auto"/>
                    </w:rPr>
                    <w:t>贮存周期</w:t>
                  </w:r>
                </w:p>
              </w:tc>
              <w:tc>
                <w:tcPr>
                  <w:tcW w:w="648" w:type="dxa"/>
                  <w:tcBorders>
                    <w:tl2br w:val="nil"/>
                    <w:tr2bl w:val="nil"/>
                  </w:tcBorders>
                  <w:vAlign w:val="center"/>
                </w:tcPr>
                <w:p w14:paraId="7ABC8968">
                  <w:pPr>
                    <w:pStyle w:val="27"/>
                    <w:spacing w:line="240" w:lineRule="auto"/>
                    <w:jc w:val="center"/>
                    <w:rPr>
                      <w:rFonts w:hint="eastAsia" w:ascii="仿宋" w:hAnsi="仿宋" w:eastAsia="仿宋" w:cs="仿宋"/>
                      <w:color w:val="auto"/>
                      <w:highlight w:val="none"/>
                      <w:shd w:val="clear" w:color="auto" w:fill="auto"/>
                      <w:lang w:eastAsia="zh-CN"/>
                    </w:rPr>
                  </w:pPr>
                  <w:r>
                    <w:rPr>
                      <w:rFonts w:hint="eastAsia"/>
                      <w:color w:val="auto"/>
                      <w:highlight w:val="none"/>
                      <w:shd w:val="clear" w:color="auto" w:fill="auto"/>
                      <w:lang w:eastAsia="zh-CN"/>
                    </w:rPr>
                    <w:t>转运频次</w:t>
                  </w:r>
                </w:p>
              </w:tc>
            </w:tr>
            <w:tr w14:paraId="745CBC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tcBorders>
                    <w:tl2br w:val="nil"/>
                    <w:tr2bl w:val="nil"/>
                  </w:tcBorders>
                  <w:vAlign w:val="center"/>
                </w:tcPr>
                <w:p w14:paraId="504D8E3C">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val="en-US" w:eastAsia="zh-CN"/>
                    </w:rPr>
                    <w:t>废蓄电池</w:t>
                  </w:r>
                </w:p>
              </w:tc>
              <w:tc>
                <w:tcPr>
                  <w:tcW w:w="841" w:type="dxa"/>
                  <w:tcBorders>
                    <w:tl2br w:val="nil"/>
                    <w:tr2bl w:val="nil"/>
                  </w:tcBorders>
                  <w:vAlign w:val="center"/>
                </w:tcPr>
                <w:p w14:paraId="1BC84E41">
                  <w:pPr>
                    <w:pStyle w:val="24"/>
                    <w:ind w:firstLine="0" w:firstLineChars="0"/>
                    <w:jc w:val="center"/>
                    <w:rPr>
                      <w:rFonts w:hint="eastAsia"/>
                      <w:color w:val="auto"/>
                      <w:highlight w:val="none"/>
                      <w:shd w:val="clear" w:color="auto" w:fill="auto"/>
                      <w:lang w:val="en-US" w:eastAsia="zh-CN"/>
                    </w:rPr>
                  </w:pPr>
                  <w:r>
                    <w:rPr>
                      <w:rFonts w:hint="eastAsia"/>
                      <w:color w:val="auto"/>
                      <w:highlight w:val="none"/>
                      <w:shd w:val="clear" w:color="auto" w:fill="auto"/>
                    </w:rPr>
                    <w:t>HW31</w:t>
                  </w:r>
                </w:p>
              </w:tc>
              <w:tc>
                <w:tcPr>
                  <w:tcW w:w="864" w:type="dxa"/>
                  <w:tcBorders>
                    <w:tl2br w:val="nil"/>
                    <w:tr2bl w:val="nil"/>
                  </w:tcBorders>
                  <w:vAlign w:val="center"/>
                </w:tcPr>
                <w:p w14:paraId="4D840FD7">
                  <w:pPr>
                    <w:pStyle w:val="24"/>
                    <w:ind w:firstLine="0" w:firstLineChars="0"/>
                    <w:jc w:val="center"/>
                    <w:rPr>
                      <w:rFonts w:hint="eastAsia"/>
                      <w:color w:val="auto"/>
                      <w:highlight w:val="none"/>
                      <w:shd w:val="clear" w:color="auto" w:fill="auto"/>
                      <w:lang w:val="en-US" w:eastAsia="zh-CN"/>
                    </w:rPr>
                  </w:pPr>
                  <w:r>
                    <w:rPr>
                      <w:rFonts w:hint="eastAsia"/>
                      <w:color w:val="auto"/>
                      <w:highlight w:val="none"/>
                      <w:shd w:val="clear" w:color="auto" w:fill="auto"/>
                    </w:rPr>
                    <w:t>900-052-31</w:t>
                  </w:r>
                </w:p>
              </w:tc>
              <w:tc>
                <w:tcPr>
                  <w:tcW w:w="863" w:type="dxa"/>
                  <w:tcBorders>
                    <w:tl2br w:val="nil"/>
                    <w:tr2bl w:val="nil"/>
                  </w:tcBorders>
                  <w:vAlign w:val="center"/>
                </w:tcPr>
                <w:p w14:paraId="354B7938">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设备维护</w:t>
                  </w:r>
                </w:p>
              </w:tc>
              <w:tc>
                <w:tcPr>
                  <w:tcW w:w="373" w:type="dxa"/>
                  <w:tcBorders>
                    <w:tl2br w:val="nil"/>
                    <w:tr2bl w:val="nil"/>
                  </w:tcBorders>
                  <w:vAlign w:val="center"/>
                </w:tcPr>
                <w:p w14:paraId="40111088">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固</w:t>
                  </w:r>
                </w:p>
              </w:tc>
              <w:tc>
                <w:tcPr>
                  <w:tcW w:w="645" w:type="dxa"/>
                  <w:tcBorders>
                    <w:tl2br w:val="nil"/>
                    <w:tr2bl w:val="nil"/>
                  </w:tcBorders>
                  <w:vAlign w:val="center"/>
                </w:tcPr>
                <w:p w14:paraId="5D7EFFF3">
                  <w:pPr>
                    <w:pStyle w:val="24"/>
                    <w:spacing w:line="240" w:lineRule="auto"/>
                    <w:jc w:val="center"/>
                    <w:rPr>
                      <w:color w:val="auto"/>
                      <w:highlight w:val="none"/>
                      <w:shd w:val="clear" w:color="auto" w:fill="auto"/>
                    </w:rPr>
                  </w:pPr>
                  <w:r>
                    <w:rPr>
                      <w:rFonts w:hint="eastAsia"/>
                      <w:color w:val="auto"/>
                      <w:highlight w:val="none"/>
                      <w:shd w:val="clear" w:color="auto" w:fill="auto"/>
                    </w:rPr>
                    <w:t>T，C</w:t>
                  </w:r>
                </w:p>
              </w:tc>
              <w:tc>
                <w:tcPr>
                  <w:tcW w:w="690" w:type="dxa"/>
                  <w:tcBorders>
                    <w:tl2br w:val="nil"/>
                    <w:tr2bl w:val="nil"/>
                  </w:tcBorders>
                  <w:vAlign w:val="center"/>
                </w:tcPr>
                <w:p w14:paraId="4F8964A7">
                  <w:pPr>
                    <w:pStyle w:val="24"/>
                    <w:spacing w:line="240" w:lineRule="auto"/>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0.52</w:t>
                  </w:r>
                </w:p>
              </w:tc>
              <w:tc>
                <w:tcPr>
                  <w:tcW w:w="870" w:type="dxa"/>
                  <w:tcBorders>
                    <w:tl2br w:val="nil"/>
                    <w:tr2bl w:val="nil"/>
                  </w:tcBorders>
                  <w:vAlign w:val="center"/>
                </w:tcPr>
                <w:p w14:paraId="13608104">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rPr>
                    <w:t>耐酸耐腐蚀</w:t>
                  </w:r>
                  <w:r>
                    <w:rPr>
                      <w:rFonts w:hint="eastAsia"/>
                      <w:color w:val="auto"/>
                      <w:highlight w:val="none"/>
                      <w:shd w:val="clear" w:color="auto" w:fill="auto"/>
                      <w:lang w:eastAsia="zh-CN"/>
                    </w:rPr>
                    <w:t>箱</w:t>
                  </w:r>
                </w:p>
              </w:tc>
              <w:tc>
                <w:tcPr>
                  <w:tcW w:w="689" w:type="dxa"/>
                  <w:tcBorders>
                    <w:tl2br w:val="nil"/>
                    <w:tr2bl w:val="nil"/>
                  </w:tcBorders>
                  <w:vAlign w:val="center"/>
                </w:tcPr>
                <w:p w14:paraId="513F5250">
                  <w:pPr>
                    <w:pStyle w:val="24"/>
                    <w:spacing w:line="240" w:lineRule="auto"/>
                    <w:ind w:firstLine="0" w:firstLineChars="0"/>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0.52</w:t>
                  </w:r>
                </w:p>
              </w:tc>
              <w:tc>
                <w:tcPr>
                  <w:tcW w:w="571" w:type="dxa"/>
                  <w:tcBorders>
                    <w:tl2br w:val="nil"/>
                    <w:tr2bl w:val="nil"/>
                  </w:tcBorders>
                  <w:vAlign w:val="center"/>
                </w:tcPr>
                <w:p w14:paraId="769BD33E">
                  <w:pPr>
                    <w:pStyle w:val="24"/>
                    <w:spacing w:line="240" w:lineRule="auto"/>
                    <w:ind w:firstLine="0" w:firstLineChars="0"/>
                    <w:jc w:val="center"/>
                    <w:rPr>
                      <w:color w:val="auto"/>
                      <w:highlight w:val="none"/>
                      <w:shd w:val="clear" w:color="auto" w:fill="auto"/>
                    </w:rPr>
                  </w:pPr>
                  <w:r>
                    <w:rPr>
                      <w:rFonts w:hint="eastAsia" w:ascii="Times New Roman" w:hAnsi="Times New Roman" w:eastAsia="宋体" w:cs="Times New Roman"/>
                      <w:color w:val="auto"/>
                      <w:sz w:val="21"/>
                      <w:szCs w:val="21"/>
                      <w:highlight w:val="none"/>
                    </w:rPr>
                    <w:t>≤1a</w:t>
                  </w:r>
                </w:p>
              </w:tc>
              <w:tc>
                <w:tcPr>
                  <w:tcW w:w="648" w:type="dxa"/>
                  <w:tcBorders>
                    <w:tl2br w:val="nil"/>
                    <w:tr2bl w:val="nil"/>
                  </w:tcBorders>
                  <w:vAlign w:val="center"/>
                </w:tcPr>
                <w:p w14:paraId="6DA96DEE">
                  <w:pPr>
                    <w:pStyle w:val="24"/>
                    <w:spacing w:line="240" w:lineRule="auto"/>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1次/a</w:t>
                  </w:r>
                </w:p>
              </w:tc>
            </w:tr>
            <w:tr w14:paraId="3DA603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vAlign w:val="center"/>
                </w:tcPr>
                <w:p w14:paraId="0CBFC6C1">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废液压油</w:t>
                  </w:r>
                </w:p>
              </w:tc>
              <w:tc>
                <w:tcPr>
                  <w:tcW w:w="841" w:type="dxa"/>
                  <w:vAlign w:val="center"/>
                </w:tcPr>
                <w:p w14:paraId="0BC50BC1">
                  <w:pPr>
                    <w:pStyle w:val="24"/>
                    <w:spacing w:line="240" w:lineRule="auto"/>
                    <w:jc w:val="center"/>
                    <w:rPr>
                      <w:rFonts w:hint="default"/>
                      <w:color w:val="auto"/>
                      <w:highlight w:val="none"/>
                      <w:shd w:val="clear" w:color="auto" w:fill="auto"/>
                      <w:lang w:val="en-US" w:eastAsia="zh-CN"/>
                    </w:rPr>
                  </w:pPr>
                  <w:r>
                    <w:rPr>
                      <w:rFonts w:hint="eastAsia"/>
                      <w:color w:val="auto"/>
                      <w:highlight w:val="none"/>
                      <w:shd w:val="clear" w:color="auto" w:fill="auto"/>
                      <w:lang w:val="en-US" w:eastAsia="zh-CN"/>
                    </w:rPr>
                    <w:t>HW08</w:t>
                  </w:r>
                </w:p>
              </w:tc>
              <w:tc>
                <w:tcPr>
                  <w:tcW w:w="864" w:type="dxa"/>
                  <w:vAlign w:val="center"/>
                </w:tcPr>
                <w:p w14:paraId="59E63DCB">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rPr>
                    <w:t>900-218-08</w:t>
                  </w:r>
                </w:p>
              </w:tc>
              <w:tc>
                <w:tcPr>
                  <w:tcW w:w="863" w:type="dxa"/>
                  <w:vAlign w:val="center"/>
                </w:tcPr>
                <w:p w14:paraId="76FF6CFF">
                  <w:pPr>
                    <w:pStyle w:val="24"/>
                    <w:spacing w:line="240" w:lineRule="auto"/>
                    <w:jc w:val="center"/>
                    <w:rPr>
                      <w:color w:val="auto"/>
                      <w:highlight w:val="none"/>
                      <w:shd w:val="clear" w:color="auto" w:fill="auto"/>
                    </w:rPr>
                  </w:pPr>
                  <w:r>
                    <w:rPr>
                      <w:rFonts w:hint="eastAsia"/>
                      <w:color w:val="auto"/>
                      <w:highlight w:val="none"/>
                      <w:shd w:val="clear" w:color="auto" w:fill="auto"/>
                      <w:lang w:eastAsia="zh-CN"/>
                    </w:rPr>
                    <w:t>设备维护</w:t>
                  </w:r>
                </w:p>
              </w:tc>
              <w:tc>
                <w:tcPr>
                  <w:tcW w:w="373" w:type="dxa"/>
                  <w:vAlign w:val="center"/>
                </w:tcPr>
                <w:p w14:paraId="2AF81DD5">
                  <w:pPr>
                    <w:pStyle w:val="24"/>
                    <w:spacing w:line="240" w:lineRule="auto"/>
                    <w:jc w:val="center"/>
                    <w:rPr>
                      <w:color w:val="auto"/>
                      <w:highlight w:val="none"/>
                      <w:shd w:val="clear" w:color="auto" w:fill="auto"/>
                    </w:rPr>
                  </w:pPr>
                  <w:r>
                    <w:rPr>
                      <w:rFonts w:hint="eastAsia"/>
                      <w:color w:val="auto"/>
                      <w:highlight w:val="none"/>
                      <w:shd w:val="clear" w:color="auto" w:fill="auto"/>
                      <w:lang w:eastAsia="zh-CN"/>
                    </w:rPr>
                    <w:t>液</w:t>
                  </w:r>
                </w:p>
              </w:tc>
              <w:tc>
                <w:tcPr>
                  <w:tcW w:w="645" w:type="dxa"/>
                  <w:vAlign w:val="center"/>
                </w:tcPr>
                <w:p w14:paraId="4C16435C">
                  <w:pPr>
                    <w:pStyle w:val="24"/>
                    <w:spacing w:line="240" w:lineRule="auto"/>
                    <w:jc w:val="center"/>
                    <w:rPr>
                      <w:color w:val="auto"/>
                      <w:highlight w:val="none"/>
                      <w:shd w:val="clear" w:color="auto" w:fill="auto"/>
                    </w:rPr>
                  </w:pPr>
                  <w:r>
                    <w:rPr>
                      <w:rFonts w:hint="eastAsia"/>
                      <w:color w:val="auto"/>
                      <w:highlight w:val="none"/>
                      <w:shd w:val="clear" w:color="auto" w:fill="auto"/>
                    </w:rPr>
                    <w:t>T，I</w:t>
                  </w:r>
                </w:p>
              </w:tc>
              <w:tc>
                <w:tcPr>
                  <w:tcW w:w="690" w:type="dxa"/>
                  <w:vAlign w:val="center"/>
                </w:tcPr>
                <w:p w14:paraId="57D321CE">
                  <w:pPr>
                    <w:pStyle w:val="24"/>
                    <w:spacing w:line="240" w:lineRule="auto"/>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0.2</w:t>
                  </w:r>
                </w:p>
              </w:tc>
              <w:tc>
                <w:tcPr>
                  <w:tcW w:w="870" w:type="dxa"/>
                  <w:vAlign w:val="center"/>
                </w:tcPr>
                <w:p w14:paraId="70EE4601">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铁桶</w:t>
                  </w:r>
                </w:p>
              </w:tc>
              <w:tc>
                <w:tcPr>
                  <w:tcW w:w="689" w:type="dxa"/>
                  <w:vAlign w:val="center"/>
                </w:tcPr>
                <w:p w14:paraId="25CC8E09">
                  <w:pPr>
                    <w:pStyle w:val="24"/>
                    <w:spacing w:line="240" w:lineRule="auto"/>
                    <w:ind w:firstLine="0" w:firstLineChars="0"/>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0.2</w:t>
                  </w:r>
                </w:p>
              </w:tc>
              <w:tc>
                <w:tcPr>
                  <w:tcW w:w="571" w:type="dxa"/>
                  <w:vAlign w:val="center"/>
                </w:tcPr>
                <w:p w14:paraId="25B6BF5C">
                  <w:pPr>
                    <w:pStyle w:val="24"/>
                    <w:spacing w:line="240" w:lineRule="auto"/>
                    <w:ind w:firstLine="0" w:firstLineChars="0"/>
                    <w:jc w:val="center"/>
                    <w:rPr>
                      <w:color w:val="auto"/>
                      <w:highlight w:val="none"/>
                      <w:shd w:val="clear" w:color="auto" w:fill="auto"/>
                    </w:rPr>
                  </w:pPr>
                  <w:r>
                    <w:rPr>
                      <w:rFonts w:hint="eastAsia" w:ascii="Times New Roman" w:hAnsi="Times New Roman" w:eastAsia="宋体" w:cs="Times New Roman"/>
                      <w:color w:val="auto"/>
                      <w:sz w:val="21"/>
                      <w:szCs w:val="21"/>
                      <w:highlight w:val="none"/>
                    </w:rPr>
                    <w:t>≤1a</w:t>
                  </w:r>
                </w:p>
              </w:tc>
              <w:tc>
                <w:tcPr>
                  <w:tcW w:w="648" w:type="dxa"/>
                  <w:vAlign w:val="center"/>
                </w:tcPr>
                <w:p w14:paraId="5C8D72A2">
                  <w:pPr>
                    <w:pStyle w:val="24"/>
                    <w:spacing w:line="240" w:lineRule="auto"/>
                    <w:jc w:val="center"/>
                    <w:rPr>
                      <w:color w:val="auto"/>
                      <w:highlight w:val="none"/>
                      <w:shd w:val="clear" w:color="auto" w:fill="auto"/>
                    </w:rPr>
                  </w:pPr>
                  <w:r>
                    <w:rPr>
                      <w:rFonts w:hint="eastAsia"/>
                      <w:color w:val="auto"/>
                      <w:highlight w:val="none"/>
                      <w:shd w:val="clear" w:color="auto" w:fill="auto"/>
                      <w:lang w:val="en-US" w:eastAsia="zh-CN"/>
                    </w:rPr>
                    <w:t>1次/a</w:t>
                  </w:r>
                </w:p>
              </w:tc>
            </w:tr>
            <w:tr w14:paraId="0A96B0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vAlign w:val="center"/>
                </w:tcPr>
                <w:p w14:paraId="23A8A71A">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废空压机油、废汽轮机油</w:t>
                  </w:r>
                </w:p>
              </w:tc>
              <w:tc>
                <w:tcPr>
                  <w:tcW w:w="841" w:type="dxa"/>
                  <w:vAlign w:val="center"/>
                </w:tcPr>
                <w:p w14:paraId="5D7BEAB0">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lang w:val="en-US" w:eastAsia="zh-CN"/>
                    </w:rPr>
                    <w:t>HW08</w:t>
                  </w:r>
                </w:p>
              </w:tc>
              <w:tc>
                <w:tcPr>
                  <w:tcW w:w="864" w:type="dxa"/>
                  <w:vAlign w:val="center"/>
                </w:tcPr>
                <w:p w14:paraId="60C82051">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lang w:eastAsia="zh-CN"/>
                    </w:rPr>
                    <w:t>900-214-08</w:t>
                  </w:r>
                </w:p>
              </w:tc>
              <w:tc>
                <w:tcPr>
                  <w:tcW w:w="863" w:type="dxa"/>
                  <w:vAlign w:val="center"/>
                </w:tcPr>
                <w:p w14:paraId="75A438AC">
                  <w:pPr>
                    <w:pStyle w:val="24"/>
                    <w:spacing w:line="240" w:lineRule="auto"/>
                    <w:jc w:val="center"/>
                    <w:rPr>
                      <w:color w:val="auto"/>
                      <w:highlight w:val="none"/>
                      <w:shd w:val="clear" w:color="auto" w:fill="auto"/>
                    </w:rPr>
                  </w:pPr>
                  <w:r>
                    <w:rPr>
                      <w:rFonts w:hint="eastAsia"/>
                      <w:color w:val="auto"/>
                      <w:highlight w:val="none"/>
                      <w:shd w:val="clear" w:color="auto" w:fill="auto"/>
                      <w:lang w:eastAsia="zh-CN"/>
                    </w:rPr>
                    <w:t>设备维护</w:t>
                  </w:r>
                </w:p>
              </w:tc>
              <w:tc>
                <w:tcPr>
                  <w:tcW w:w="373" w:type="dxa"/>
                  <w:vAlign w:val="center"/>
                </w:tcPr>
                <w:p w14:paraId="460E482C">
                  <w:pPr>
                    <w:pStyle w:val="24"/>
                    <w:spacing w:line="240" w:lineRule="auto"/>
                    <w:jc w:val="center"/>
                    <w:rPr>
                      <w:color w:val="auto"/>
                      <w:highlight w:val="none"/>
                      <w:shd w:val="clear" w:color="auto" w:fill="auto"/>
                    </w:rPr>
                  </w:pPr>
                  <w:r>
                    <w:rPr>
                      <w:rFonts w:hint="eastAsia"/>
                      <w:color w:val="auto"/>
                      <w:highlight w:val="none"/>
                      <w:shd w:val="clear" w:color="auto" w:fill="auto"/>
                      <w:lang w:eastAsia="zh-CN"/>
                    </w:rPr>
                    <w:t>液</w:t>
                  </w:r>
                </w:p>
              </w:tc>
              <w:tc>
                <w:tcPr>
                  <w:tcW w:w="645" w:type="dxa"/>
                  <w:vAlign w:val="center"/>
                </w:tcPr>
                <w:p w14:paraId="7DB71C9C">
                  <w:pPr>
                    <w:pStyle w:val="24"/>
                    <w:spacing w:line="240" w:lineRule="auto"/>
                    <w:jc w:val="center"/>
                    <w:rPr>
                      <w:color w:val="auto"/>
                      <w:highlight w:val="none"/>
                      <w:shd w:val="clear" w:color="auto" w:fill="auto"/>
                    </w:rPr>
                  </w:pPr>
                  <w:r>
                    <w:rPr>
                      <w:rFonts w:hint="eastAsia"/>
                      <w:color w:val="auto"/>
                      <w:highlight w:val="none"/>
                      <w:shd w:val="clear" w:color="auto" w:fill="auto"/>
                    </w:rPr>
                    <w:t>T，I</w:t>
                  </w:r>
                </w:p>
              </w:tc>
              <w:tc>
                <w:tcPr>
                  <w:tcW w:w="690" w:type="dxa"/>
                  <w:vAlign w:val="center"/>
                </w:tcPr>
                <w:p w14:paraId="0C22F125">
                  <w:pPr>
                    <w:pStyle w:val="24"/>
                    <w:spacing w:line="240" w:lineRule="auto"/>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0.5</w:t>
                  </w:r>
                </w:p>
              </w:tc>
              <w:tc>
                <w:tcPr>
                  <w:tcW w:w="870" w:type="dxa"/>
                  <w:vAlign w:val="center"/>
                </w:tcPr>
                <w:p w14:paraId="67A272A4">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铁桶</w:t>
                  </w:r>
                </w:p>
              </w:tc>
              <w:tc>
                <w:tcPr>
                  <w:tcW w:w="689" w:type="dxa"/>
                  <w:vAlign w:val="center"/>
                </w:tcPr>
                <w:p w14:paraId="5AF0F7D5">
                  <w:pPr>
                    <w:pStyle w:val="24"/>
                    <w:spacing w:line="240" w:lineRule="auto"/>
                    <w:ind w:firstLine="0" w:firstLineChars="0"/>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0.5</w:t>
                  </w:r>
                </w:p>
              </w:tc>
              <w:tc>
                <w:tcPr>
                  <w:tcW w:w="571" w:type="dxa"/>
                  <w:vAlign w:val="center"/>
                </w:tcPr>
                <w:p w14:paraId="4769F5CC">
                  <w:pPr>
                    <w:pStyle w:val="24"/>
                    <w:spacing w:line="240" w:lineRule="auto"/>
                    <w:ind w:firstLine="0" w:firstLineChars="0"/>
                    <w:jc w:val="center"/>
                    <w:rPr>
                      <w:color w:val="auto"/>
                      <w:highlight w:val="none"/>
                      <w:shd w:val="clear" w:color="auto" w:fill="auto"/>
                    </w:rPr>
                  </w:pPr>
                  <w:r>
                    <w:rPr>
                      <w:rFonts w:hint="eastAsia" w:ascii="Times New Roman" w:hAnsi="Times New Roman" w:eastAsia="宋体" w:cs="Times New Roman"/>
                      <w:color w:val="auto"/>
                      <w:sz w:val="21"/>
                      <w:szCs w:val="21"/>
                      <w:highlight w:val="none"/>
                    </w:rPr>
                    <w:t>≤1a</w:t>
                  </w:r>
                </w:p>
              </w:tc>
              <w:tc>
                <w:tcPr>
                  <w:tcW w:w="648" w:type="dxa"/>
                  <w:vAlign w:val="center"/>
                </w:tcPr>
                <w:p w14:paraId="0B87293C">
                  <w:pPr>
                    <w:pStyle w:val="24"/>
                    <w:spacing w:line="240" w:lineRule="auto"/>
                    <w:jc w:val="center"/>
                    <w:rPr>
                      <w:color w:val="auto"/>
                      <w:highlight w:val="none"/>
                      <w:shd w:val="clear" w:color="auto" w:fill="auto"/>
                    </w:rPr>
                  </w:pPr>
                  <w:r>
                    <w:rPr>
                      <w:rFonts w:hint="eastAsia"/>
                      <w:color w:val="auto"/>
                      <w:highlight w:val="none"/>
                      <w:shd w:val="clear" w:color="auto" w:fill="auto"/>
                      <w:lang w:val="en-US" w:eastAsia="zh-CN"/>
                    </w:rPr>
                    <w:t>1次/a</w:t>
                  </w:r>
                </w:p>
              </w:tc>
            </w:tr>
            <w:tr w14:paraId="69EBDA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vAlign w:val="center"/>
                </w:tcPr>
                <w:p w14:paraId="64DE6B1C">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lang w:eastAsia="zh-CN"/>
                    </w:rPr>
                    <w:t>废变压器油</w:t>
                  </w:r>
                </w:p>
              </w:tc>
              <w:tc>
                <w:tcPr>
                  <w:tcW w:w="841" w:type="dxa"/>
                  <w:vAlign w:val="center"/>
                </w:tcPr>
                <w:p w14:paraId="71C60E93">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lang w:val="en-US" w:eastAsia="zh-CN"/>
                    </w:rPr>
                    <w:t>HW08</w:t>
                  </w:r>
                </w:p>
              </w:tc>
              <w:tc>
                <w:tcPr>
                  <w:tcW w:w="864" w:type="dxa"/>
                  <w:vAlign w:val="center"/>
                </w:tcPr>
                <w:p w14:paraId="66A4BC56">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lang w:eastAsia="zh-CN"/>
                    </w:rPr>
                    <w:t>900-220-08</w:t>
                  </w:r>
                </w:p>
              </w:tc>
              <w:tc>
                <w:tcPr>
                  <w:tcW w:w="863" w:type="dxa"/>
                  <w:vAlign w:val="center"/>
                </w:tcPr>
                <w:p w14:paraId="4AE269F0">
                  <w:pPr>
                    <w:pStyle w:val="24"/>
                    <w:spacing w:line="240" w:lineRule="auto"/>
                    <w:jc w:val="center"/>
                    <w:rPr>
                      <w:color w:val="auto"/>
                      <w:highlight w:val="none"/>
                      <w:shd w:val="clear" w:color="auto" w:fill="auto"/>
                    </w:rPr>
                  </w:pPr>
                  <w:r>
                    <w:rPr>
                      <w:rFonts w:hint="eastAsia"/>
                      <w:color w:val="auto"/>
                      <w:highlight w:val="none"/>
                      <w:shd w:val="clear" w:color="auto" w:fill="auto"/>
                      <w:lang w:eastAsia="zh-CN"/>
                    </w:rPr>
                    <w:t>设备维护</w:t>
                  </w:r>
                </w:p>
              </w:tc>
              <w:tc>
                <w:tcPr>
                  <w:tcW w:w="373" w:type="dxa"/>
                  <w:vAlign w:val="center"/>
                </w:tcPr>
                <w:p w14:paraId="1272F9B0">
                  <w:pPr>
                    <w:pStyle w:val="24"/>
                    <w:spacing w:line="240" w:lineRule="auto"/>
                    <w:jc w:val="center"/>
                    <w:rPr>
                      <w:color w:val="auto"/>
                      <w:highlight w:val="none"/>
                      <w:shd w:val="clear" w:color="auto" w:fill="auto"/>
                    </w:rPr>
                  </w:pPr>
                  <w:r>
                    <w:rPr>
                      <w:rFonts w:hint="eastAsia"/>
                      <w:color w:val="auto"/>
                      <w:highlight w:val="none"/>
                      <w:shd w:val="clear" w:color="auto" w:fill="auto"/>
                      <w:lang w:eastAsia="zh-CN"/>
                    </w:rPr>
                    <w:t>液</w:t>
                  </w:r>
                </w:p>
              </w:tc>
              <w:tc>
                <w:tcPr>
                  <w:tcW w:w="645" w:type="dxa"/>
                  <w:vAlign w:val="center"/>
                </w:tcPr>
                <w:p w14:paraId="4997A9CF">
                  <w:pPr>
                    <w:pStyle w:val="24"/>
                    <w:spacing w:line="240" w:lineRule="auto"/>
                    <w:jc w:val="center"/>
                    <w:rPr>
                      <w:color w:val="auto"/>
                      <w:highlight w:val="none"/>
                      <w:shd w:val="clear" w:color="auto" w:fill="auto"/>
                    </w:rPr>
                  </w:pPr>
                  <w:r>
                    <w:rPr>
                      <w:rFonts w:hint="eastAsia"/>
                      <w:color w:val="auto"/>
                      <w:highlight w:val="none"/>
                      <w:shd w:val="clear" w:color="auto" w:fill="auto"/>
                    </w:rPr>
                    <w:t>T，I</w:t>
                  </w:r>
                </w:p>
              </w:tc>
              <w:tc>
                <w:tcPr>
                  <w:tcW w:w="690" w:type="dxa"/>
                  <w:vAlign w:val="center"/>
                </w:tcPr>
                <w:p w14:paraId="5FAA8883">
                  <w:pPr>
                    <w:pStyle w:val="24"/>
                    <w:spacing w:line="240" w:lineRule="auto"/>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0.5</w:t>
                  </w:r>
                </w:p>
              </w:tc>
              <w:tc>
                <w:tcPr>
                  <w:tcW w:w="870" w:type="dxa"/>
                  <w:vAlign w:val="center"/>
                </w:tcPr>
                <w:p w14:paraId="0F9226E2">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lang w:eastAsia="zh-CN"/>
                    </w:rPr>
                    <w:t>铁桶</w:t>
                  </w:r>
                </w:p>
              </w:tc>
              <w:tc>
                <w:tcPr>
                  <w:tcW w:w="689" w:type="dxa"/>
                  <w:vAlign w:val="center"/>
                </w:tcPr>
                <w:p w14:paraId="2F97FCEF">
                  <w:pPr>
                    <w:pStyle w:val="24"/>
                    <w:spacing w:line="240" w:lineRule="auto"/>
                    <w:ind w:firstLine="0" w:firstLineChars="0"/>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0.5</w:t>
                  </w:r>
                </w:p>
              </w:tc>
              <w:tc>
                <w:tcPr>
                  <w:tcW w:w="571" w:type="dxa"/>
                  <w:vAlign w:val="center"/>
                </w:tcPr>
                <w:p w14:paraId="6EC7F139">
                  <w:pPr>
                    <w:pStyle w:val="24"/>
                    <w:spacing w:line="240" w:lineRule="auto"/>
                    <w:ind w:firstLine="0" w:firstLineChars="0"/>
                    <w:jc w:val="center"/>
                    <w:rPr>
                      <w:color w:val="auto"/>
                      <w:highlight w:val="none"/>
                      <w:shd w:val="clear" w:color="auto" w:fill="auto"/>
                    </w:rPr>
                  </w:pPr>
                  <w:r>
                    <w:rPr>
                      <w:rFonts w:hint="eastAsia" w:cs="Times New Roman"/>
                      <w:color w:val="auto"/>
                      <w:kern w:val="2"/>
                      <w:sz w:val="21"/>
                      <w:szCs w:val="21"/>
                      <w:highlight w:val="none"/>
                      <w:lang w:val="en-US" w:eastAsia="zh-CN" w:bidi="ar-SA"/>
                    </w:rPr>
                    <w:t>≤1a</w:t>
                  </w:r>
                </w:p>
              </w:tc>
              <w:tc>
                <w:tcPr>
                  <w:tcW w:w="648" w:type="dxa"/>
                  <w:vAlign w:val="center"/>
                </w:tcPr>
                <w:p w14:paraId="78F3B1D2">
                  <w:pPr>
                    <w:pStyle w:val="24"/>
                    <w:spacing w:line="240" w:lineRule="auto"/>
                    <w:jc w:val="center"/>
                    <w:rPr>
                      <w:color w:val="auto"/>
                      <w:highlight w:val="none"/>
                      <w:shd w:val="clear" w:color="auto" w:fill="auto"/>
                    </w:rPr>
                  </w:pPr>
                  <w:r>
                    <w:rPr>
                      <w:rFonts w:hint="eastAsia"/>
                      <w:color w:val="auto"/>
                      <w:highlight w:val="none"/>
                      <w:shd w:val="clear" w:color="auto" w:fill="auto"/>
                      <w:lang w:val="en-US" w:eastAsia="zh-CN"/>
                    </w:rPr>
                    <w:t>1次/a</w:t>
                  </w:r>
                </w:p>
              </w:tc>
            </w:tr>
            <w:tr w14:paraId="2798A8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vAlign w:val="center"/>
                </w:tcPr>
                <w:p w14:paraId="02E10A53">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lang w:eastAsia="zh-CN"/>
                    </w:rPr>
                    <w:t>废润滑油</w:t>
                  </w:r>
                </w:p>
              </w:tc>
              <w:tc>
                <w:tcPr>
                  <w:tcW w:w="841" w:type="dxa"/>
                  <w:vAlign w:val="center"/>
                </w:tcPr>
                <w:p w14:paraId="66FF7CD6">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lang w:val="en-US" w:eastAsia="zh-CN"/>
                    </w:rPr>
                    <w:t>HW08</w:t>
                  </w:r>
                </w:p>
              </w:tc>
              <w:tc>
                <w:tcPr>
                  <w:tcW w:w="864" w:type="dxa"/>
                  <w:vAlign w:val="center"/>
                </w:tcPr>
                <w:p w14:paraId="626D0D86">
                  <w:pPr>
                    <w:pStyle w:val="24"/>
                    <w:spacing w:line="240" w:lineRule="auto"/>
                    <w:jc w:val="center"/>
                    <w:rPr>
                      <w:rFonts w:hint="default"/>
                      <w:color w:val="auto"/>
                      <w:highlight w:val="none"/>
                      <w:shd w:val="clear" w:color="auto" w:fill="auto"/>
                      <w:lang w:val="en-US" w:eastAsia="zh-CN"/>
                    </w:rPr>
                  </w:pPr>
                  <w:r>
                    <w:rPr>
                      <w:rFonts w:hint="eastAsia"/>
                      <w:color w:val="auto"/>
                      <w:highlight w:val="none"/>
                      <w:shd w:val="clear" w:color="auto" w:fill="auto"/>
                      <w:lang w:val="en-US" w:eastAsia="zh-CN"/>
                    </w:rPr>
                    <w:t>900-217-08</w:t>
                  </w:r>
                </w:p>
              </w:tc>
              <w:tc>
                <w:tcPr>
                  <w:tcW w:w="863" w:type="dxa"/>
                  <w:vAlign w:val="center"/>
                </w:tcPr>
                <w:p w14:paraId="148B25BE">
                  <w:pPr>
                    <w:pStyle w:val="24"/>
                    <w:spacing w:line="240" w:lineRule="auto"/>
                    <w:jc w:val="center"/>
                    <w:rPr>
                      <w:color w:val="auto"/>
                      <w:highlight w:val="none"/>
                      <w:shd w:val="clear" w:color="auto" w:fill="auto"/>
                    </w:rPr>
                  </w:pPr>
                  <w:r>
                    <w:rPr>
                      <w:rFonts w:hint="eastAsia"/>
                      <w:color w:val="auto"/>
                      <w:highlight w:val="none"/>
                      <w:shd w:val="clear" w:color="auto" w:fill="auto"/>
                      <w:lang w:eastAsia="zh-CN"/>
                    </w:rPr>
                    <w:t>设备维护</w:t>
                  </w:r>
                </w:p>
              </w:tc>
              <w:tc>
                <w:tcPr>
                  <w:tcW w:w="373" w:type="dxa"/>
                  <w:vAlign w:val="center"/>
                </w:tcPr>
                <w:p w14:paraId="1FC89840">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液</w:t>
                  </w:r>
                </w:p>
              </w:tc>
              <w:tc>
                <w:tcPr>
                  <w:tcW w:w="645" w:type="dxa"/>
                  <w:vAlign w:val="center"/>
                </w:tcPr>
                <w:p w14:paraId="3AB4BD62">
                  <w:pPr>
                    <w:pStyle w:val="24"/>
                    <w:spacing w:line="240" w:lineRule="auto"/>
                    <w:jc w:val="center"/>
                    <w:rPr>
                      <w:color w:val="auto"/>
                      <w:highlight w:val="none"/>
                      <w:shd w:val="clear" w:color="auto" w:fill="auto"/>
                    </w:rPr>
                  </w:pPr>
                  <w:r>
                    <w:rPr>
                      <w:rFonts w:hint="eastAsia"/>
                      <w:color w:val="auto"/>
                      <w:highlight w:val="none"/>
                      <w:shd w:val="clear" w:color="auto" w:fill="auto"/>
                    </w:rPr>
                    <w:t>T，I</w:t>
                  </w:r>
                </w:p>
              </w:tc>
              <w:tc>
                <w:tcPr>
                  <w:tcW w:w="690" w:type="dxa"/>
                  <w:vAlign w:val="center"/>
                </w:tcPr>
                <w:p w14:paraId="4098900C">
                  <w:pPr>
                    <w:pStyle w:val="24"/>
                    <w:spacing w:line="240" w:lineRule="auto"/>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0.1</w:t>
                  </w:r>
                </w:p>
              </w:tc>
              <w:tc>
                <w:tcPr>
                  <w:tcW w:w="870" w:type="dxa"/>
                  <w:vAlign w:val="center"/>
                </w:tcPr>
                <w:p w14:paraId="6AB0B537">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lang w:eastAsia="zh-CN"/>
                    </w:rPr>
                    <w:t>铁桶</w:t>
                  </w:r>
                </w:p>
              </w:tc>
              <w:tc>
                <w:tcPr>
                  <w:tcW w:w="689" w:type="dxa"/>
                  <w:vAlign w:val="center"/>
                </w:tcPr>
                <w:p w14:paraId="01214DEE">
                  <w:pPr>
                    <w:pStyle w:val="24"/>
                    <w:spacing w:line="240" w:lineRule="auto"/>
                    <w:ind w:firstLine="0" w:firstLineChars="0"/>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0.1</w:t>
                  </w:r>
                </w:p>
              </w:tc>
              <w:tc>
                <w:tcPr>
                  <w:tcW w:w="571" w:type="dxa"/>
                  <w:vAlign w:val="center"/>
                </w:tcPr>
                <w:p w14:paraId="5CA983C2">
                  <w:pPr>
                    <w:pStyle w:val="24"/>
                    <w:spacing w:line="240" w:lineRule="auto"/>
                    <w:ind w:firstLine="0" w:firstLineChars="0"/>
                    <w:jc w:val="center"/>
                    <w:rPr>
                      <w:color w:val="auto"/>
                      <w:highlight w:val="none"/>
                      <w:shd w:val="clear" w:color="auto" w:fill="auto"/>
                    </w:rPr>
                  </w:pPr>
                  <w:r>
                    <w:rPr>
                      <w:rFonts w:hint="eastAsia" w:ascii="Times New Roman" w:hAnsi="Times New Roman" w:eastAsia="宋体" w:cs="Times New Roman"/>
                      <w:color w:val="auto"/>
                      <w:sz w:val="21"/>
                      <w:szCs w:val="21"/>
                      <w:highlight w:val="none"/>
                    </w:rPr>
                    <w:t>≤1a</w:t>
                  </w:r>
                </w:p>
              </w:tc>
              <w:tc>
                <w:tcPr>
                  <w:tcW w:w="648" w:type="dxa"/>
                  <w:vAlign w:val="center"/>
                </w:tcPr>
                <w:p w14:paraId="7E60CF54">
                  <w:pPr>
                    <w:pStyle w:val="24"/>
                    <w:spacing w:line="240" w:lineRule="auto"/>
                    <w:jc w:val="center"/>
                    <w:rPr>
                      <w:color w:val="auto"/>
                      <w:highlight w:val="none"/>
                      <w:shd w:val="clear" w:color="auto" w:fill="auto"/>
                    </w:rPr>
                  </w:pPr>
                  <w:r>
                    <w:rPr>
                      <w:rFonts w:hint="eastAsia"/>
                      <w:color w:val="auto"/>
                      <w:highlight w:val="none"/>
                      <w:shd w:val="clear" w:color="auto" w:fill="auto"/>
                      <w:lang w:val="en-US" w:eastAsia="zh-CN"/>
                    </w:rPr>
                    <w:t>1次/a</w:t>
                  </w:r>
                </w:p>
              </w:tc>
            </w:tr>
            <w:tr w14:paraId="4447F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vAlign w:val="center"/>
                </w:tcPr>
                <w:p w14:paraId="6021BF1F">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lang w:eastAsia="zh-CN"/>
                    </w:rPr>
                    <w:t>废油漆桶、废油桶</w:t>
                  </w:r>
                </w:p>
              </w:tc>
              <w:tc>
                <w:tcPr>
                  <w:tcW w:w="841" w:type="dxa"/>
                  <w:vAlign w:val="center"/>
                </w:tcPr>
                <w:p w14:paraId="3A58FAC1">
                  <w:pPr>
                    <w:pStyle w:val="24"/>
                    <w:spacing w:line="240" w:lineRule="auto"/>
                    <w:jc w:val="center"/>
                    <w:rPr>
                      <w:rFonts w:hint="default"/>
                      <w:color w:val="auto"/>
                      <w:highlight w:val="none"/>
                      <w:shd w:val="clear" w:color="auto" w:fill="auto"/>
                      <w:lang w:val="en-US" w:eastAsia="zh-CN"/>
                    </w:rPr>
                  </w:pPr>
                  <w:r>
                    <w:rPr>
                      <w:rFonts w:hint="eastAsia"/>
                      <w:color w:val="auto"/>
                      <w:highlight w:val="none"/>
                      <w:shd w:val="clear" w:color="auto" w:fill="auto"/>
                      <w:lang w:val="en-US" w:eastAsia="zh-CN"/>
                    </w:rPr>
                    <w:t>HW49</w:t>
                  </w:r>
                </w:p>
              </w:tc>
              <w:tc>
                <w:tcPr>
                  <w:tcW w:w="864" w:type="dxa"/>
                  <w:vAlign w:val="center"/>
                </w:tcPr>
                <w:p w14:paraId="3DCE2DCC">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rPr>
                    <w:t>900-041-49</w:t>
                  </w:r>
                </w:p>
              </w:tc>
              <w:tc>
                <w:tcPr>
                  <w:tcW w:w="863" w:type="dxa"/>
                  <w:vAlign w:val="center"/>
                </w:tcPr>
                <w:p w14:paraId="62C5E820">
                  <w:pPr>
                    <w:pStyle w:val="24"/>
                    <w:spacing w:line="240" w:lineRule="auto"/>
                    <w:jc w:val="center"/>
                    <w:rPr>
                      <w:color w:val="auto"/>
                      <w:highlight w:val="none"/>
                      <w:shd w:val="clear" w:color="auto" w:fill="auto"/>
                    </w:rPr>
                  </w:pPr>
                  <w:r>
                    <w:rPr>
                      <w:rFonts w:hint="eastAsia"/>
                      <w:color w:val="auto"/>
                      <w:highlight w:val="none"/>
                      <w:shd w:val="clear" w:color="auto" w:fill="auto"/>
                      <w:lang w:eastAsia="zh-CN"/>
                    </w:rPr>
                    <w:t>设备维护</w:t>
                  </w:r>
                </w:p>
              </w:tc>
              <w:tc>
                <w:tcPr>
                  <w:tcW w:w="373" w:type="dxa"/>
                  <w:vAlign w:val="center"/>
                </w:tcPr>
                <w:p w14:paraId="45012E1D">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固</w:t>
                  </w:r>
                </w:p>
              </w:tc>
              <w:tc>
                <w:tcPr>
                  <w:tcW w:w="645" w:type="dxa"/>
                  <w:vAlign w:val="center"/>
                </w:tcPr>
                <w:p w14:paraId="4E91A175">
                  <w:pPr>
                    <w:pStyle w:val="24"/>
                    <w:spacing w:line="240" w:lineRule="auto"/>
                    <w:jc w:val="center"/>
                    <w:rPr>
                      <w:color w:val="auto"/>
                      <w:highlight w:val="none"/>
                      <w:shd w:val="clear" w:color="auto" w:fill="auto"/>
                    </w:rPr>
                  </w:pPr>
                  <w:r>
                    <w:rPr>
                      <w:rFonts w:hint="eastAsia"/>
                      <w:color w:val="auto"/>
                      <w:highlight w:val="none"/>
                      <w:shd w:val="clear" w:color="auto" w:fill="auto"/>
                    </w:rPr>
                    <w:t>T/In</w:t>
                  </w:r>
                </w:p>
              </w:tc>
              <w:tc>
                <w:tcPr>
                  <w:tcW w:w="690" w:type="dxa"/>
                  <w:vAlign w:val="center"/>
                </w:tcPr>
                <w:p w14:paraId="7CD5C373">
                  <w:pPr>
                    <w:pStyle w:val="24"/>
                    <w:spacing w:line="240" w:lineRule="auto"/>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0.68</w:t>
                  </w:r>
                </w:p>
              </w:tc>
              <w:tc>
                <w:tcPr>
                  <w:tcW w:w="870" w:type="dxa"/>
                  <w:vAlign w:val="center"/>
                </w:tcPr>
                <w:p w14:paraId="4DDDA013">
                  <w:pPr>
                    <w:pStyle w:val="24"/>
                    <w:spacing w:line="240" w:lineRule="auto"/>
                    <w:jc w:val="center"/>
                    <w:rPr>
                      <w:rFonts w:hint="default"/>
                      <w:color w:val="auto"/>
                      <w:highlight w:val="none"/>
                      <w:shd w:val="clear" w:color="auto" w:fill="auto"/>
                      <w:lang w:val="en-US" w:eastAsia="zh-CN"/>
                    </w:rPr>
                  </w:pPr>
                  <w:r>
                    <w:rPr>
                      <w:rFonts w:hint="eastAsia"/>
                      <w:color w:val="auto"/>
                      <w:highlight w:val="none"/>
                      <w:shd w:val="clear" w:color="auto" w:fill="auto"/>
                      <w:lang w:val="en-US" w:eastAsia="zh-CN"/>
                    </w:rPr>
                    <w:t>/</w:t>
                  </w:r>
                </w:p>
              </w:tc>
              <w:tc>
                <w:tcPr>
                  <w:tcW w:w="689" w:type="dxa"/>
                  <w:vAlign w:val="center"/>
                </w:tcPr>
                <w:p w14:paraId="2AE18977">
                  <w:pPr>
                    <w:pStyle w:val="24"/>
                    <w:spacing w:line="240" w:lineRule="auto"/>
                    <w:ind w:firstLine="0" w:firstLineChars="0"/>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0.68</w:t>
                  </w:r>
                </w:p>
              </w:tc>
              <w:tc>
                <w:tcPr>
                  <w:tcW w:w="571" w:type="dxa"/>
                  <w:vAlign w:val="center"/>
                </w:tcPr>
                <w:p w14:paraId="5FBA7839">
                  <w:pPr>
                    <w:pStyle w:val="24"/>
                    <w:spacing w:line="240" w:lineRule="auto"/>
                    <w:ind w:firstLine="0" w:firstLineChars="0"/>
                    <w:jc w:val="center"/>
                    <w:rPr>
                      <w:color w:val="auto"/>
                      <w:highlight w:val="none"/>
                      <w:shd w:val="clear" w:color="auto" w:fill="auto"/>
                    </w:rPr>
                  </w:pPr>
                  <w:r>
                    <w:rPr>
                      <w:rFonts w:hint="eastAsia" w:ascii="Times New Roman" w:hAnsi="Times New Roman" w:eastAsia="宋体" w:cs="Times New Roman"/>
                      <w:color w:val="auto"/>
                      <w:sz w:val="21"/>
                      <w:szCs w:val="21"/>
                      <w:highlight w:val="none"/>
                    </w:rPr>
                    <w:t>≤1a</w:t>
                  </w:r>
                </w:p>
              </w:tc>
              <w:tc>
                <w:tcPr>
                  <w:tcW w:w="648" w:type="dxa"/>
                  <w:vAlign w:val="center"/>
                </w:tcPr>
                <w:p w14:paraId="13CF9D8F">
                  <w:pPr>
                    <w:pStyle w:val="24"/>
                    <w:spacing w:line="240" w:lineRule="auto"/>
                    <w:jc w:val="center"/>
                    <w:rPr>
                      <w:color w:val="auto"/>
                      <w:highlight w:val="none"/>
                      <w:shd w:val="clear" w:color="auto" w:fill="auto"/>
                    </w:rPr>
                  </w:pPr>
                  <w:r>
                    <w:rPr>
                      <w:rFonts w:hint="eastAsia"/>
                      <w:color w:val="auto"/>
                      <w:highlight w:val="none"/>
                      <w:shd w:val="clear" w:color="auto" w:fill="auto"/>
                      <w:lang w:val="en-US" w:eastAsia="zh-CN"/>
                    </w:rPr>
                    <w:t>1次/a</w:t>
                  </w:r>
                </w:p>
              </w:tc>
            </w:tr>
            <w:tr w14:paraId="514B36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vAlign w:val="center"/>
                </w:tcPr>
                <w:p w14:paraId="02D0C49D">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lang w:eastAsia="zh-CN"/>
                    </w:rPr>
                    <w:t>实验室废液及废试剂瓶</w:t>
                  </w:r>
                </w:p>
              </w:tc>
              <w:tc>
                <w:tcPr>
                  <w:tcW w:w="841" w:type="dxa"/>
                  <w:vAlign w:val="center"/>
                </w:tcPr>
                <w:p w14:paraId="01D65862">
                  <w:pPr>
                    <w:pStyle w:val="24"/>
                    <w:ind w:firstLine="0" w:firstLineChars="0"/>
                    <w:jc w:val="center"/>
                    <w:rPr>
                      <w:rFonts w:hint="eastAsia"/>
                      <w:color w:val="auto"/>
                      <w:highlight w:val="none"/>
                      <w:shd w:val="clear" w:color="auto" w:fill="auto"/>
                      <w:lang w:eastAsia="zh-CN"/>
                    </w:rPr>
                  </w:pPr>
                  <w:r>
                    <w:rPr>
                      <w:rFonts w:hint="eastAsia"/>
                      <w:color w:val="auto"/>
                      <w:highlight w:val="none"/>
                      <w:shd w:val="clear" w:color="auto" w:fill="auto"/>
                    </w:rPr>
                    <w:t>HW49</w:t>
                  </w:r>
                </w:p>
              </w:tc>
              <w:tc>
                <w:tcPr>
                  <w:tcW w:w="864" w:type="dxa"/>
                  <w:vAlign w:val="center"/>
                </w:tcPr>
                <w:p w14:paraId="7C6BDD45">
                  <w:pPr>
                    <w:pStyle w:val="24"/>
                    <w:ind w:firstLine="0" w:firstLineChars="0"/>
                    <w:jc w:val="center"/>
                    <w:rPr>
                      <w:rFonts w:hint="eastAsia"/>
                      <w:color w:val="auto"/>
                      <w:highlight w:val="none"/>
                      <w:shd w:val="clear" w:color="auto" w:fill="auto"/>
                      <w:lang w:eastAsia="zh-CN"/>
                    </w:rPr>
                  </w:pPr>
                  <w:r>
                    <w:rPr>
                      <w:rFonts w:hint="eastAsia"/>
                      <w:color w:val="auto"/>
                      <w:highlight w:val="none"/>
                      <w:shd w:val="clear" w:color="auto" w:fill="auto"/>
                    </w:rPr>
                    <w:t>900-047-49</w:t>
                  </w:r>
                </w:p>
              </w:tc>
              <w:tc>
                <w:tcPr>
                  <w:tcW w:w="863" w:type="dxa"/>
                  <w:vAlign w:val="center"/>
                </w:tcPr>
                <w:p w14:paraId="6029FE05">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实验室质检化验</w:t>
                  </w:r>
                </w:p>
              </w:tc>
              <w:tc>
                <w:tcPr>
                  <w:tcW w:w="373" w:type="dxa"/>
                  <w:vAlign w:val="center"/>
                </w:tcPr>
                <w:p w14:paraId="3A52258A">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液</w:t>
                  </w:r>
                </w:p>
              </w:tc>
              <w:tc>
                <w:tcPr>
                  <w:tcW w:w="645" w:type="dxa"/>
                  <w:vAlign w:val="center"/>
                </w:tcPr>
                <w:p w14:paraId="2BE0BFD2">
                  <w:pPr>
                    <w:pStyle w:val="24"/>
                    <w:spacing w:line="240" w:lineRule="auto"/>
                    <w:jc w:val="center"/>
                    <w:rPr>
                      <w:color w:val="auto"/>
                      <w:highlight w:val="none"/>
                      <w:shd w:val="clear" w:color="auto" w:fill="auto"/>
                    </w:rPr>
                  </w:pPr>
                  <w:r>
                    <w:rPr>
                      <w:rFonts w:hint="eastAsia"/>
                      <w:color w:val="auto"/>
                      <w:highlight w:val="none"/>
                      <w:shd w:val="clear" w:color="auto" w:fill="auto"/>
                    </w:rPr>
                    <w:t>T/C/I/R</w:t>
                  </w:r>
                </w:p>
              </w:tc>
              <w:tc>
                <w:tcPr>
                  <w:tcW w:w="690" w:type="dxa"/>
                  <w:vAlign w:val="center"/>
                </w:tcPr>
                <w:p w14:paraId="73D4D981">
                  <w:pPr>
                    <w:pStyle w:val="24"/>
                    <w:spacing w:line="240" w:lineRule="auto"/>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0.08</w:t>
                  </w:r>
                </w:p>
              </w:tc>
              <w:tc>
                <w:tcPr>
                  <w:tcW w:w="870" w:type="dxa"/>
                  <w:vAlign w:val="center"/>
                </w:tcPr>
                <w:p w14:paraId="37FBAED4">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rPr>
                    <w:t>耐酸耐腐蚀</w:t>
                  </w:r>
                  <w:r>
                    <w:rPr>
                      <w:rFonts w:hint="eastAsia"/>
                      <w:color w:val="auto"/>
                      <w:highlight w:val="none"/>
                      <w:shd w:val="clear" w:color="auto" w:fill="auto"/>
                      <w:lang w:eastAsia="zh-CN"/>
                    </w:rPr>
                    <w:t>箱</w:t>
                  </w:r>
                </w:p>
              </w:tc>
              <w:tc>
                <w:tcPr>
                  <w:tcW w:w="689" w:type="dxa"/>
                  <w:vAlign w:val="center"/>
                </w:tcPr>
                <w:p w14:paraId="51BA09C4">
                  <w:pPr>
                    <w:pStyle w:val="24"/>
                    <w:spacing w:line="240" w:lineRule="auto"/>
                    <w:ind w:firstLine="0" w:firstLineChars="0"/>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0.08</w:t>
                  </w:r>
                </w:p>
              </w:tc>
              <w:tc>
                <w:tcPr>
                  <w:tcW w:w="571" w:type="dxa"/>
                  <w:vAlign w:val="center"/>
                </w:tcPr>
                <w:p w14:paraId="553BF333">
                  <w:pPr>
                    <w:pStyle w:val="24"/>
                    <w:spacing w:line="240" w:lineRule="auto"/>
                    <w:ind w:firstLine="0" w:firstLineChars="0"/>
                    <w:jc w:val="center"/>
                    <w:rPr>
                      <w:color w:val="auto"/>
                      <w:highlight w:val="none"/>
                      <w:shd w:val="clear" w:color="auto" w:fill="auto"/>
                    </w:rPr>
                  </w:pPr>
                  <w:r>
                    <w:rPr>
                      <w:rFonts w:hint="eastAsia" w:ascii="Times New Roman" w:hAnsi="Times New Roman" w:eastAsia="宋体" w:cs="Times New Roman"/>
                      <w:color w:val="auto"/>
                      <w:sz w:val="21"/>
                      <w:szCs w:val="21"/>
                      <w:highlight w:val="none"/>
                    </w:rPr>
                    <w:t>≤1a</w:t>
                  </w:r>
                </w:p>
              </w:tc>
              <w:tc>
                <w:tcPr>
                  <w:tcW w:w="648" w:type="dxa"/>
                  <w:vAlign w:val="center"/>
                </w:tcPr>
                <w:p w14:paraId="2B10B425">
                  <w:pPr>
                    <w:pStyle w:val="24"/>
                    <w:spacing w:line="240" w:lineRule="auto"/>
                    <w:jc w:val="center"/>
                    <w:rPr>
                      <w:color w:val="auto"/>
                      <w:highlight w:val="none"/>
                      <w:shd w:val="clear" w:color="auto" w:fill="auto"/>
                    </w:rPr>
                  </w:pPr>
                  <w:r>
                    <w:rPr>
                      <w:rFonts w:hint="eastAsia"/>
                      <w:color w:val="auto"/>
                      <w:highlight w:val="none"/>
                      <w:shd w:val="clear" w:color="auto" w:fill="auto"/>
                      <w:lang w:val="en-US" w:eastAsia="zh-CN"/>
                    </w:rPr>
                    <w:t>1次/a</w:t>
                  </w:r>
                </w:p>
              </w:tc>
            </w:tr>
            <w:tr w14:paraId="4EA50B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9" w:type="dxa"/>
                  <w:vAlign w:val="center"/>
                </w:tcPr>
                <w:p w14:paraId="3383149A">
                  <w:pPr>
                    <w:pStyle w:val="24"/>
                    <w:spacing w:line="240" w:lineRule="auto"/>
                    <w:jc w:val="center"/>
                    <w:rPr>
                      <w:rFonts w:hint="eastAsia"/>
                      <w:color w:val="auto"/>
                      <w:highlight w:val="none"/>
                      <w:shd w:val="clear" w:color="auto" w:fill="auto"/>
                      <w:lang w:eastAsia="zh-CN"/>
                    </w:rPr>
                  </w:pPr>
                  <w:r>
                    <w:rPr>
                      <w:rFonts w:hint="eastAsia"/>
                      <w:color w:val="auto"/>
                      <w:highlight w:val="none"/>
                      <w:shd w:val="clear" w:color="auto" w:fill="auto"/>
                      <w:lang w:eastAsia="zh-CN"/>
                    </w:rPr>
                    <w:t>废劳保用品</w:t>
                  </w:r>
                </w:p>
              </w:tc>
              <w:tc>
                <w:tcPr>
                  <w:tcW w:w="841" w:type="dxa"/>
                  <w:vAlign w:val="center"/>
                </w:tcPr>
                <w:p w14:paraId="4DEF5F5B">
                  <w:pPr>
                    <w:pStyle w:val="24"/>
                    <w:bidi w:val="0"/>
                    <w:spacing w:line="240" w:lineRule="auto"/>
                    <w:ind w:firstLine="0" w:firstLineChars="0"/>
                    <w:jc w:val="center"/>
                    <w:rPr>
                      <w:rFonts w:hint="eastAsia"/>
                      <w:color w:val="auto"/>
                      <w:highlight w:val="none"/>
                      <w:shd w:val="clear" w:color="auto" w:fill="auto"/>
                      <w:lang w:eastAsia="zh-CN"/>
                    </w:rPr>
                  </w:pPr>
                  <w:r>
                    <w:rPr>
                      <w:rFonts w:hint="eastAsia"/>
                      <w:color w:val="auto"/>
                      <w:highlight w:val="none"/>
                      <w:shd w:val="clear" w:color="auto" w:fill="auto"/>
                      <w:lang w:eastAsia="zh-CN"/>
                    </w:rPr>
                    <w:t>HW49</w:t>
                  </w:r>
                </w:p>
              </w:tc>
              <w:tc>
                <w:tcPr>
                  <w:tcW w:w="864" w:type="dxa"/>
                  <w:vAlign w:val="center"/>
                </w:tcPr>
                <w:p w14:paraId="1EE25E65">
                  <w:pPr>
                    <w:pStyle w:val="24"/>
                    <w:bidi w:val="0"/>
                    <w:spacing w:line="240" w:lineRule="auto"/>
                    <w:ind w:firstLine="0" w:firstLineChars="0"/>
                    <w:jc w:val="center"/>
                    <w:rPr>
                      <w:rFonts w:hint="eastAsia"/>
                      <w:color w:val="auto"/>
                      <w:highlight w:val="none"/>
                      <w:shd w:val="clear" w:color="auto" w:fill="auto"/>
                      <w:lang w:eastAsia="zh-CN"/>
                    </w:rPr>
                  </w:pPr>
                  <w:r>
                    <w:rPr>
                      <w:rFonts w:hint="eastAsia"/>
                      <w:color w:val="auto"/>
                      <w:highlight w:val="none"/>
                      <w:shd w:val="clear" w:color="auto" w:fill="auto"/>
                      <w:lang w:eastAsia="zh-CN"/>
                    </w:rPr>
                    <w:t>900-041-49</w:t>
                  </w:r>
                </w:p>
              </w:tc>
              <w:tc>
                <w:tcPr>
                  <w:tcW w:w="863" w:type="dxa"/>
                  <w:vAlign w:val="center"/>
                </w:tcPr>
                <w:p w14:paraId="7B6ED6AE">
                  <w:pPr>
                    <w:pStyle w:val="24"/>
                    <w:bidi w:val="0"/>
                    <w:spacing w:line="240" w:lineRule="auto"/>
                    <w:ind w:firstLine="0" w:firstLineChars="0"/>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val="en-US" w:eastAsia="zh-CN"/>
                    </w:rPr>
                    <w:t>操作过程</w:t>
                  </w:r>
                </w:p>
              </w:tc>
              <w:tc>
                <w:tcPr>
                  <w:tcW w:w="373" w:type="dxa"/>
                  <w:vAlign w:val="center"/>
                </w:tcPr>
                <w:p w14:paraId="5BC8E4E4">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lang w:eastAsia="zh-CN"/>
                    </w:rPr>
                    <w:t>固</w:t>
                  </w:r>
                </w:p>
              </w:tc>
              <w:tc>
                <w:tcPr>
                  <w:tcW w:w="645" w:type="dxa"/>
                  <w:vAlign w:val="center"/>
                </w:tcPr>
                <w:p w14:paraId="4D205118">
                  <w:pPr>
                    <w:pStyle w:val="24"/>
                    <w:spacing w:line="240" w:lineRule="auto"/>
                    <w:jc w:val="center"/>
                    <w:rPr>
                      <w:rFonts w:hint="eastAsia" w:eastAsiaTheme="minorEastAsia"/>
                      <w:color w:val="auto"/>
                      <w:highlight w:val="none"/>
                      <w:shd w:val="clear" w:color="auto" w:fill="auto"/>
                      <w:lang w:eastAsia="zh-CN"/>
                    </w:rPr>
                  </w:pPr>
                  <w:r>
                    <w:rPr>
                      <w:rFonts w:hint="eastAsia" w:eastAsiaTheme="minorEastAsia"/>
                      <w:color w:val="auto"/>
                      <w:highlight w:val="none"/>
                      <w:shd w:val="clear" w:color="auto" w:fill="auto"/>
                      <w:lang w:eastAsia="zh-CN"/>
                    </w:rPr>
                    <w:t>T/In</w:t>
                  </w:r>
                </w:p>
              </w:tc>
              <w:tc>
                <w:tcPr>
                  <w:tcW w:w="690" w:type="dxa"/>
                  <w:vAlign w:val="center"/>
                </w:tcPr>
                <w:p w14:paraId="01244961">
                  <w:pPr>
                    <w:pStyle w:val="24"/>
                    <w:spacing w:line="240" w:lineRule="auto"/>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0.02</w:t>
                  </w:r>
                </w:p>
              </w:tc>
              <w:tc>
                <w:tcPr>
                  <w:tcW w:w="870" w:type="dxa"/>
                  <w:vAlign w:val="center"/>
                </w:tcPr>
                <w:p w14:paraId="79872140">
                  <w:pPr>
                    <w:pStyle w:val="24"/>
                    <w:spacing w:line="240" w:lineRule="auto"/>
                    <w:jc w:val="center"/>
                    <w:rPr>
                      <w:rFonts w:hint="eastAsia" w:eastAsiaTheme="minorEastAsia"/>
                      <w:color w:val="auto"/>
                      <w:highlight w:val="none"/>
                      <w:shd w:val="clear" w:color="auto" w:fill="auto"/>
                      <w:lang w:eastAsia="zh-CN"/>
                    </w:rPr>
                  </w:pPr>
                  <w:r>
                    <w:rPr>
                      <w:rFonts w:hint="eastAsia"/>
                      <w:color w:val="auto"/>
                      <w:highlight w:val="none"/>
                      <w:shd w:val="clear" w:color="auto" w:fill="auto"/>
                    </w:rPr>
                    <w:t>耐酸耐腐蚀</w:t>
                  </w:r>
                  <w:r>
                    <w:rPr>
                      <w:rFonts w:hint="eastAsia"/>
                      <w:color w:val="auto"/>
                      <w:highlight w:val="none"/>
                      <w:shd w:val="clear" w:color="auto" w:fill="auto"/>
                      <w:lang w:eastAsia="zh-CN"/>
                    </w:rPr>
                    <w:t>箱</w:t>
                  </w:r>
                </w:p>
              </w:tc>
              <w:tc>
                <w:tcPr>
                  <w:tcW w:w="689" w:type="dxa"/>
                  <w:vAlign w:val="center"/>
                </w:tcPr>
                <w:p w14:paraId="013461BE">
                  <w:pPr>
                    <w:pStyle w:val="24"/>
                    <w:spacing w:line="240" w:lineRule="auto"/>
                    <w:ind w:firstLine="0" w:firstLineChars="0"/>
                    <w:jc w:val="center"/>
                    <w:rPr>
                      <w:rFonts w:hint="default" w:eastAsiaTheme="minorEastAsia"/>
                      <w:color w:val="auto"/>
                      <w:highlight w:val="none"/>
                      <w:shd w:val="clear" w:color="auto" w:fill="auto"/>
                      <w:lang w:val="en-US" w:eastAsia="zh-CN"/>
                    </w:rPr>
                  </w:pPr>
                  <w:r>
                    <w:rPr>
                      <w:rFonts w:hint="eastAsia"/>
                      <w:color w:val="auto"/>
                      <w:highlight w:val="none"/>
                      <w:shd w:val="clear" w:color="auto" w:fill="auto"/>
                      <w:lang w:val="en-US" w:eastAsia="zh-CN"/>
                    </w:rPr>
                    <w:t>0.02</w:t>
                  </w:r>
                </w:p>
              </w:tc>
              <w:tc>
                <w:tcPr>
                  <w:tcW w:w="571" w:type="dxa"/>
                  <w:vAlign w:val="center"/>
                </w:tcPr>
                <w:p w14:paraId="5B2093D9">
                  <w:pPr>
                    <w:pStyle w:val="24"/>
                    <w:spacing w:line="240" w:lineRule="auto"/>
                    <w:ind w:firstLine="0" w:firstLineChars="0"/>
                    <w:jc w:val="center"/>
                    <w:rPr>
                      <w:color w:val="auto"/>
                      <w:highlight w:val="none"/>
                      <w:shd w:val="clear" w:color="auto" w:fill="auto"/>
                    </w:rPr>
                  </w:pPr>
                  <w:r>
                    <w:rPr>
                      <w:rFonts w:hint="eastAsia" w:ascii="Times New Roman" w:hAnsi="Times New Roman" w:eastAsia="宋体" w:cs="Times New Roman"/>
                      <w:color w:val="auto"/>
                      <w:sz w:val="21"/>
                      <w:szCs w:val="21"/>
                      <w:highlight w:val="none"/>
                    </w:rPr>
                    <w:t>≤1a</w:t>
                  </w:r>
                </w:p>
              </w:tc>
              <w:tc>
                <w:tcPr>
                  <w:tcW w:w="648" w:type="dxa"/>
                  <w:vAlign w:val="center"/>
                </w:tcPr>
                <w:p w14:paraId="37447267">
                  <w:pPr>
                    <w:pStyle w:val="24"/>
                    <w:spacing w:line="240" w:lineRule="auto"/>
                    <w:jc w:val="center"/>
                    <w:rPr>
                      <w:color w:val="auto"/>
                      <w:highlight w:val="none"/>
                      <w:shd w:val="clear" w:color="auto" w:fill="auto"/>
                    </w:rPr>
                  </w:pPr>
                  <w:r>
                    <w:rPr>
                      <w:rFonts w:hint="eastAsia"/>
                      <w:color w:val="auto"/>
                      <w:highlight w:val="none"/>
                      <w:shd w:val="clear" w:color="auto" w:fill="auto"/>
                      <w:lang w:val="en-US" w:eastAsia="zh-CN"/>
                    </w:rPr>
                    <w:t>1次/a</w:t>
                  </w:r>
                </w:p>
              </w:tc>
            </w:tr>
          </w:tbl>
          <w:p w14:paraId="57388121">
            <w:pPr>
              <w:pStyle w:val="25"/>
              <w:bidi w:val="0"/>
              <w:rPr>
                <w:color w:val="auto"/>
                <w:highlight w:val="none"/>
              </w:rPr>
            </w:pPr>
            <w:r>
              <w:rPr>
                <w:rFonts w:hint="eastAsia"/>
                <w:color w:val="auto"/>
                <w:highlight w:val="none"/>
              </w:rPr>
              <w:t>贮存包装物规格尺寸</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87"/>
              <w:gridCol w:w="1588"/>
              <w:gridCol w:w="1492"/>
              <w:gridCol w:w="1171"/>
              <w:gridCol w:w="1224"/>
              <w:gridCol w:w="1204"/>
            </w:tblGrid>
            <w:tr w14:paraId="5412A0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0" w:type="pct"/>
                  <w:vMerge w:val="restart"/>
                  <w:tcBorders>
                    <w:tl2br w:val="nil"/>
                    <w:tr2bl w:val="nil"/>
                  </w:tcBorders>
                  <w:vAlign w:val="center"/>
                </w:tcPr>
                <w:p w14:paraId="2DBEAF59">
                  <w:pPr>
                    <w:pStyle w:val="27"/>
                    <w:keepNext w:val="0"/>
                    <w:keepLines w:val="0"/>
                    <w:pageBreakBefore w:val="0"/>
                    <w:kinsoku/>
                    <w:wordWrap/>
                    <w:overflowPunct/>
                    <w:topLinePunct w:val="0"/>
                    <w:autoSpaceDE/>
                    <w:autoSpaceDN/>
                    <w:bidi/>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类型</w:t>
                  </w:r>
                </w:p>
              </w:tc>
              <w:tc>
                <w:tcPr>
                  <w:tcW w:w="960" w:type="pct"/>
                  <w:vMerge w:val="restart"/>
                  <w:tcBorders>
                    <w:tl2br w:val="nil"/>
                    <w:tr2bl w:val="nil"/>
                  </w:tcBorders>
                  <w:vAlign w:val="center"/>
                </w:tcPr>
                <w:p w14:paraId="0759B371">
                  <w:pPr>
                    <w:pStyle w:val="27"/>
                    <w:keepNext w:val="0"/>
                    <w:keepLines w:val="0"/>
                    <w:pageBreakBefore w:val="0"/>
                    <w:kinsoku/>
                    <w:wordWrap/>
                    <w:overflowPunct/>
                    <w:topLinePunct w:val="0"/>
                    <w:autoSpaceDE/>
                    <w:autoSpaceDN/>
                    <w:bidi/>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型号</w:t>
                  </w:r>
                </w:p>
              </w:tc>
              <w:tc>
                <w:tcPr>
                  <w:tcW w:w="2350" w:type="pct"/>
                  <w:gridSpan w:val="3"/>
                  <w:tcBorders>
                    <w:tl2br w:val="nil"/>
                    <w:tr2bl w:val="nil"/>
                  </w:tcBorders>
                  <w:vAlign w:val="center"/>
                </w:tcPr>
                <w:p w14:paraId="17459BD1">
                  <w:pPr>
                    <w:keepNext w:val="0"/>
                    <w:keepLines w:val="0"/>
                    <w:pageBreakBefore w:val="0"/>
                    <w:widowControl/>
                    <w:kinsoku/>
                    <w:wordWrap/>
                    <w:overflowPunct/>
                    <w:topLinePunct w:val="0"/>
                    <w:autoSpaceDE/>
                    <w:autoSpaceDN/>
                    <w:bidi/>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b/>
                      <w:color w:val="auto"/>
                      <w:sz w:val="21"/>
                      <w:szCs w:val="21"/>
                      <w:highlight w:val="none"/>
                    </w:rPr>
                    <w:t>外形尺寸（mm）</w:t>
                  </w:r>
                </w:p>
              </w:tc>
              <w:tc>
                <w:tcPr>
                  <w:tcW w:w="728" w:type="pct"/>
                  <w:vMerge w:val="restart"/>
                  <w:tcBorders>
                    <w:tl2br w:val="nil"/>
                    <w:tr2bl w:val="nil"/>
                  </w:tcBorders>
                  <w:vAlign w:val="center"/>
                </w:tcPr>
                <w:p w14:paraId="64776961">
                  <w:pPr>
                    <w:keepNext w:val="0"/>
                    <w:keepLines w:val="0"/>
                    <w:pageBreakBefore w:val="0"/>
                    <w:widowControl/>
                    <w:kinsoku/>
                    <w:wordWrap/>
                    <w:overflowPunct/>
                    <w:topLinePunct w:val="0"/>
                    <w:autoSpaceDE/>
                    <w:autoSpaceDN/>
                    <w:bidi/>
                    <w:adjustRightInd w:val="0"/>
                    <w:snapToGrid w:val="0"/>
                    <w:spacing w:line="240" w:lineRule="auto"/>
                    <w:ind w:firstLine="0" w:firstLineChars="0"/>
                    <w:jc w:val="center"/>
                    <w:textAlignment w:val="auto"/>
                    <w:rPr>
                      <w:rStyle w:val="33"/>
                      <w:rFonts w:hint="default" w:ascii="Times New Roman" w:hAnsi="Times New Roman" w:eastAsia="宋体" w:cs="Times New Roman"/>
                      <w:color w:val="auto"/>
                      <w:sz w:val="21"/>
                      <w:szCs w:val="21"/>
                      <w:highlight w:val="none"/>
                    </w:rPr>
                  </w:pPr>
                  <w:r>
                    <w:rPr>
                      <w:rStyle w:val="33"/>
                      <w:rFonts w:ascii="Times New Roman" w:hAnsi="Times New Roman" w:eastAsia="宋体" w:cs="Times New Roman"/>
                      <w:b/>
                      <w:color w:val="auto"/>
                      <w:sz w:val="21"/>
                      <w:szCs w:val="21"/>
                      <w:highlight w:val="none"/>
                    </w:rPr>
                    <w:t>空桶重量（kg</w:t>
                  </w:r>
                  <w:r>
                    <w:rPr>
                      <w:rFonts w:hint="eastAsia" w:ascii="Times New Roman" w:hAnsi="Times New Roman" w:eastAsia="宋体" w:cs="Times New Roman"/>
                      <w:color w:val="auto"/>
                      <w:sz w:val="21"/>
                      <w:szCs w:val="21"/>
                      <w:highlight w:val="none"/>
                    </w:rPr>
                    <w:t>）</w:t>
                  </w:r>
                </w:p>
              </w:tc>
            </w:tr>
            <w:tr w14:paraId="42B818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0" w:type="pct"/>
                  <w:vMerge w:val="continue"/>
                  <w:tcBorders>
                    <w:tl2br w:val="nil"/>
                    <w:tr2bl w:val="nil"/>
                  </w:tcBorders>
                  <w:vAlign w:val="center"/>
                </w:tcPr>
                <w:p w14:paraId="69B2AE21">
                  <w:pPr>
                    <w:pStyle w:val="27"/>
                    <w:keepNext w:val="0"/>
                    <w:keepLines w:val="0"/>
                    <w:pageBreakBefore w:val="0"/>
                    <w:kinsoku/>
                    <w:wordWrap/>
                    <w:overflowPunct/>
                    <w:topLinePunct w:val="0"/>
                    <w:autoSpaceDE/>
                    <w:autoSpaceDN/>
                    <w:bidi/>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60" w:type="pct"/>
                  <w:vMerge w:val="continue"/>
                  <w:tcBorders>
                    <w:tl2br w:val="nil"/>
                    <w:tr2bl w:val="nil"/>
                  </w:tcBorders>
                  <w:vAlign w:val="center"/>
                </w:tcPr>
                <w:p w14:paraId="06CF1264">
                  <w:pPr>
                    <w:pStyle w:val="27"/>
                    <w:keepNext w:val="0"/>
                    <w:keepLines w:val="0"/>
                    <w:pageBreakBefore w:val="0"/>
                    <w:kinsoku/>
                    <w:wordWrap/>
                    <w:overflowPunct/>
                    <w:topLinePunct w:val="0"/>
                    <w:autoSpaceDE/>
                    <w:autoSpaceDN/>
                    <w:bidi/>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02" w:type="pct"/>
                  <w:tcBorders>
                    <w:tl2br w:val="nil"/>
                    <w:tr2bl w:val="nil"/>
                  </w:tcBorders>
                  <w:vAlign w:val="center"/>
                </w:tcPr>
                <w:p w14:paraId="5101371B">
                  <w:pPr>
                    <w:pStyle w:val="27"/>
                    <w:keepNext w:val="0"/>
                    <w:keepLines w:val="0"/>
                    <w:pageBreakBefore w:val="0"/>
                    <w:kinsoku/>
                    <w:wordWrap/>
                    <w:overflowPunct/>
                    <w:topLinePunct w:val="0"/>
                    <w:autoSpaceDE/>
                    <w:autoSpaceDN/>
                    <w:bidi/>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高度</w:t>
                  </w:r>
                </w:p>
              </w:tc>
              <w:tc>
                <w:tcPr>
                  <w:tcW w:w="708" w:type="pct"/>
                  <w:tcBorders>
                    <w:tl2br w:val="nil"/>
                    <w:tr2bl w:val="nil"/>
                  </w:tcBorders>
                  <w:vAlign w:val="center"/>
                </w:tcPr>
                <w:p w14:paraId="36ABEA2A">
                  <w:pPr>
                    <w:pStyle w:val="27"/>
                    <w:keepNext w:val="0"/>
                    <w:keepLines w:val="0"/>
                    <w:pageBreakBefore w:val="0"/>
                    <w:kinsoku/>
                    <w:wordWrap/>
                    <w:overflowPunct/>
                    <w:topLinePunct w:val="0"/>
                    <w:autoSpaceDE/>
                    <w:autoSpaceDN/>
                    <w:bidi/>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长</w:t>
                  </w:r>
                </w:p>
              </w:tc>
              <w:tc>
                <w:tcPr>
                  <w:tcW w:w="739" w:type="pct"/>
                  <w:tcBorders>
                    <w:tl2br w:val="nil"/>
                    <w:tr2bl w:val="nil"/>
                  </w:tcBorders>
                  <w:vAlign w:val="center"/>
                </w:tcPr>
                <w:p w14:paraId="7C43218C">
                  <w:pPr>
                    <w:pStyle w:val="27"/>
                    <w:keepNext w:val="0"/>
                    <w:keepLines w:val="0"/>
                    <w:pageBreakBefore w:val="0"/>
                    <w:kinsoku/>
                    <w:wordWrap/>
                    <w:overflowPunct/>
                    <w:topLinePunct w:val="0"/>
                    <w:autoSpaceDE/>
                    <w:autoSpaceDN/>
                    <w:bidi/>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宽</w:t>
                  </w:r>
                </w:p>
              </w:tc>
              <w:tc>
                <w:tcPr>
                  <w:tcW w:w="728" w:type="pct"/>
                  <w:vMerge w:val="continue"/>
                  <w:tcBorders>
                    <w:tl2br w:val="nil"/>
                    <w:tr2bl w:val="nil"/>
                  </w:tcBorders>
                  <w:vAlign w:val="center"/>
                </w:tcPr>
                <w:p w14:paraId="366B0553">
                  <w:pPr>
                    <w:keepNext w:val="0"/>
                    <w:keepLines w:val="0"/>
                    <w:pageBreakBefore w:val="0"/>
                    <w:widowControl/>
                    <w:kinsoku/>
                    <w:wordWrap/>
                    <w:overflowPunct/>
                    <w:topLinePunct w:val="0"/>
                    <w:autoSpaceDE/>
                    <w:autoSpaceDN/>
                    <w:bidi/>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p>
              </w:tc>
            </w:tr>
            <w:tr w14:paraId="511A0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0" w:type="pct"/>
                  <w:tcBorders>
                    <w:tl2br w:val="nil"/>
                    <w:tr2bl w:val="nil"/>
                  </w:tcBorders>
                  <w:vAlign w:val="center"/>
                </w:tcPr>
                <w:p w14:paraId="2B945816">
                  <w:pPr>
                    <w:pStyle w:val="24"/>
                    <w:keepNext w:val="0"/>
                    <w:keepLines w:val="0"/>
                    <w:pageBreakBefore w:val="0"/>
                    <w:kinsoku/>
                    <w:wordWrap/>
                    <w:overflowPunct/>
                    <w:topLinePunct w:val="0"/>
                    <w:autoSpaceDE/>
                    <w:autoSpaceDN/>
                    <w:bidi/>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eastAsia="宋体" w:cs="Times New Roman"/>
                      <w:color w:val="auto"/>
                      <w:sz w:val="21"/>
                      <w:szCs w:val="21"/>
                      <w:highlight w:val="none"/>
                      <w:lang w:eastAsia="zh-CN"/>
                    </w:rPr>
                    <w:t>铁</w:t>
                  </w:r>
                  <w:r>
                    <w:rPr>
                      <w:rFonts w:hint="eastAsia" w:ascii="Times New Roman" w:hAnsi="Times New Roman" w:eastAsia="宋体" w:cs="Times New Roman"/>
                      <w:color w:val="auto"/>
                      <w:sz w:val="21"/>
                      <w:szCs w:val="21"/>
                      <w:highlight w:val="none"/>
                    </w:rPr>
                    <w:t>桶</w:t>
                  </w:r>
                </w:p>
              </w:tc>
              <w:tc>
                <w:tcPr>
                  <w:tcW w:w="960" w:type="pct"/>
                  <w:tcBorders>
                    <w:tl2br w:val="nil"/>
                    <w:tr2bl w:val="nil"/>
                  </w:tcBorders>
                  <w:vAlign w:val="center"/>
                </w:tcPr>
                <w:p w14:paraId="750407CD">
                  <w:pPr>
                    <w:pStyle w:val="24"/>
                    <w:keepNext w:val="0"/>
                    <w:keepLines w:val="0"/>
                    <w:pageBreakBefore w:val="0"/>
                    <w:kinsoku/>
                    <w:wordWrap/>
                    <w:overflowPunct/>
                    <w:topLinePunct w:val="0"/>
                    <w:autoSpaceDE/>
                    <w:autoSpaceDN/>
                    <w:bidi/>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200L</w:t>
                  </w:r>
                </w:p>
              </w:tc>
              <w:tc>
                <w:tcPr>
                  <w:tcW w:w="902" w:type="pct"/>
                  <w:tcBorders>
                    <w:tl2br w:val="nil"/>
                    <w:tr2bl w:val="nil"/>
                  </w:tcBorders>
                  <w:shd w:val="clear" w:color="auto" w:fill="auto"/>
                  <w:vAlign w:val="center"/>
                </w:tcPr>
                <w:p w14:paraId="36AC2C13">
                  <w:pPr>
                    <w:pStyle w:val="24"/>
                    <w:keepNext w:val="0"/>
                    <w:keepLines w:val="0"/>
                    <w:pageBreakBefore w:val="0"/>
                    <w:kinsoku/>
                    <w:wordWrap/>
                    <w:overflowPunct/>
                    <w:topLinePunct w:val="0"/>
                    <w:autoSpaceDE/>
                    <w:autoSpaceDN/>
                    <w:bidi/>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890</w:t>
                  </w:r>
                </w:p>
              </w:tc>
              <w:tc>
                <w:tcPr>
                  <w:tcW w:w="1447" w:type="pct"/>
                  <w:gridSpan w:val="2"/>
                  <w:tcBorders>
                    <w:tl2br w:val="nil"/>
                    <w:tr2bl w:val="nil"/>
                  </w:tcBorders>
                  <w:shd w:val="clear" w:color="auto" w:fill="auto"/>
                  <w:vAlign w:val="center"/>
                </w:tcPr>
                <w:p w14:paraId="06239E43">
                  <w:pPr>
                    <w:pStyle w:val="24"/>
                    <w:keepNext w:val="0"/>
                    <w:keepLines w:val="0"/>
                    <w:pageBreakBefore w:val="0"/>
                    <w:kinsoku/>
                    <w:wordWrap/>
                    <w:overflowPunct/>
                    <w:topLinePunct w:val="0"/>
                    <w:autoSpaceDE/>
                    <w:autoSpaceDN/>
                    <w:bidi/>
                    <w:adjustRightInd w:val="0"/>
                    <w:snapToGrid w:val="0"/>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580</w:t>
                  </w:r>
                  <w:r>
                    <w:rPr>
                      <w:rFonts w:hint="eastAsia" w:ascii="Times New Roman" w:hAnsi="Times New Roman" w:eastAsia="宋体" w:cs="Times New Roman"/>
                      <w:color w:val="auto"/>
                      <w:sz w:val="21"/>
                      <w:szCs w:val="21"/>
                      <w:highlight w:val="none"/>
                    </w:rPr>
                    <w:t>（直径）</w:t>
                  </w:r>
                </w:p>
              </w:tc>
              <w:tc>
                <w:tcPr>
                  <w:tcW w:w="728" w:type="pct"/>
                  <w:tcBorders>
                    <w:tl2br w:val="nil"/>
                    <w:tr2bl w:val="nil"/>
                  </w:tcBorders>
                  <w:vAlign w:val="center"/>
                </w:tcPr>
                <w:p w14:paraId="1F7B1D26">
                  <w:pPr>
                    <w:pStyle w:val="24"/>
                    <w:keepNext w:val="0"/>
                    <w:keepLines w:val="0"/>
                    <w:pageBreakBefore w:val="0"/>
                    <w:kinsoku/>
                    <w:wordWrap/>
                    <w:overflowPunct/>
                    <w:topLinePunct w:val="0"/>
                    <w:autoSpaceDE/>
                    <w:autoSpaceDN/>
                    <w:bidi/>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170</w:t>
                  </w:r>
                </w:p>
              </w:tc>
            </w:tr>
            <w:tr w14:paraId="493931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0" w:type="pct"/>
                  <w:tcBorders>
                    <w:tl2br w:val="nil"/>
                    <w:tr2bl w:val="nil"/>
                  </w:tcBorders>
                  <w:vAlign w:val="center"/>
                </w:tcPr>
                <w:p w14:paraId="21D9ED0F">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color w:val="auto"/>
                      <w:highlight w:val="none"/>
                    </w:rPr>
                    <w:t>耐酸耐腐蚀箱</w:t>
                  </w:r>
                </w:p>
              </w:tc>
              <w:tc>
                <w:tcPr>
                  <w:tcW w:w="960" w:type="pct"/>
                  <w:tcBorders>
                    <w:tl2br w:val="nil"/>
                    <w:tr2bl w:val="nil"/>
                  </w:tcBorders>
                  <w:vAlign w:val="center"/>
                </w:tcPr>
                <w:p w14:paraId="1C55A5CC">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color w:val="auto"/>
                      <w:highlight w:val="none"/>
                    </w:rPr>
                    <w:t>/</w:t>
                  </w:r>
                </w:p>
              </w:tc>
              <w:tc>
                <w:tcPr>
                  <w:tcW w:w="902" w:type="pct"/>
                  <w:tcBorders>
                    <w:tl2br w:val="nil"/>
                    <w:tr2bl w:val="nil"/>
                  </w:tcBorders>
                  <w:shd w:val="clear" w:color="auto" w:fill="auto"/>
                  <w:vAlign w:val="center"/>
                </w:tcPr>
                <w:p w14:paraId="02F509C2">
                  <w:pPr>
                    <w:pStyle w:val="24"/>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eastAsia="宋体"/>
                      <w:color w:val="auto"/>
                      <w:highlight w:val="none"/>
                      <w:lang w:val="en-US" w:eastAsia="zh-CN"/>
                    </w:rPr>
                    <w:t>270</w:t>
                  </w:r>
                </w:p>
              </w:tc>
              <w:tc>
                <w:tcPr>
                  <w:tcW w:w="708" w:type="pct"/>
                  <w:tcBorders>
                    <w:tl2br w:val="nil"/>
                    <w:tr2bl w:val="nil"/>
                  </w:tcBorders>
                  <w:shd w:val="clear" w:color="auto" w:fill="auto"/>
                  <w:vAlign w:val="center"/>
                </w:tcPr>
                <w:p w14:paraId="1427EAB4">
                  <w:pPr>
                    <w:pStyle w:val="24"/>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eastAsia="宋体"/>
                      <w:color w:val="auto"/>
                      <w:highlight w:val="none"/>
                      <w:lang w:val="en-US" w:eastAsia="zh-CN"/>
                    </w:rPr>
                    <w:t>440</w:t>
                  </w:r>
                </w:p>
              </w:tc>
              <w:tc>
                <w:tcPr>
                  <w:tcW w:w="739" w:type="pct"/>
                  <w:tcBorders>
                    <w:tl2br w:val="nil"/>
                    <w:tr2bl w:val="nil"/>
                  </w:tcBorders>
                  <w:shd w:val="clear" w:color="auto" w:fill="auto"/>
                  <w:vAlign w:val="center"/>
                </w:tcPr>
                <w:p w14:paraId="68114673">
                  <w:pPr>
                    <w:pStyle w:val="24"/>
                    <w:spacing w:line="240" w:lineRule="auto"/>
                    <w:ind w:firstLine="0" w:firstLineChars="0"/>
                    <w:rPr>
                      <w:rFonts w:hint="default" w:eastAsiaTheme="minorEastAsia"/>
                      <w:color w:val="auto"/>
                      <w:highlight w:val="none"/>
                      <w:lang w:val="en-US" w:eastAsia="zh-CN"/>
                    </w:rPr>
                  </w:pPr>
                  <w:r>
                    <w:rPr>
                      <w:rFonts w:hint="eastAsia"/>
                      <w:color w:val="auto"/>
                      <w:highlight w:val="none"/>
                      <w:lang w:val="en-US" w:eastAsia="zh-CN"/>
                    </w:rPr>
                    <w:t>310</w:t>
                  </w:r>
                </w:p>
              </w:tc>
              <w:tc>
                <w:tcPr>
                  <w:tcW w:w="728" w:type="pct"/>
                  <w:tcBorders>
                    <w:tl2br w:val="nil"/>
                    <w:tr2bl w:val="nil"/>
                  </w:tcBorders>
                  <w:vAlign w:val="center"/>
                </w:tcPr>
                <w:p w14:paraId="189F218F">
                  <w:pPr>
                    <w:pStyle w:val="24"/>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r>
          </w:tbl>
          <w:p w14:paraId="1218DB2C">
            <w:pPr>
              <w:pStyle w:val="25"/>
              <w:bidi w:val="0"/>
              <w:rPr>
                <w:rFonts w:hint="eastAsia"/>
                <w:color w:val="auto"/>
                <w:highlight w:val="none"/>
                <w:lang w:val="en-US" w:eastAsia="zh-CN"/>
              </w:rPr>
            </w:pPr>
            <w:r>
              <w:rPr>
                <w:rFonts w:hint="eastAsia"/>
                <w:color w:val="auto"/>
                <w:highlight w:val="none"/>
                <w:lang w:val="en-US" w:eastAsia="zh-CN"/>
              </w:rPr>
              <w:t>废蓄电池规格</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65"/>
              <w:gridCol w:w="2227"/>
              <w:gridCol w:w="661"/>
              <w:gridCol w:w="662"/>
              <w:gridCol w:w="661"/>
              <w:gridCol w:w="1790"/>
            </w:tblGrid>
            <w:tr w14:paraId="7FCD5B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9" w:type="dxa"/>
                  <w:vMerge w:val="restart"/>
                  <w:tcBorders>
                    <w:tl2br w:val="nil"/>
                    <w:tr2bl w:val="nil"/>
                  </w:tcBorders>
                  <w:vAlign w:val="center"/>
                </w:tcPr>
                <w:p w14:paraId="60348AA8">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电池型号</w:t>
                  </w:r>
                </w:p>
              </w:tc>
              <w:tc>
                <w:tcPr>
                  <w:tcW w:w="1621" w:type="dxa"/>
                  <w:vMerge w:val="restart"/>
                  <w:tcBorders>
                    <w:tl2br w:val="nil"/>
                    <w:tr2bl w:val="nil"/>
                  </w:tcBorders>
                  <w:vAlign w:val="center"/>
                </w:tcPr>
                <w:p w14:paraId="5AB84976">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额定电压（V）</w:t>
                  </w:r>
                </w:p>
              </w:tc>
              <w:tc>
                <w:tcPr>
                  <w:tcW w:w="1855" w:type="dxa"/>
                  <w:gridSpan w:val="3"/>
                  <w:tcBorders>
                    <w:tl2br w:val="nil"/>
                    <w:tr2bl w:val="nil"/>
                  </w:tcBorders>
                  <w:vAlign w:val="center"/>
                </w:tcPr>
                <w:p w14:paraId="41A03567">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外形尺寸（mm）</w:t>
                  </w:r>
                </w:p>
              </w:tc>
              <w:tc>
                <w:tcPr>
                  <w:tcW w:w="1302" w:type="dxa"/>
                  <w:vMerge w:val="restart"/>
                  <w:tcBorders>
                    <w:tl2br w:val="nil"/>
                    <w:tr2bl w:val="nil"/>
                  </w:tcBorders>
                  <w:vAlign w:val="center"/>
                </w:tcPr>
                <w:p w14:paraId="3A2D8829">
                  <w:pPr>
                    <w:widowControl/>
                    <w:adjustRightInd w:val="0"/>
                    <w:snapToGrid w:val="0"/>
                    <w:spacing w:line="240" w:lineRule="auto"/>
                    <w:jc w:val="center"/>
                    <w:rPr>
                      <w:rFonts w:ascii="Times New Roman" w:hAnsi="Times New Roman" w:eastAsia="宋体" w:cs="Times New Roman"/>
                      <w:color w:val="auto"/>
                      <w:sz w:val="21"/>
                      <w:szCs w:val="21"/>
                      <w:highlight w:val="none"/>
                    </w:rPr>
                  </w:pPr>
                  <w:r>
                    <w:rPr>
                      <w:rStyle w:val="33"/>
                      <w:rFonts w:hint="default" w:ascii="Times New Roman" w:hAnsi="Times New Roman" w:eastAsia="宋体" w:cs="Times New Roman"/>
                      <w:color w:val="auto"/>
                      <w:sz w:val="21"/>
                      <w:szCs w:val="21"/>
                      <w:highlight w:val="none"/>
                    </w:rPr>
                    <w:t>重量（kg</w:t>
                  </w:r>
                  <w:r>
                    <w:rPr>
                      <w:rFonts w:hint="eastAsia" w:ascii="Times New Roman" w:hAnsi="Times New Roman" w:eastAsia="宋体" w:cs="Times New Roman"/>
                      <w:color w:val="auto"/>
                      <w:sz w:val="21"/>
                      <w:szCs w:val="21"/>
                      <w:highlight w:val="none"/>
                    </w:rPr>
                    <w:t>）</w:t>
                  </w:r>
                </w:p>
              </w:tc>
            </w:tr>
            <w:tr w14:paraId="4EB395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9" w:type="dxa"/>
                  <w:vMerge w:val="continue"/>
                  <w:tcBorders>
                    <w:tl2br w:val="nil"/>
                    <w:tr2bl w:val="nil"/>
                  </w:tcBorders>
                  <w:vAlign w:val="center"/>
                </w:tcPr>
                <w:p w14:paraId="04333FC2">
                  <w:pPr>
                    <w:pStyle w:val="27"/>
                    <w:spacing w:line="240" w:lineRule="auto"/>
                    <w:rPr>
                      <w:rFonts w:hint="default" w:ascii="Times New Roman" w:hAnsi="Times New Roman" w:eastAsia="宋体" w:cs="Times New Roman"/>
                      <w:color w:val="auto"/>
                      <w:sz w:val="21"/>
                      <w:szCs w:val="21"/>
                      <w:highlight w:val="none"/>
                    </w:rPr>
                  </w:pPr>
                </w:p>
              </w:tc>
              <w:tc>
                <w:tcPr>
                  <w:tcW w:w="1621" w:type="dxa"/>
                  <w:vMerge w:val="continue"/>
                  <w:tcBorders>
                    <w:tl2br w:val="nil"/>
                    <w:tr2bl w:val="nil"/>
                  </w:tcBorders>
                  <w:vAlign w:val="center"/>
                </w:tcPr>
                <w:p w14:paraId="3D21B94A">
                  <w:pPr>
                    <w:pStyle w:val="27"/>
                    <w:spacing w:line="240" w:lineRule="auto"/>
                    <w:rPr>
                      <w:rFonts w:hint="default" w:ascii="Times New Roman" w:hAnsi="Times New Roman" w:eastAsia="宋体" w:cs="Times New Roman"/>
                      <w:color w:val="auto"/>
                      <w:sz w:val="21"/>
                      <w:szCs w:val="21"/>
                      <w:highlight w:val="none"/>
                    </w:rPr>
                  </w:pPr>
                </w:p>
              </w:tc>
              <w:tc>
                <w:tcPr>
                  <w:tcW w:w="618" w:type="dxa"/>
                  <w:tcBorders>
                    <w:tl2br w:val="nil"/>
                    <w:tr2bl w:val="nil"/>
                  </w:tcBorders>
                  <w:vAlign w:val="center"/>
                </w:tcPr>
                <w:p w14:paraId="3140D058">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长</w:t>
                  </w:r>
                </w:p>
              </w:tc>
              <w:tc>
                <w:tcPr>
                  <w:tcW w:w="619" w:type="dxa"/>
                  <w:tcBorders>
                    <w:tl2br w:val="nil"/>
                    <w:tr2bl w:val="nil"/>
                  </w:tcBorders>
                  <w:vAlign w:val="center"/>
                </w:tcPr>
                <w:p w14:paraId="1E858880">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宽</w:t>
                  </w:r>
                </w:p>
              </w:tc>
              <w:tc>
                <w:tcPr>
                  <w:tcW w:w="618" w:type="dxa"/>
                  <w:tcBorders>
                    <w:tl2br w:val="nil"/>
                    <w:tr2bl w:val="nil"/>
                  </w:tcBorders>
                  <w:vAlign w:val="center"/>
                </w:tcPr>
                <w:p w14:paraId="03D269C0">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高</w:t>
                  </w:r>
                </w:p>
              </w:tc>
              <w:tc>
                <w:tcPr>
                  <w:tcW w:w="1302" w:type="dxa"/>
                  <w:vMerge w:val="continue"/>
                  <w:tcBorders>
                    <w:tl2br w:val="nil"/>
                    <w:tr2bl w:val="nil"/>
                  </w:tcBorders>
                  <w:vAlign w:val="center"/>
                </w:tcPr>
                <w:p w14:paraId="3A2F96A9">
                  <w:pPr>
                    <w:widowControl/>
                    <w:adjustRightInd w:val="0"/>
                    <w:snapToGrid w:val="0"/>
                    <w:spacing w:line="240" w:lineRule="auto"/>
                    <w:jc w:val="center"/>
                    <w:rPr>
                      <w:rFonts w:ascii="Times New Roman" w:hAnsi="Times New Roman" w:eastAsia="宋体" w:cs="Times New Roman"/>
                      <w:color w:val="auto"/>
                      <w:sz w:val="21"/>
                      <w:szCs w:val="21"/>
                      <w:highlight w:val="none"/>
                    </w:rPr>
                  </w:pPr>
                </w:p>
              </w:tc>
            </w:tr>
            <w:tr w14:paraId="6DE04E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9" w:type="dxa"/>
                  <w:tcBorders>
                    <w:tl2br w:val="nil"/>
                    <w:tr2bl w:val="nil"/>
                  </w:tcBorders>
                  <w:vAlign w:val="center"/>
                </w:tcPr>
                <w:p w14:paraId="5A86D374">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LC-T12105ST</w:t>
                  </w:r>
                </w:p>
              </w:tc>
              <w:tc>
                <w:tcPr>
                  <w:tcW w:w="1621" w:type="dxa"/>
                  <w:tcBorders>
                    <w:tl2br w:val="nil"/>
                    <w:tr2bl w:val="nil"/>
                  </w:tcBorders>
                  <w:vAlign w:val="center"/>
                </w:tcPr>
                <w:p w14:paraId="016AFE42">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12</w:t>
                  </w:r>
                </w:p>
              </w:tc>
              <w:tc>
                <w:tcPr>
                  <w:tcW w:w="618" w:type="dxa"/>
                  <w:tcBorders>
                    <w:tl2br w:val="nil"/>
                    <w:tr2bl w:val="nil"/>
                  </w:tcBorders>
                  <w:vAlign w:val="center"/>
                </w:tcPr>
                <w:p w14:paraId="1D35FA1E">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407</w:t>
                  </w:r>
                </w:p>
              </w:tc>
              <w:tc>
                <w:tcPr>
                  <w:tcW w:w="619" w:type="dxa"/>
                  <w:tcBorders>
                    <w:tl2br w:val="nil"/>
                    <w:tr2bl w:val="nil"/>
                  </w:tcBorders>
                  <w:vAlign w:val="center"/>
                </w:tcPr>
                <w:p w14:paraId="3AC9032D">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173</w:t>
                  </w:r>
                </w:p>
              </w:tc>
              <w:tc>
                <w:tcPr>
                  <w:tcW w:w="618" w:type="dxa"/>
                  <w:tcBorders>
                    <w:tl2br w:val="nil"/>
                    <w:tr2bl w:val="nil"/>
                  </w:tcBorders>
                  <w:vAlign w:val="center"/>
                </w:tcPr>
                <w:p w14:paraId="4C8BAA9E">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210</w:t>
                  </w:r>
                </w:p>
              </w:tc>
              <w:tc>
                <w:tcPr>
                  <w:tcW w:w="1302" w:type="dxa"/>
                  <w:tcBorders>
                    <w:tl2br w:val="nil"/>
                    <w:tr2bl w:val="nil"/>
                  </w:tcBorders>
                  <w:vAlign w:val="center"/>
                </w:tcPr>
                <w:p w14:paraId="251D3E00">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24.5</w:t>
                  </w:r>
                </w:p>
              </w:tc>
            </w:tr>
            <w:tr w14:paraId="120A0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9" w:type="dxa"/>
                  <w:tcBorders>
                    <w:tl2br w:val="nil"/>
                    <w:tr2bl w:val="nil"/>
                  </w:tcBorders>
                  <w:vAlign w:val="center"/>
                </w:tcPr>
                <w:p w14:paraId="51260B2B">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CSB GP 12650</w:t>
                  </w:r>
                </w:p>
              </w:tc>
              <w:tc>
                <w:tcPr>
                  <w:tcW w:w="1621" w:type="dxa"/>
                  <w:tcBorders>
                    <w:tl2br w:val="nil"/>
                    <w:tr2bl w:val="nil"/>
                  </w:tcBorders>
                  <w:vAlign w:val="center"/>
                </w:tcPr>
                <w:p w14:paraId="3B875374">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12</w:t>
                  </w:r>
                </w:p>
              </w:tc>
              <w:tc>
                <w:tcPr>
                  <w:tcW w:w="618" w:type="dxa"/>
                  <w:tcBorders>
                    <w:tl2br w:val="nil"/>
                    <w:tr2bl w:val="nil"/>
                  </w:tcBorders>
                  <w:vAlign w:val="center"/>
                </w:tcPr>
                <w:p w14:paraId="5DE28750">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300</w:t>
                  </w:r>
                </w:p>
              </w:tc>
              <w:tc>
                <w:tcPr>
                  <w:tcW w:w="619" w:type="dxa"/>
                  <w:tcBorders>
                    <w:tl2br w:val="nil"/>
                    <w:tr2bl w:val="nil"/>
                  </w:tcBorders>
                  <w:vAlign w:val="center"/>
                </w:tcPr>
                <w:p w14:paraId="566E0006">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618" w:type="dxa"/>
                  <w:tcBorders>
                    <w:tl2br w:val="nil"/>
                    <w:tr2bl w:val="nil"/>
                  </w:tcBorders>
                  <w:vAlign w:val="center"/>
                </w:tcPr>
                <w:p w14:paraId="5503B89A">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1302" w:type="dxa"/>
                  <w:tcBorders>
                    <w:tl2br w:val="nil"/>
                    <w:tr2bl w:val="nil"/>
                  </w:tcBorders>
                  <w:vAlign w:val="center"/>
                </w:tcPr>
                <w:p w14:paraId="0ACDBE4C">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w:t>
                  </w:r>
                </w:p>
              </w:tc>
            </w:tr>
            <w:tr w14:paraId="37796F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9" w:type="dxa"/>
                  <w:tcBorders>
                    <w:tl2br w:val="nil"/>
                    <w:tr2bl w:val="nil"/>
                  </w:tcBorders>
                  <w:vAlign w:val="center"/>
                </w:tcPr>
                <w:p w14:paraId="1994FED9">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NP20-12</w:t>
                  </w:r>
                </w:p>
              </w:tc>
              <w:tc>
                <w:tcPr>
                  <w:tcW w:w="1621" w:type="dxa"/>
                  <w:tcBorders>
                    <w:tl2br w:val="nil"/>
                    <w:tr2bl w:val="nil"/>
                  </w:tcBorders>
                  <w:vAlign w:val="center"/>
                </w:tcPr>
                <w:p w14:paraId="6FEA2561">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618" w:type="dxa"/>
                  <w:tcBorders>
                    <w:tl2br w:val="nil"/>
                    <w:tr2bl w:val="nil"/>
                  </w:tcBorders>
                  <w:vAlign w:val="center"/>
                </w:tcPr>
                <w:p w14:paraId="6CE34562">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181</w:t>
                  </w:r>
                </w:p>
              </w:tc>
              <w:tc>
                <w:tcPr>
                  <w:tcW w:w="619" w:type="dxa"/>
                  <w:tcBorders>
                    <w:tl2br w:val="nil"/>
                    <w:tr2bl w:val="nil"/>
                  </w:tcBorders>
                  <w:vAlign w:val="center"/>
                </w:tcPr>
                <w:p w14:paraId="67247C50">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76</w:t>
                  </w:r>
                </w:p>
              </w:tc>
              <w:tc>
                <w:tcPr>
                  <w:tcW w:w="618" w:type="dxa"/>
                  <w:tcBorders>
                    <w:tl2br w:val="nil"/>
                    <w:tr2bl w:val="nil"/>
                  </w:tcBorders>
                  <w:vAlign w:val="center"/>
                </w:tcPr>
                <w:p w14:paraId="683B09CD">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170</w:t>
                  </w:r>
                </w:p>
              </w:tc>
              <w:tc>
                <w:tcPr>
                  <w:tcW w:w="1302" w:type="dxa"/>
                  <w:tcBorders>
                    <w:tl2br w:val="nil"/>
                    <w:tr2bl w:val="nil"/>
                  </w:tcBorders>
                  <w:vAlign w:val="center"/>
                </w:tcPr>
                <w:p w14:paraId="3BBE3DA6">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6.9</w:t>
                  </w:r>
                </w:p>
              </w:tc>
            </w:tr>
            <w:tr w14:paraId="466795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9" w:type="dxa"/>
                  <w:tcBorders>
                    <w:tl2br w:val="nil"/>
                    <w:tr2bl w:val="nil"/>
                  </w:tcBorders>
                  <w:vAlign w:val="center"/>
                </w:tcPr>
                <w:p w14:paraId="20CC5ABA">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GFMD-1000C</w:t>
                  </w:r>
                </w:p>
              </w:tc>
              <w:tc>
                <w:tcPr>
                  <w:tcW w:w="1621" w:type="dxa"/>
                  <w:tcBorders>
                    <w:tl2br w:val="nil"/>
                    <w:tr2bl w:val="nil"/>
                  </w:tcBorders>
                  <w:vAlign w:val="center"/>
                </w:tcPr>
                <w:p w14:paraId="7E92D18D">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618" w:type="dxa"/>
                  <w:tcBorders>
                    <w:tl2br w:val="nil"/>
                    <w:tr2bl w:val="nil"/>
                  </w:tcBorders>
                  <w:vAlign w:val="center"/>
                </w:tcPr>
                <w:p w14:paraId="2EE55331">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380</w:t>
                  </w:r>
                </w:p>
              </w:tc>
              <w:tc>
                <w:tcPr>
                  <w:tcW w:w="619" w:type="dxa"/>
                  <w:tcBorders>
                    <w:tl2br w:val="nil"/>
                    <w:tr2bl w:val="nil"/>
                  </w:tcBorders>
                  <w:vAlign w:val="center"/>
                </w:tcPr>
                <w:p w14:paraId="408E9A44">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155</w:t>
                  </w:r>
                </w:p>
              </w:tc>
              <w:tc>
                <w:tcPr>
                  <w:tcW w:w="618" w:type="dxa"/>
                  <w:tcBorders>
                    <w:tl2br w:val="nil"/>
                    <w:tr2bl w:val="nil"/>
                  </w:tcBorders>
                  <w:vAlign w:val="center"/>
                </w:tcPr>
                <w:p w14:paraId="717E3317">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340</w:t>
                  </w:r>
                </w:p>
              </w:tc>
              <w:tc>
                <w:tcPr>
                  <w:tcW w:w="1302" w:type="dxa"/>
                  <w:tcBorders>
                    <w:tl2br w:val="nil"/>
                    <w:tr2bl w:val="nil"/>
                  </w:tcBorders>
                  <w:vAlign w:val="center"/>
                </w:tcPr>
                <w:p w14:paraId="116C51E8">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r>
          </w:tbl>
          <w:p w14:paraId="2B4D7FF4">
            <w:pPr>
              <w:bidi w:val="0"/>
              <w:rPr>
                <w:b/>
                <w:bCs/>
                <w:color w:val="auto"/>
                <w:highlight w:val="none"/>
              </w:rPr>
            </w:pPr>
            <w:r>
              <w:rPr>
                <w:rFonts w:hint="eastAsia"/>
                <w:b/>
                <w:bCs/>
                <w:color w:val="auto"/>
                <w:highlight w:val="none"/>
                <w:lang w:val="en-US" w:eastAsia="zh-CN"/>
              </w:rPr>
              <w:t>6</w:t>
            </w:r>
            <w:r>
              <w:rPr>
                <w:b/>
                <w:bCs/>
                <w:color w:val="auto"/>
                <w:highlight w:val="none"/>
              </w:rPr>
              <w:t>理化性质</w:t>
            </w:r>
          </w:p>
          <w:p w14:paraId="11FD90E2">
            <w:pPr>
              <w:pStyle w:val="25"/>
              <w:bidi w:val="0"/>
              <w:rPr>
                <w:rFonts w:hint="eastAsia"/>
                <w:color w:val="auto"/>
                <w:highlight w:val="none"/>
                <w:lang w:val="en-US" w:eastAsia="zh-CN"/>
              </w:rPr>
            </w:pPr>
            <w:r>
              <w:rPr>
                <w:rFonts w:hint="eastAsia"/>
                <w:color w:val="auto"/>
                <w:highlight w:val="none"/>
                <w:lang w:val="en-US" w:eastAsia="zh-CN"/>
              </w:rPr>
              <w:t>实验室废液组成部分</w:t>
            </w:r>
          </w:p>
          <w:tbl>
            <w:tblPr>
              <w:tblStyle w:val="18"/>
              <w:tblW w:w="496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7118"/>
            </w:tblGrid>
            <w:tr w14:paraId="00456D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670" w:type="pct"/>
                  <w:tcBorders>
                    <w:insideH w:val="nil"/>
                    <w:insideV w:val="nil"/>
                    <w:tl2br w:val="nil"/>
                    <w:tr2bl w:val="nil"/>
                  </w:tcBorders>
                  <w:shd w:val="clear" w:color="auto" w:fill="auto"/>
                  <w:vAlign w:val="center"/>
                </w:tcPr>
                <w:p w14:paraId="18B9010F">
                  <w:pPr>
                    <w:pStyle w:val="27"/>
                    <w:spacing w:line="240" w:lineRule="auto"/>
                    <w:rPr>
                      <w:rFonts w:hint="eastAsia" w:ascii="Times New Roman" w:hAnsi="Times New Roman" w:eastAsia="宋体" w:cs="Times New Roman"/>
                      <w:b/>
                      <w:bCs w:val="0"/>
                      <w:color w:val="auto"/>
                      <w:sz w:val="21"/>
                      <w:szCs w:val="21"/>
                      <w:highlight w:val="none"/>
                      <w:lang w:eastAsia="zh-CN"/>
                    </w:rPr>
                  </w:pPr>
                  <w:r>
                    <w:rPr>
                      <w:rFonts w:hint="eastAsia" w:eastAsia="宋体" w:cs="Times New Roman"/>
                      <w:b/>
                      <w:bCs w:val="0"/>
                      <w:color w:val="auto"/>
                      <w:sz w:val="21"/>
                      <w:szCs w:val="21"/>
                      <w:highlight w:val="none"/>
                      <w:lang w:eastAsia="zh-CN"/>
                    </w:rPr>
                    <w:t>组成部分</w:t>
                  </w:r>
                </w:p>
              </w:tc>
              <w:tc>
                <w:tcPr>
                  <w:tcW w:w="4329" w:type="pct"/>
                  <w:tcBorders>
                    <w:tl2br w:val="nil"/>
                    <w:tr2bl w:val="nil"/>
                  </w:tcBorders>
                  <w:shd w:val="clear" w:color="auto" w:fill="auto"/>
                  <w:vAlign w:val="center"/>
                </w:tcPr>
                <w:p w14:paraId="01964642">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生产、研究、环境检测活动中，实验室（不包含感染性医学实验室及医疗机构化验室）产生的废酸、废碱</w:t>
                  </w:r>
                  <w:r>
                    <w:rPr>
                      <w:rFonts w:hint="eastAsia" w:eastAsia="宋体" w:cs="Times New Roman"/>
                      <w:color w:val="auto"/>
                      <w:sz w:val="21"/>
                      <w:szCs w:val="21"/>
                      <w:highlight w:val="none"/>
                      <w:lang w:eastAsia="zh-CN"/>
                    </w:rPr>
                    <w:t>、以及一点点废</w:t>
                  </w:r>
                  <w:r>
                    <w:rPr>
                      <w:rFonts w:hint="eastAsia" w:ascii="Times New Roman" w:hAnsi="Times New Roman" w:eastAsia="宋体" w:cs="Times New Roman"/>
                      <w:color w:val="auto"/>
                      <w:sz w:val="21"/>
                      <w:szCs w:val="21"/>
                      <w:highlight w:val="none"/>
                    </w:rPr>
                    <w:t>有机溶剂</w:t>
                  </w:r>
                  <w:r>
                    <w:rPr>
                      <w:rFonts w:hint="eastAsia" w:eastAsia="宋体" w:cs="Times New Roman"/>
                      <w:color w:val="auto"/>
                      <w:sz w:val="21"/>
                      <w:szCs w:val="21"/>
                      <w:highlight w:val="none"/>
                      <w:lang w:eastAsia="zh-CN"/>
                    </w:rPr>
                    <w:t>的混合型溶液，</w:t>
                  </w:r>
                  <w:r>
                    <w:rPr>
                      <w:rFonts w:hint="eastAsia" w:ascii="Times New Roman" w:hAnsi="Times New Roman" w:eastAsia="宋体" w:cs="Times New Roman"/>
                      <w:color w:val="auto"/>
                      <w:sz w:val="21"/>
                      <w:szCs w:val="21"/>
                      <w:highlight w:val="none"/>
                    </w:rPr>
                    <w:t>具有危险特性的残留样品，以及沾染上述物质的一次性实验用品、包装物</w:t>
                  </w:r>
                </w:p>
              </w:tc>
            </w:tr>
          </w:tbl>
          <w:p w14:paraId="482AC3DD">
            <w:pPr>
              <w:pStyle w:val="25"/>
              <w:bidi w:val="0"/>
              <w:rPr>
                <w:color w:val="auto"/>
                <w:highlight w:val="none"/>
                <w:lang w:val="en-US" w:eastAsia="zh-CN"/>
              </w:rPr>
            </w:pPr>
            <w:r>
              <w:rPr>
                <w:rFonts w:hint="eastAsia"/>
                <w:color w:val="auto"/>
                <w:highlight w:val="none"/>
                <w:lang w:val="en-US" w:eastAsia="zh-CN"/>
              </w:rPr>
              <w:t>铅蓄电池组成部分</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87"/>
              <w:gridCol w:w="6079"/>
            </w:tblGrid>
            <w:tr w14:paraId="4BF62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0" w:type="dxa"/>
                  <w:tcBorders>
                    <w:tl2br w:val="nil"/>
                    <w:tr2bl w:val="nil"/>
                  </w:tcBorders>
                  <w:vAlign w:val="center"/>
                </w:tcPr>
                <w:p w14:paraId="7E3EA09C">
                  <w:pPr>
                    <w:pStyle w:val="27"/>
                    <w:bidi w:val="0"/>
                    <w:spacing w:line="240" w:lineRule="auto"/>
                    <w:rPr>
                      <w:color w:val="auto"/>
                      <w:highlight w:val="none"/>
                    </w:rPr>
                  </w:pPr>
                  <w:r>
                    <w:rPr>
                      <w:rFonts w:hint="eastAsia"/>
                      <w:color w:val="auto"/>
                      <w:highlight w:val="none"/>
                    </w:rPr>
                    <w:t>标识</w:t>
                  </w:r>
                </w:p>
              </w:tc>
              <w:tc>
                <w:tcPr>
                  <w:tcW w:w="6003" w:type="dxa"/>
                  <w:tcBorders>
                    <w:tl2br w:val="nil"/>
                    <w:tr2bl w:val="nil"/>
                  </w:tcBorders>
                  <w:vAlign w:val="center"/>
                </w:tcPr>
                <w:p w14:paraId="1DFA33C5">
                  <w:pPr>
                    <w:pStyle w:val="27"/>
                    <w:bidi w:val="0"/>
                    <w:spacing w:line="240" w:lineRule="auto"/>
                    <w:rPr>
                      <w:color w:val="auto"/>
                      <w:highlight w:val="none"/>
                    </w:rPr>
                  </w:pPr>
                  <w:r>
                    <w:rPr>
                      <w:rFonts w:hint="eastAsia"/>
                      <w:color w:val="auto"/>
                      <w:highlight w:val="none"/>
                    </w:rPr>
                    <w:t>简述</w:t>
                  </w:r>
                </w:p>
              </w:tc>
            </w:tr>
            <w:tr w14:paraId="45CCF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0" w:type="dxa"/>
                  <w:tcBorders>
                    <w:tl2br w:val="nil"/>
                    <w:tr2bl w:val="nil"/>
                  </w:tcBorders>
                  <w:vAlign w:val="center"/>
                </w:tcPr>
                <w:p w14:paraId="7CC1C79D">
                  <w:pPr>
                    <w:pStyle w:val="24"/>
                    <w:spacing w:line="240" w:lineRule="auto"/>
                    <w:rPr>
                      <w:color w:val="auto"/>
                      <w:highlight w:val="none"/>
                    </w:rPr>
                  </w:pPr>
                  <w:r>
                    <w:rPr>
                      <w:rFonts w:hint="eastAsia"/>
                      <w:color w:val="auto"/>
                      <w:highlight w:val="none"/>
                    </w:rPr>
                    <w:t>正极板</w:t>
                  </w:r>
                  <w:r>
                    <w:rPr>
                      <w:rFonts w:hint="eastAsia"/>
                      <w:color w:val="auto"/>
                      <w:highlight w:val="none"/>
                      <w:lang w:eastAsia="zh-CN"/>
                    </w:rPr>
                    <w:t>、</w:t>
                  </w:r>
                  <w:r>
                    <w:rPr>
                      <w:rFonts w:hint="eastAsia"/>
                      <w:color w:val="auto"/>
                      <w:highlight w:val="none"/>
                    </w:rPr>
                    <w:t>负极板</w:t>
                  </w:r>
                </w:p>
              </w:tc>
              <w:tc>
                <w:tcPr>
                  <w:tcW w:w="6003" w:type="dxa"/>
                  <w:tcBorders>
                    <w:tl2br w:val="nil"/>
                    <w:tr2bl w:val="nil"/>
                  </w:tcBorders>
                  <w:vAlign w:val="center"/>
                </w:tcPr>
                <w:p w14:paraId="29276886">
                  <w:pPr>
                    <w:pStyle w:val="24"/>
                    <w:spacing w:line="240" w:lineRule="auto"/>
                    <w:rPr>
                      <w:color w:val="auto"/>
                      <w:highlight w:val="none"/>
                    </w:rPr>
                  </w:pPr>
                  <w:r>
                    <w:rPr>
                      <w:rFonts w:hint="eastAsia"/>
                      <w:color w:val="auto"/>
                      <w:highlight w:val="none"/>
                    </w:rPr>
                    <w:t>由板栅和活性物质构成</w:t>
                  </w:r>
                  <w:r>
                    <w:rPr>
                      <w:rFonts w:hint="eastAsia"/>
                      <w:color w:val="auto"/>
                      <w:highlight w:val="none"/>
                      <w:lang w:eastAsia="zh-CN"/>
                    </w:rPr>
                    <w:t>，</w:t>
                  </w:r>
                  <w:r>
                    <w:rPr>
                      <w:rFonts w:hint="eastAsia"/>
                      <w:color w:val="auto"/>
                      <w:highlight w:val="none"/>
                    </w:rPr>
                    <w:t>板栅材料一般为铅锑合金</w:t>
                  </w:r>
                  <w:r>
                    <w:rPr>
                      <w:rFonts w:hint="eastAsia"/>
                      <w:color w:val="auto"/>
                      <w:highlight w:val="none"/>
                      <w:lang w:eastAsia="zh-CN"/>
                    </w:rPr>
                    <w:t>，</w:t>
                  </w:r>
                  <w:r>
                    <w:rPr>
                      <w:rFonts w:hint="eastAsia"/>
                      <w:color w:val="auto"/>
                      <w:highlight w:val="none"/>
                    </w:rPr>
                    <w:t>免维护电池采用铅钙合金</w:t>
                  </w:r>
                  <w:r>
                    <w:rPr>
                      <w:rFonts w:hint="eastAsia"/>
                      <w:color w:val="auto"/>
                      <w:highlight w:val="none"/>
                      <w:lang w:eastAsia="zh-CN"/>
                    </w:rPr>
                    <w:t>，</w:t>
                  </w:r>
                  <w:r>
                    <w:rPr>
                      <w:rFonts w:hint="eastAsia"/>
                      <w:color w:val="auto"/>
                      <w:highlight w:val="none"/>
                    </w:rPr>
                    <w:t>正极活性物质主要成分为氧化铅</w:t>
                  </w:r>
                  <w:r>
                    <w:rPr>
                      <w:rFonts w:hint="eastAsia"/>
                      <w:color w:val="auto"/>
                      <w:highlight w:val="none"/>
                      <w:lang w:eastAsia="zh-CN"/>
                    </w:rPr>
                    <w:t>，</w:t>
                  </w:r>
                  <w:r>
                    <w:rPr>
                      <w:rFonts w:hint="eastAsia"/>
                      <w:color w:val="auto"/>
                      <w:highlight w:val="none"/>
                    </w:rPr>
                    <w:t>负极活性物质主要成分为绒状铅</w:t>
                  </w:r>
                </w:p>
              </w:tc>
            </w:tr>
            <w:tr w14:paraId="499895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0" w:type="dxa"/>
                  <w:tcBorders>
                    <w:tl2br w:val="nil"/>
                    <w:tr2bl w:val="nil"/>
                  </w:tcBorders>
                  <w:vAlign w:val="center"/>
                </w:tcPr>
                <w:p w14:paraId="4AB43FC2">
                  <w:pPr>
                    <w:pStyle w:val="24"/>
                    <w:spacing w:line="240" w:lineRule="auto"/>
                    <w:rPr>
                      <w:color w:val="auto"/>
                      <w:highlight w:val="none"/>
                    </w:rPr>
                  </w:pPr>
                  <w:r>
                    <w:rPr>
                      <w:rFonts w:hint="eastAsia"/>
                      <w:color w:val="auto"/>
                      <w:highlight w:val="none"/>
                    </w:rPr>
                    <w:t>隔板</w:t>
                  </w:r>
                </w:p>
              </w:tc>
              <w:tc>
                <w:tcPr>
                  <w:tcW w:w="6003" w:type="dxa"/>
                  <w:tcBorders>
                    <w:tl2br w:val="nil"/>
                    <w:tr2bl w:val="nil"/>
                  </w:tcBorders>
                  <w:vAlign w:val="center"/>
                </w:tcPr>
                <w:p w14:paraId="23440479">
                  <w:pPr>
                    <w:pStyle w:val="24"/>
                    <w:spacing w:line="240" w:lineRule="auto"/>
                    <w:rPr>
                      <w:color w:val="auto"/>
                      <w:highlight w:val="none"/>
                    </w:rPr>
                  </w:pPr>
                  <w:r>
                    <w:rPr>
                      <w:rFonts w:hint="eastAsia"/>
                      <w:color w:val="auto"/>
                      <w:highlight w:val="none"/>
                    </w:rPr>
                    <w:t>由微孔橡胶、颜料、玻璃纤维等材料制成</w:t>
                  </w:r>
                </w:p>
              </w:tc>
            </w:tr>
            <w:tr w14:paraId="40C859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0" w:type="dxa"/>
                  <w:tcBorders>
                    <w:tl2br w:val="nil"/>
                    <w:tr2bl w:val="nil"/>
                  </w:tcBorders>
                  <w:vAlign w:val="center"/>
                </w:tcPr>
                <w:p w14:paraId="7E83988E">
                  <w:pPr>
                    <w:pStyle w:val="24"/>
                    <w:spacing w:line="240" w:lineRule="auto"/>
                    <w:rPr>
                      <w:color w:val="auto"/>
                      <w:highlight w:val="none"/>
                    </w:rPr>
                  </w:pPr>
                  <w:r>
                    <w:rPr>
                      <w:rFonts w:hint="eastAsia"/>
                      <w:color w:val="auto"/>
                      <w:highlight w:val="none"/>
                    </w:rPr>
                    <w:t>电解液</w:t>
                  </w:r>
                </w:p>
              </w:tc>
              <w:tc>
                <w:tcPr>
                  <w:tcW w:w="6003" w:type="dxa"/>
                  <w:tcBorders>
                    <w:tl2br w:val="nil"/>
                    <w:tr2bl w:val="nil"/>
                  </w:tcBorders>
                  <w:vAlign w:val="center"/>
                </w:tcPr>
                <w:p w14:paraId="2F0367E7">
                  <w:pPr>
                    <w:pStyle w:val="24"/>
                    <w:spacing w:line="240" w:lineRule="auto"/>
                    <w:rPr>
                      <w:rFonts w:hint="eastAsia" w:eastAsiaTheme="minorEastAsia"/>
                      <w:color w:val="auto"/>
                      <w:highlight w:val="none"/>
                      <w:lang w:eastAsia="zh-CN"/>
                    </w:rPr>
                  </w:pPr>
                  <w:r>
                    <w:rPr>
                      <w:rFonts w:hint="eastAsia"/>
                      <w:color w:val="auto"/>
                      <w:highlight w:val="none"/>
                    </w:rPr>
                    <w:t>由浓硫酸和纯水配制而成</w:t>
                  </w:r>
                  <w:r>
                    <w:rPr>
                      <w:rFonts w:hint="eastAsia"/>
                      <w:color w:val="auto"/>
                      <w:highlight w:val="none"/>
                      <w:lang w:eastAsia="zh-CN"/>
                    </w:rPr>
                    <w:t>，</w:t>
                  </w:r>
                  <w:r>
                    <w:rPr>
                      <w:rFonts w:hint="eastAsia"/>
                      <w:color w:val="auto"/>
                      <w:highlight w:val="none"/>
                    </w:rPr>
                    <w:t>一般硫酸浓度40%左右</w:t>
                  </w:r>
                  <w:r>
                    <w:rPr>
                      <w:rFonts w:hint="eastAsia"/>
                      <w:color w:val="auto"/>
                      <w:highlight w:val="none"/>
                      <w:lang w:eastAsia="zh-CN"/>
                    </w:rPr>
                    <w:t>，本项目取</w:t>
                  </w:r>
                  <w:r>
                    <w:rPr>
                      <w:rFonts w:eastAsia="宋体"/>
                      <w:color w:val="auto"/>
                      <w:sz w:val="21"/>
                      <w:highlight w:val="none"/>
                    </w:rPr>
                    <w:t>37.4</w:t>
                  </w:r>
                  <w:r>
                    <w:rPr>
                      <w:rFonts w:hint="eastAsia"/>
                      <w:color w:val="auto"/>
                      <w:sz w:val="21"/>
                      <w:highlight w:val="none"/>
                      <w:lang w:val="en-US" w:eastAsia="zh-CN"/>
                    </w:rPr>
                    <w:t>%，</w:t>
                  </w:r>
                  <w:r>
                    <w:rPr>
                      <w:rFonts w:hint="eastAsia"/>
                      <w:color w:val="auto"/>
                      <w:highlight w:val="none"/>
                    </w:rPr>
                    <w:t>电解液密度1.280±0.005g/cm</w:t>
                  </w:r>
                  <w:r>
                    <w:rPr>
                      <w:rFonts w:hint="eastAsia"/>
                      <w:color w:val="auto"/>
                      <w:highlight w:val="none"/>
                      <w:vertAlign w:val="superscript"/>
                    </w:rPr>
                    <w:t>3</w:t>
                  </w:r>
                  <w:r>
                    <w:rPr>
                      <w:rFonts w:hint="eastAsia"/>
                      <w:color w:val="auto"/>
                      <w:highlight w:val="none"/>
                      <w:vertAlign w:val="baseline"/>
                      <w:lang w:eastAsia="zh-CN"/>
                    </w:rPr>
                    <w:t>，根据铅酸蓄电池放电工作原理可知，由于废旧铅酸蓄电池中的铅基本转化成为不可逆硫酸盐化的硫酸铅，即使含有少量的二氧化铅也被严重腐蚀包裹在硫酸铅晶体中</w:t>
                  </w:r>
                </w:p>
              </w:tc>
            </w:tr>
            <w:tr w14:paraId="4F0AA4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0" w:type="dxa"/>
                  <w:tcBorders>
                    <w:tl2br w:val="nil"/>
                    <w:tr2bl w:val="nil"/>
                  </w:tcBorders>
                  <w:vAlign w:val="center"/>
                </w:tcPr>
                <w:p w14:paraId="0B77AAFA">
                  <w:pPr>
                    <w:pStyle w:val="24"/>
                    <w:spacing w:line="240" w:lineRule="auto"/>
                    <w:rPr>
                      <w:color w:val="auto"/>
                      <w:highlight w:val="none"/>
                    </w:rPr>
                  </w:pPr>
                  <w:r>
                    <w:rPr>
                      <w:rFonts w:hint="eastAsia"/>
                      <w:color w:val="auto"/>
                      <w:highlight w:val="none"/>
                    </w:rPr>
                    <w:t>电池壳、盖</w:t>
                  </w:r>
                </w:p>
              </w:tc>
              <w:tc>
                <w:tcPr>
                  <w:tcW w:w="6003" w:type="dxa"/>
                  <w:tcBorders>
                    <w:tl2br w:val="nil"/>
                    <w:tr2bl w:val="nil"/>
                  </w:tcBorders>
                  <w:vAlign w:val="center"/>
                </w:tcPr>
                <w:p w14:paraId="129626F8">
                  <w:pPr>
                    <w:pStyle w:val="24"/>
                    <w:spacing w:line="240" w:lineRule="auto"/>
                    <w:rPr>
                      <w:color w:val="auto"/>
                      <w:highlight w:val="none"/>
                    </w:rPr>
                  </w:pPr>
                  <w:r>
                    <w:rPr>
                      <w:rFonts w:hint="eastAsia"/>
                      <w:color w:val="auto"/>
                      <w:highlight w:val="none"/>
                    </w:rPr>
                    <w:t>装正、负极板和电解液的容器</w:t>
                  </w:r>
                  <w:r>
                    <w:rPr>
                      <w:rFonts w:hint="eastAsia"/>
                      <w:color w:val="auto"/>
                      <w:highlight w:val="none"/>
                      <w:lang w:eastAsia="zh-CN"/>
                    </w:rPr>
                    <w:t>，</w:t>
                  </w:r>
                  <w:r>
                    <w:rPr>
                      <w:rFonts w:hint="eastAsia"/>
                      <w:color w:val="auto"/>
                      <w:highlight w:val="none"/>
                    </w:rPr>
                    <w:t>一般由塑料和橡胶材料制成</w:t>
                  </w:r>
                </w:p>
              </w:tc>
            </w:tr>
            <w:tr w14:paraId="3220F4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0" w:type="dxa"/>
                  <w:tcBorders>
                    <w:tl2br w:val="nil"/>
                    <w:tr2bl w:val="nil"/>
                  </w:tcBorders>
                  <w:vAlign w:val="center"/>
                </w:tcPr>
                <w:p w14:paraId="72DDD9E2">
                  <w:pPr>
                    <w:pStyle w:val="24"/>
                    <w:spacing w:line="240" w:lineRule="auto"/>
                    <w:rPr>
                      <w:color w:val="auto"/>
                      <w:highlight w:val="none"/>
                    </w:rPr>
                  </w:pPr>
                  <w:r>
                    <w:rPr>
                      <w:rFonts w:hint="eastAsia"/>
                      <w:color w:val="auto"/>
                      <w:highlight w:val="none"/>
                    </w:rPr>
                    <w:t>排气栓</w:t>
                  </w:r>
                </w:p>
              </w:tc>
              <w:tc>
                <w:tcPr>
                  <w:tcW w:w="6003" w:type="dxa"/>
                  <w:tcBorders>
                    <w:tl2br w:val="nil"/>
                    <w:tr2bl w:val="nil"/>
                  </w:tcBorders>
                  <w:vAlign w:val="center"/>
                </w:tcPr>
                <w:p w14:paraId="2B5B5A72">
                  <w:pPr>
                    <w:pStyle w:val="24"/>
                    <w:spacing w:line="240" w:lineRule="auto"/>
                    <w:rPr>
                      <w:color w:val="auto"/>
                      <w:highlight w:val="none"/>
                    </w:rPr>
                  </w:pPr>
                  <w:r>
                    <w:rPr>
                      <w:rFonts w:hint="eastAsia"/>
                      <w:color w:val="auto"/>
                      <w:highlight w:val="none"/>
                    </w:rPr>
                    <w:t>由塑料材料制成</w:t>
                  </w:r>
                </w:p>
              </w:tc>
            </w:tr>
            <w:tr w14:paraId="4E6625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0" w:type="dxa"/>
                  <w:tcBorders>
                    <w:tl2br w:val="nil"/>
                    <w:tr2bl w:val="nil"/>
                  </w:tcBorders>
                  <w:vAlign w:val="center"/>
                </w:tcPr>
                <w:p w14:paraId="42E010DE">
                  <w:pPr>
                    <w:pStyle w:val="24"/>
                    <w:spacing w:line="240" w:lineRule="auto"/>
                    <w:rPr>
                      <w:color w:val="auto"/>
                      <w:highlight w:val="none"/>
                    </w:rPr>
                  </w:pPr>
                  <w:r>
                    <w:rPr>
                      <w:rFonts w:hint="eastAsia"/>
                      <w:color w:val="auto"/>
                      <w:highlight w:val="none"/>
                    </w:rPr>
                    <w:t>连条、极柱、接线端子</w:t>
                  </w:r>
                  <w:r>
                    <w:rPr>
                      <w:rFonts w:hint="eastAsia"/>
                      <w:color w:val="auto"/>
                      <w:highlight w:val="none"/>
                      <w:lang w:eastAsia="zh-CN"/>
                    </w:rPr>
                    <w:t>、胶冒</w:t>
                  </w:r>
                  <w:r>
                    <w:rPr>
                      <w:rFonts w:hint="eastAsia"/>
                      <w:color w:val="auto"/>
                      <w:highlight w:val="none"/>
                    </w:rPr>
                    <w:t>等零部件</w:t>
                  </w:r>
                </w:p>
              </w:tc>
              <w:tc>
                <w:tcPr>
                  <w:tcW w:w="6003" w:type="dxa"/>
                  <w:tcBorders>
                    <w:tl2br w:val="nil"/>
                    <w:tr2bl w:val="nil"/>
                  </w:tcBorders>
                  <w:vAlign w:val="center"/>
                </w:tcPr>
                <w:p w14:paraId="372F8B01">
                  <w:pPr>
                    <w:pStyle w:val="24"/>
                    <w:spacing w:line="240" w:lineRule="auto"/>
                    <w:rPr>
                      <w:color w:val="auto"/>
                      <w:highlight w:val="none"/>
                    </w:rPr>
                  </w:pPr>
                  <w:r>
                    <w:rPr>
                      <w:rFonts w:hint="eastAsia"/>
                      <w:color w:val="auto"/>
                      <w:highlight w:val="none"/>
                    </w:rPr>
                    <w:t>/</w:t>
                  </w:r>
                </w:p>
              </w:tc>
            </w:tr>
          </w:tbl>
          <w:p w14:paraId="122BF60E">
            <w:pPr>
              <w:widowControl w:val="0"/>
              <w:autoSpaceDE w:val="0"/>
              <w:autoSpaceDN w:val="0"/>
              <w:adjustRightInd w:val="0"/>
              <w:snapToGrid w:val="0"/>
              <w:spacing w:line="360" w:lineRule="auto"/>
              <w:ind w:firstLine="0" w:firstLineChars="0"/>
              <w:jc w:val="center"/>
              <w:rPr>
                <w:rFonts w:ascii="Times New Roman" w:hAnsi="Times New Roman" w:eastAsia="宋体" w:cs="Times New Roman"/>
                <w:color w:val="auto"/>
                <w:kern w:val="2"/>
                <w:sz w:val="24"/>
                <w:szCs w:val="22"/>
                <w:highlight w:val="none"/>
                <w:lang w:val="en-US" w:eastAsia="zh-CN" w:bidi="ar-SA"/>
              </w:rPr>
            </w:pPr>
            <w:r>
              <w:rPr>
                <w:rFonts w:ascii="Times New Roman" w:hAnsi="Times New Roman" w:eastAsia="宋体" w:cs="Times New Roman"/>
                <w:color w:val="auto"/>
                <w:kern w:val="2"/>
                <w:sz w:val="24"/>
                <w:szCs w:val="22"/>
                <w:highlight w:val="none"/>
                <w:lang w:val="en-US" w:eastAsia="zh-CN" w:bidi="ar-SA"/>
              </w:rPr>
              <w:drawing>
                <wp:inline distT="0" distB="0" distL="114300" distR="114300">
                  <wp:extent cx="5032375" cy="2407920"/>
                  <wp:effectExtent l="0" t="0" r="15875" b="11430"/>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pic:cNvPicPr>
                            <a:picLocks noChangeAspect="1"/>
                          </pic:cNvPicPr>
                        </pic:nvPicPr>
                        <pic:blipFill>
                          <a:blip r:embed="rId15"/>
                          <a:stretch>
                            <a:fillRect/>
                          </a:stretch>
                        </pic:blipFill>
                        <pic:spPr>
                          <a:xfrm>
                            <a:off x="0" y="0"/>
                            <a:ext cx="5032375" cy="2407920"/>
                          </a:xfrm>
                          <a:prstGeom prst="rect">
                            <a:avLst/>
                          </a:prstGeom>
                          <a:noFill/>
                          <a:ln>
                            <a:noFill/>
                          </a:ln>
                        </pic:spPr>
                      </pic:pic>
                    </a:graphicData>
                  </a:graphic>
                </wp:inline>
              </w:drawing>
            </w:r>
          </w:p>
          <w:p w14:paraId="198FDEB8">
            <w:pPr>
              <w:widowControl w:val="0"/>
              <w:numPr>
                <w:ilvl w:val="1"/>
                <w:numId w:val="0"/>
              </w:numPr>
              <w:topLinePunct/>
              <w:adjustRightInd w:val="0"/>
              <w:snapToGrid w:val="0"/>
              <w:ind w:left="840" w:leftChars="0" w:hanging="420" w:firstLineChars="0"/>
              <w:jc w:val="center"/>
              <w:rPr>
                <w:rFonts w:hint="eastAsia" w:ascii="Times New Roman" w:hAnsi="Times New Roman" w:eastAsia="宋体" w:cs="Times New Roman"/>
                <w:b/>
                <w:color w:val="auto"/>
                <w:kern w:val="2"/>
                <w:sz w:val="24"/>
                <w:szCs w:val="24"/>
                <w:highlight w:val="none"/>
                <w:lang w:val="en-US" w:eastAsia="zh-CN" w:bidi="ar-SA"/>
              </w:rPr>
            </w:pPr>
            <w:r>
              <w:rPr>
                <w:rFonts w:hint="eastAsia" w:ascii="Times New Roman" w:hAnsi="Times New Roman" w:eastAsia="宋体" w:cs="Times New Roman"/>
                <w:b/>
                <w:color w:val="auto"/>
                <w:kern w:val="2"/>
                <w:sz w:val="24"/>
                <w:szCs w:val="24"/>
                <w:highlight w:val="none"/>
                <w:lang w:val="en-US" w:eastAsia="zh-CN" w:bidi="ar-SA"/>
              </w:rPr>
              <w:t>图1  铅蓄电池结构示意图</w:t>
            </w:r>
          </w:p>
          <w:p w14:paraId="76438180">
            <w:pPr>
              <w:pStyle w:val="25"/>
              <w:bidi w:val="0"/>
              <w:rPr>
                <w:color w:val="auto"/>
                <w:highlight w:val="none"/>
                <w:lang w:val="en-US" w:eastAsia="zh-CN"/>
              </w:rPr>
            </w:pPr>
            <w:r>
              <w:rPr>
                <w:rFonts w:hint="eastAsia"/>
                <w:color w:val="auto"/>
                <w:highlight w:val="none"/>
                <w:lang w:val="en-US" w:eastAsia="zh-CN"/>
              </w:rPr>
              <w:t>铅蓄电池有毒有害物质主要理化性质及毒理性</w:t>
            </w:r>
          </w:p>
          <w:tbl>
            <w:tblPr>
              <w:tblStyle w:val="16"/>
              <w:tblW w:w="4995" w:type="pct"/>
              <w:jc w:val="center"/>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374"/>
              <w:gridCol w:w="802"/>
              <w:gridCol w:w="2620"/>
              <w:gridCol w:w="2599"/>
              <w:gridCol w:w="1871"/>
            </w:tblGrid>
            <w:tr w14:paraId="701F1738">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226" w:type="pct"/>
                  <w:tcBorders>
                    <w:top w:val="single" w:color="auto" w:sz="12" w:space="0"/>
                  </w:tcBorders>
                  <w:vAlign w:val="center"/>
                </w:tcPr>
                <w:p w14:paraId="34BB7405">
                  <w:pPr>
                    <w:topLinePunct/>
                    <w:spacing w:line="240" w:lineRule="auto"/>
                    <w:ind w:firstLine="0" w:firstLineChars="0"/>
                    <w:jc w:val="center"/>
                    <w:rPr>
                      <w:rFonts w:eastAsia="宋体"/>
                      <w:b/>
                      <w:bCs/>
                      <w:color w:val="auto"/>
                      <w:sz w:val="21"/>
                      <w:highlight w:val="none"/>
                    </w:rPr>
                  </w:pPr>
                  <w:r>
                    <w:rPr>
                      <w:rFonts w:eastAsia="宋体"/>
                      <w:b/>
                      <w:bCs/>
                      <w:color w:val="auto"/>
                      <w:sz w:val="21"/>
                      <w:highlight w:val="none"/>
                    </w:rPr>
                    <w:t>名称</w:t>
                  </w:r>
                </w:p>
              </w:tc>
              <w:tc>
                <w:tcPr>
                  <w:tcW w:w="485" w:type="pct"/>
                  <w:tcBorders>
                    <w:top w:val="single" w:color="auto" w:sz="12" w:space="0"/>
                  </w:tcBorders>
                  <w:vAlign w:val="center"/>
                </w:tcPr>
                <w:p w14:paraId="5F3495D9">
                  <w:pPr>
                    <w:topLinePunct/>
                    <w:spacing w:line="240" w:lineRule="auto"/>
                    <w:ind w:firstLine="0" w:firstLineChars="0"/>
                    <w:jc w:val="center"/>
                    <w:rPr>
                      <w:rFonts w:eastAsia="宋体"/>
                      <w:b/>
                      <w:bCs/>
                      <w:color w:val="auto"/>
                      <w:sz w:val="21"/>
                      <w:highlight w:val="none"/>
                    </w:rPr>
                  </w:pPr>
                  <w:r>
                    <w:rPr>
                      <w:rFonts w:eastAsia="宋体"/>
                      <w:b/>
                      <w:bCs/>
                      <w:color w:val="auto"/>
                      <w:sz w:val="21"/>
                      <w:highlight w:val="none"/>
                    </w:rPr>
                    <w:t>化学式</w:t>
                  </w:r>
                </w:p>
              </w:tc>
              <w:tc>
                <w:tcPr>
                  <w:tcW w:w="1584" w:type="pct"/>
                  <w:tcBorders>
                    <w:top w:val="single" w:color="auto" w:sz="12" w:space="0"/>
                  </w:tcBorders>
                  <w:vAlign w:val="center"/>
                </w:tcPr>
                <w:p w14:paraId="2B9D62FF">
                  <w:pPr>
                    <w:topLinePunct/>
                    <w:spacing w:line="240" w:lineRule="auto"/>
                    <w:ind w:firstLine="0" w:firstLineChars="0"/>
                    <w:jc w:val="center"/>
                    <w:rPr>
                      <w:rFonts w:eastAsia="宋体"/>
                      <w:b/>
                      <w:bCs/>
                      <w:color w:val="auto"/>
                      <w:sz w:val="21"/>
                      <w:highlight w:val="none"/>
                    </w:rPr>
                  </w:pPr>
                  <w:r>
                    <w:rPr>
                      <w:rFonts w:eastAsia="宋体"/>
                      <w:b/>
                      <w:bCs/>
                      <w:color w:val="auto"/>
                      <w:sz w:val="21"/>
                      <w:highlight w:val="none"/>
                    </w:rPr>
                    <w:t>理化性质</w:t>
                  </w:r>
                </w:p>
              </w:tc>
              <w:tc>
                <w:tcPr>
                  <w:tcW w:w="1571" w:type="pct"/>
                  <w:tcBorders>
                    <w:top w:val="single" w:color="auto" w:sz="12" w:space="0"/>
                  </w:tcBorders>
                  <w:vAlign w:val="center"/>
                </w:tcPr>
                <w:p w14:paraId="30544D23">
                  <w:pPr>
                    <w:topLinePunct/>
                    <w:spacing w:line="240" w:lineRule="auto"/>
                    <w:ind w:firstLine="0" w:firstLineChars="0"/>
                    <w:jc w:val="center"/>
                    <w:rPr>
                      <w:rFonts w:eastAsia="宋体"/>
                      <w:b/>
                      <w:bCs/>
                      <w:color w:val="auto"/>
                      <w:sz w:val="21"/>
                      <w:highlight w:val="none"/>
                    </w:rPr>
                  </w:pPr>
                  <w:r>
                    <w:rPr>
                      <w:rFonts w:eastAsia="宋体"/>
                      <w:b/>
                      <w:bCs/>
                      <w:color w:val="auto"/>
                      <w:sz w:val="21"/>
                      <w:highlight w:val="none"/>
                    </w:rPr>
                    <w:t>毒理性质</w:t>
                  </w:r>
                </w:p>
              </w:tc>
              <w:tc>
                <w:tcPr>
                  <w:tcW w:w="1131" w:type="pct"/>
                  <w:tcBorders>
                    <w:top w:val="single" w:color="auto" w:sz="12" w:space="0"/>
                  </w:tcBorders>
                  <w:vAlign w:val="center"/>
                </w:tcPr>
                <w:p w14:paraId="0A2FFC41">
                  <w:pPr>
                    <w:topLinePunct/>
                    <w:spacing w:line="240" w:lineRule="auto"/>
                    <w:ind w:firstLine="0" w:firstLineChars="0"/>
                    <w:jc w:val="center"/>
                    <w:rPr>
                      <w:rFonts w:eastAsia="宋体"/>
                      <w:b/>
                      <w:bCs/>
                      <w:color w:val="auto"/>
                      <w:sz w:val="21"/>
                      <w:highlight w:val="none"/>
                    </w:rPr>
                  </w:pPr>
                  <w:r>
                    <w:rPr>
                      <w:rFonts w:eastAsia="宋体"/>
                      <w:b/>
                      <w:bCs/>
                      <w:color w:val="auto"/>
                      <w:sz w:val="21"/>
                      <w:highlight w:val="none"/>
                    </w:rPr>
                    <w:t>中毒症状</w:t>
                  </w:r>
                </w:p>
              </w:tc>
            </w:tr>
            <w:tr w14:paraId="432333D9">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226" w:type="pct"/>
                  <w:vAlign w:val="center"/>
                </w:tcPr>
                <w:p w14:paraId="58C25713">
                  <w:pPr>
                    <w:topLinePunct/>
                    <w:spacing w:line="240" w:lineRule="auto"/>
                    <w:ind w:firstLine="0" w:firstLineChars="0"/>
                    <w:jc w:val="center"/>
                    <w:rPr>
                      <w:rFonts w:hint="eastAsia" w:eastAsia="宋体"/>
                      <w:color w:val="auto"/>
                      <w:sz w:val="21"/>
                      <w:highlight w:val="none"/>
                      <w:lang w:val="en-US" w:eastAsia="zh-CN"/>
                    </w:rPr>
                  </w:pPr>
                  <w:r>
                    <w:rPr>
                      <w:rFonts w:hint="eastAsia" w:eastAsia="宋体"/>
                      <w:color w:val="auto"/>
                      <w:sz w:val="21"/>
                      <w:highlight w:val="none"/>
                      <w:lang w:val="en-US" w:eastAsia="zh-CN"/>
                    </w:rPr>
                    <w:t>铅</w:t>
                  </w:r>
                </w:p>
              </w:tc>
              <w:tc>
                <w:tcPr>
                  <w:tcW w:w="485" w:type="pct"/>
                  <w:vAlign w:val="center"/>
                </w:tcPr>
                <w:p w14:paraId="02E4DD2E">
                  <w:pPr>
                    <w:topLinePunct/>
                    <w:spacing w:line="240" w:lineRule="auto"/>
                    <w:ind w:firstLine="0" w:firstLineChars="0"/>
                    <w:jc w:val="center"/>
                    <w:rPr>
                      <w:rFonts w:eastAsia="宋体"/>
                      <w:color w:val="auto"/>
                      <w:sz w:val="21"/>
                      <w:highlight w:val="none"/>
                    </w:rPr>
                  </w:pPr>
                  <w:r>
                    <w:rPr>
                      <w:rFonts w:hint="eastAsia" w:eastAsia="宋体"/>
                      <w:color w:val="auto"/>
                      <w:sz w:val="21"/>
                      <w:highlight w:val="none"/>
                      <w:lang w:val="en-US" w:eastAsia="zh-CN"/>
                    </w:rPr>
                    <w:t>Pb</w:t>
                  </w:r>
                </w:p>
              </w:tc>
              <w:tc>
                <w:tcPr>
                  <w:tcW w:w="1584" w:type="pct"/>
                  <w:vAlign w:val="center"/>
                </w:tcPr>
                <w:p w14:paraId="536EF363">
                  <w:pPr>
                    <w:topLinePunct/>
                    <w:spacing w:line="240" w:lineRule="auto"/>
                    <w:ind w:firstLine="0" w:firstLineChars="0"/>
                    <w:jc w:val="center"/>
                    <w:rPr>
                      <w:rFonts w:eastAsia="宋体"/>
                      <w:color w:val="auto"/>
                      <w:sz w:val="21"/>
                      <w:highlight w:val="none"/>
                    </w:rPr>
                  </w:pPr>
                  <w:r>
                    <w:rPr>
                      <w:rFonts w:hint="eastAsia" w:eastAsia="宋体"/>
                      <w:color w:val="auto"/>
                      <w:sz w:val="21"/>
                      <w:highlight w:val="none"/>
                    </w:rPr>
                    <w:t>灰白色质软的粉末</w:t>
                  </w:r>
                  <w:r>
                    <w:rPr>
                      <w:rFonts w:hint="eastAsia" w:eastAsia="宋体"/>
                      <w:color w:val="auto"/>
                      <w:sz w:val="21"/>
                      <w:highlight w:val="none"/>
                      <w:lang w:eastAsia="zh-CN"/>
                    </w:rPr>
                    <w:t>，</w:t>
                  </w:r>
                  <w:r>
                    <w:rPr>
                      <w:rFonts w:hint="eastAsia" w:eastAsia="宋体"/>
                      <w:color w:val="auto"/>
                      <w:sz w:val="21"/>
                      <w:highlight w:val="none"/>
                    </w:rPr>
                    <w:t>切削面</w:t>
                  </w:r>
                  <w:r>
                    <w:rPr>
                      <w:rFonts w:hint="eastAsia" w:eastAsia="宋体"/>
                      <w:color w:val="auto"/>
                      <w:sz w:val="21"/>
                      <w:highlight w:val="none"/>
                      <w:lang w:val="en-US" w:eastAsia="zh-CN"/>
                    </w:rPr>
                    <w:t>有</w:t>
                  </w:r>
                  <w:r>
                    <w:rPr>
                      <w:rFonts w:hint="eastAsia" w:eastAsia="宋体"/>
                      <w:color w:val="auto"/>
                      <w:sz w:val="21"/>
                      <w:highlight w:val="none"/>
                    </w:rPr>
                    <w:t>光泽</w:t>
                  </w:r>
                  <w:r>
                    <w:rPr>
                      <w:rFonts w:hint="eastAsia" w:eastAsia="宋体"/>
                      <w:color w:val="auto"/>
                      <w:sz w:val="21"/>
                      <w:highlight w:val="none"/>
                      <w:lang w:eastAsia="zh-CN"/>
                    </w:rPr>
                    <w:t>，</w:t>
                  </w:r>
                  <w:r>
                    <w:rPr>
                      <w:rFonts w:hint="eastAsia" w:eastAsia="宋体"/>
                      <w:color w:val="auto"/>
                      <w:sz w:val="21"/>
                      <w:highlight w:val="none"/>
                    </w:rPr>
                    <w:t>延性弱展性强</w:t>
                  </w:r>
                  <w:r>
                    <w:rPr>
                      <w:rFonts w:hint="eastAsia" w:eastAsia="宋体"/>
                      <w:color w:val="auto"/>
                      <w:sz w:val="21"/>
                      <w:highlight w:val="none"/>
                      <w:lang w:eastAsia="zh-CN"/>
                    </w:rPr>
                    <w:t>；</w:t>
                  </w:r>
                  <w:r>
                    <w:rPr>
                      <w:rFonts w:hint="eastAsia" w:eastAsia="宋体"/>
                      <w:color w:val="auto"/>
                      <w:sz w:val="21"/>
                      <w:highlight w:val="none"/>
                    </w:rPr>
                    <w:t>熔点</w:t>
                  </w:r>
                  <w:r>
                    <w:rPr>
                      <w:rFonts w:hint="eastAsia" w:eastAsia="宋体"/>
                      <w:color w:val="auto"/>
                      <w:sz w:val="21"/>
                      <w:highlight w:val="none"/>
                      <w:lang w:eastAsia="zh-CN"/>
                    </w:rPr>
                    <w:t>；</w:t>
                  </w:r>
                  <w:r>
                    <w:rPr>
                      <w:rFonts w:hint="eastAsia" w:eastAsia="宋体"/>
                      <w:color w:val="auto"/>
                      <w:sz w:val="21"/>
                      <w:highlight w:val="none"/>
                    </w:rPr>
                    <w:t>327℃</w:t>
                  </w:r>
                  <w:r>
                    <w:rPr>
                      <w:rFonts w:hint="eastAsia" w:eastAsia="宋体"/>
                      <w:color w:val="auto"/>
                      <w:sz w:val="21"/>
                      <w:highlight w:val="none"/>
                      <w:lang w:eastAsia="zh-CN"/>
                    </w:rPr>
                    <w:t>；</w:t>
                  </w:r>
                  <w:r>
                    <w:rPr>
                      <w:rFonts w:hint="eastAsia" w:eastAsia="宋体"/>
                      <w:color w:val="auto"/>
                      <w:sz w:val="21"/>
                      <w:highlight w:val="none"/>
                    </w:rPr>
                    <w:t>沸点</w:t>
                  </w:r>
                  <w:r>
                    <w:rPr>
                      <w:rFonts w:hint="eastAsia" w:eastAsia="宋体"/>
                      <w:color w:val="auto"/>
                      <w:sz w:val="21"/>
                      <w:highlight w:val="none"/>
                      <w:lang w:eastAsia="zh-CN"/>
                    </w:rPr>
                    <w:t>；</w:t>
                  </w:r>
                  <w:r>
                    <w:rPr>
                      <w:rFonts w:hint="eastAsia" w:eastAsia="宋体"/>
                      <w:color w:val="auto"/>
                      <w:sz w:val="21"/>
                      <w:highlight w:val="none"/>
                    </w:rPr>
                    <w:t>1620℃</w:t>
                  </w:r>
                  <w:r>
                    <w:rPr>
                      <w:rFonts w:hint="eastAsia" w:eastAsia="宋体"/>
                      <w:color w:val="auto"/>
                      <w:sz w:val="21"/>
                      <w:highlight w:val="none"/>
                      <w:lang w:eastAsia="zh-CN"/>
                    </w:rPr>
                    <w:t>；</w:t>
                  </w:r>
                  <w:r>
                    <w:rPr>
                      <w:rFonts w:hint="eastAsia" w:eastAsia="宋体"/>
                      <w:color w:val="auto"/>
                      <w:sz w:val="21"/>
                      <w:highlight w:val="none"/>
                    </w:rPr>
                    <w:t>相对密度11.34。</w:t>
                  </w:r>
                </w:p>
              </w:tc>
              <w:tc>
                <w:tcPr>
                  <w:tcW w:w="1571" w:type="pct"/>
                  <w:vAlign w:val="center"/>
                </w:tcPr>
                <w:p w14:paraId="26B3976D">
                  <w:pPr>
                    <w:topLinePunct/>
                    <w:spacing w:line="240" w:lineRule="auto"/>
                    <w:ind w:firstLine="0" w:firstLineChars="0"/>
                    <w:jc w:val="center"/>
                    <w:rPr>
                      <w:rFonts w:eastAsia="宋体"/>
                      <w:color w:val="auto"/>
                      <w:sz w:val="21"/>
                      <w:highlight w:val="none"/>
                    </w:rPr>
                  </w:pPr>
                  <w:r>
                    <w:rPr>
                      <w:rFonts w:hint="eastAsia" w:eastAsia="宋体"/>
                      <w:color w:val="auto"/>
                      <w:sz w:val="21"/>
                      <w:highlight w:val="none"/>
                    </w:rPr>
                    <w:t>LD</w:t>
                  </w:r>
                  <w:r>
                    <w:rPr>
                      <w:rFonts w:hint="eastAsia" w:eastAsia="宋体"/>
                      <w:color w:val="auto"/>
                      <w:sz w:val="21"/>
                      <w:highlight w:val="none"/>
                      <w:vertAlign w:val="subscript"/>
                    </w:rPr>
                    <w:t>50</w:t>
                  </w:r>
                  <w:r>
                    <w:rPr>
                      <w:rFonts w:hint="eastAsia" w:eastAsia="宋体"/>
                      <w:color w:val="auto"/>
                      <w:sz w:val="21"/>
                      <w:highlight w:val="none"/>
                      <w:lang w:eastAsia="zh-CN"/>
                    </w:rPr>
                    <w:t>；</w:t>
                  </w:r>
                  <w:r>
                    <w:rPr>
                      <w:rFonts w:hint="eastAsia" w:eastAsia="宋体"/>
                      <w:color w:val="auto"/>
                      <w:sz w:val="21"/>
                      <w:highlight w:val="none"/>
                    </w:rPr>
                    <w:t>70mg/kg(大鼠经静脉)中等毒性损害造血、神经、消化系统及肾脏。短时接触大剂量可发生急性铅中毒</w:t>
                  </w:r>
                  <w:r>
                    <w:rPr>
                      <w:rFonts w:hint="eastAsia" w:eastAsia="宋体"/>
                      <w:color w:val="auto"/>
                      <w:sz w:val="21"/>
                      <w:highlight w:val="none"/>
                      <w:lang w:eastAsia="zh-CN"/>
                    </w:rPr>
                    <w:t>，</w:t>
                  </w:r>
                  <w:r>
                    <w:rPr>
                      <w:rFonts w:hint="eastAsia" w:eastAsia="宋体"/>
                      <w:color w:val="auto"/>
                      <w:sz w:val="21"/>
                      <w:highlight w:val="none"/>
                    </w:rPr>
                    <w:t>表现类似重症慢性铅中毒</w:t>
                  </w:r>
                </w:p>
              </w:tc>
              <w:tc>
                <w:tcPr>
                  <w:tcW w:w="1131" w:type="pct"/>
                  <w:vMerge w:val="restart"/>
                  <w:vAlign w:val="center"/>
                </w:tcPr>
                <w:p w14:paraId="796A22DB">
                  <w:pPr>
                    <w:topLinePunct/>
                    <w:spacing w:line="240" w:lineRule="auto"/>
                    <w:ind w:firstLine="0" w:firstLineChars="0"/>
                    <w:jc w:val="center"/>
                    <w:rPr>
                      <w:rFonts w:hint="eastAsia" w:eastAsia="宋体"/>
                      <w:color w:val="auto"/>
                      <w:sz w:val="21"/>
                      <w:highlight w:val="none"/>
                    </w:rPr>
                  </w:pPr>
                  <w:r>
                    <w:rPr>
                      <w:rFonts w:hint="default" w:ascii="Times New Roman" w:hAnsi="Times New Roman" w:eastAsia="宋体" w:cs="Times New Roman"/>
                      <w:color w:val="auto"/>
                      <w:kern w:val="2"/>
                      <w:sz w:val="21"/>
                      <w:szCs w:val="24"/>
                      <w:highlight w:val="none"/>
                      <w:lang w:val="en-US" w:eastAsia="zh-CN" w:bidi="ar-SA"/>
                    </w:rPr>
                    <w:t>铅及其化合物主要以粉尘、烟或蒸气形式经呼吸道进入人体</w:t>
                  </w:r>
                  <w:r>
                    <w:rPr>
                      <w:rFonts w:hint="eastAsia" w:eastAsia="宋体" w:cs="Times New Roman"/>
                      <w:color w:val="auto"/>
                      <w:kern w:val="2"/>
                      <w:sz w:val="21"/>
                      <w:szCs w:val="24"/>
                      <w:highlight w:val="none"/>
                      <w:lang w:val="en-US" w:eastAsia="zh-CN" w:bidi="ar-SA"/>
                    </w:rPr>
                    <w:t>，</w:t>
                  </w:r>
                  <w:r>
                    <w:rPr>
                      <w:rFonts w:hint="default" w:ascii="Times New Roman" w:hAnsi="Times New Roman" w:eastAsia="宋体" w:cs="Times New Roman"/>
                      <w:color w:val="auto"/>
                      <w:kern w:val="2"/>
                      <w:sz w:val="21"/>
                      <w:szCs w:val="24"/>
                      <w:highlight w:val="none"/>
                      <w:lang w:val="en-US" w:eastAsia="zh-CN" w:bidi="ar-SA"/>
                    </w:rPr>
                    <w:t>其次是经消化道。进入血液循环的铅与红细胞结合</w:t>
                  </w:r>
                  <w:r>
                    <w:rPr>
                      <w:rFonts w:hint="eastAsia" w:eastAsia="宋体" w:cs="Times New Roman"/>
                      <w:color w:val="auto"/>
                      <w:kern w:val="2"/>
                      <w:sz w:val="21"/>
                      <w:szCs w:val="24"/>
                      <w:highlight w:val="none"/>
                      <w:lang w:val="en-US" w:eastAsia="zh-CN" w:bidi="ar-SA"/>
                    </w:rPr>
                    <w:t>，</w:t>
                  </w:r>
                  <w:r>
                    <w:rPr>
                      <w:rFonts w:hint="default" w:ascii="Times New Roman" w:hAnsi="Times New Roman" w:eastAsia="宋体" w:cs="Times New Roman"/>
                      <w:color w:val="auto"/>
                      <w:kern w:val="2"/>
                      <w:sz w:val="21"/>
                      <w:szCs w:val="24"/>
                      <w:highlight w:val="none"/>
                      <w:lang w:val="en-US" w:eastAsia="zh-CN" w:bidi="ar-SA"/>
                    </w:rPr>
                    <w:t>血浆中的铅部分呈血浆蛋白结合铅；另一部分呈活性大的可溶性铅</w:t>
                  </w:r>
                  <w:r>
                    <w:rPr>
                      <w:rFonts w:hint="eastAsia" w:eastAsia="宋体" w:cs="Times New Roman"/>
                      <w:color w:val="auto"/>
                      <w:kern w:val="2"/>
                      <w:sz w:val="21"/>
                      <w:szCs w:val="24"/>
                      <w:highlight w:val="none"/>
                      <w:lang w:val="en-US" w:eastAsia="zh-CN" w:bidi="ar-SA"/>
                    </w:rPr>
                    <w:t>；</w:t>
                  </w:r>
                  <w:r>
                    <w:rPr>
                      <w:rFonts w:hint="default" w:ascii="Times New Roman" w:hAnsi="Times New Roman" w:eastAsia="宋体" w:cs="Times New Roman"/>
                      <w:color w:val="auto"/>
                      <w:kern w:val="2"/>
                      <w:sz w:val="21"/>
                      <w:szCs w:val="24"/>
                      <w:highlight w:val="none"/>
                      <w:lang w:val="en-US" w:eastAsia="zh-CN" w:bidi="ar-SA"/>
                    </w:rPr>
                    <w:t>轻度中毒：常有轻度神经衰弱综合征</w:t>
                  </w:r>
                  <w:r>
                    <w:rPr>
                      <w:rFonts w:hint="eastAsia" w:eastAsia="宋体" w:cs="Times New Roman"/>
                      <w:color w:val="auto"/>
                      <w:kern w:val="2"/>
                      <w:sz w:val="21"/>
                      <w:szCs w:val="24"/>
                      <w:highlight w:val="none"/>
                      <w:lang w:val="en-US" w:eastAsia="zh-CN" w:bidi="ar-SA"/>
                    </w:rPr>
                    <w:t>，</w:t>
                  </w:r>
                  <w:r>
                    <w:rPr>
                      <w:rFonts w:hint="default" w:ascii="Times New Roman" w:hAnsi="Times New Roman" w:eastAsia="宋体" w:cs="Times New Roman"/>
                      <w:color w:val="auto"/>
                      <w:kern w:val="2"/>
                      <w:sz w:val="21"/>
                      <w:szCs w:val="24"/>
                      <w:highlight w:val="none"/>
                      <w:lang w:val="en-US" w:eastAsia="zh-CN" w:bidi="ar-SA"/>
                    </w:rPr>
                    <w:t>可伴有腹胀、便秘等症状</w:t>
                  </w:r>
                  <w:r>
                    <w:rPr>
                      <w:rFonts w:hint="eastAsia" w:eastAsia="宋体" w:cs="Times New Roman"/>
                      <w:color w:val="auto"/>
                      <w:kern w:val="2"/>
                      <w:sz w:val="21"/>
                      <w:szCs w:val="24"/>
                      <w:highlight w:val="none"/>
                      <w:lang w:val="en-US" w:eastAsia="zh-CN" w:bidi="ar-SA"/>
                    </w:rPr>
                    <w:t>，</w:t>
                  </w:r>
                  <w:r>
                    <w:rPr>
                      <w:rFonts w:hint="default" w:ascii="Times New Roman" w:hAnsi="Times New Roman" w:eastAsia="宋体" w:cs="Times New Roman"/>
                      <w:color w:val="auto"/>
                      <w:kern w:val="2"/>
                      <w:sz w:val="21"/>
                      <w:szCs w:val="24"/>
                      <w:highlight w:val="none"/>
                      <w:lang w:val="en-US" w:eastAsia="zh-CN" w:bidi="ar-SA"/>
                    </w:rPr>
                    <w:t>尿铅或血铅量增高。中度中毒：腹绞痛；贫血；中毒性周围神经病。重度中毒：铅麻痹；铅脑病</w:t>
                  </w:r>
                </w:p>
              </w:tc>
            </w:tr>
            <w:tr w14:paraId="2E22EC86">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226" w:type="pct"/>
                  <w:vAlign w:val="center"/>
                </w:tcPr>
                <w:p w14:paraId="59664A83">
                  <w:pPr>
                    <w:topLinePunct/>
                    <w:spacing w:line="240" w:lineRule="auto"/>
                    <w:ind w:firstLine="0" w:firstLineChars="0"/>
                    <w:jc w:val="center"/>
                    <w:rPr>
                      <w:rFonts w:hint="default" w:eastAsia="宋体"/>
                      <w:color w:val="auto"/>
                      <w:sz w:val="21"/>
                      <w:highlight w:val="none"/>
                      <w:lang w:val="en-US" w:eastAsia="zh-CN"/>
                    </w:rPr>
                  </w:pPr>
                  <w:r>
                    <w:rPr>
                      <w:rFonts w:hint="eastAsia" w:eastAsia="宋体"/>
                      <w:color w:val="auto"/>
                      <w:sz w:val="21"/>
                      <w:highlight w:val="none"/>
                      <w:lang w:val="en-US" w:eastAsia="zh-CN"/>
                    </w:rPr>
                    <w:t>二氧化铅</w:t>
                  </w:r>
                </w:p>
              </w:tc>
              <w:tc>
                <w:tcPr>
                  <w:tcW w:w="485" w:type="pct"/>
                  <w:vAlign w:val="center"/>
                </w:tcPr>
                <w:p w14:paraId="4E4F5DF3">
                  <w:pPr>
                    <w:topLinePunct/>
                    <w:spacing w:line="240" w:lineRule="auto"/>
                    <w:ind w:firstLine="0" w:firstLineChars="0"/>
                    <w:jc w:val="center"/>
                    <w:rPr>
                      <w:rFonts w:hint="default" w:eastAsia="宋体"/>
                      <w:color w:val="auto"/>
                      <w:sz w:val="21"/>
                      <w:highlight w:val="none"/>
                      <w:lang w:val="en-US"/>
                    </w:rPr>
                  </w:pPr>
                  <w:r>
                    <w:rPr>
                      <w:rFonts w:hint="eastAsia" w:eastAsia="宋体"/>
                      <w:color w:val="auto"/>
                      <w:sz w:val="21"/>
                      <w:highlight w:val="none"/>
                      <w:lang w:val="en-US" w:eastAsia="zh-CN"/>
                    </w:rPr>
                    <w:t>PbO</w:t>
                  </w:r>
                  <w:r>
                    <w:rPr>
                      <w:rFonts w:hint="eastAsia" w:eastAsia="宋体"/>
                      <w:color w:val="auto"/>
                      <w:sz w:val="21"/>
                      <w:highlight w:val="none"/>
                      <w:vertAlign w:val="subscript"/>
                      <w:lang w:val="en-US" w:eastAsia="zh-CN"/>
                    </w:rPr>
                    <w:t>2</w:t>
                  </w:r>
                </w:p>
              </w:tc>
              <w:tc>
                <w:tcPr>
                  <w:tcW w:w="1584" w:type="pct"/>
                  <w:vAlign w:val="center"/>
                </w:tcPr>
                <w:p w14:paraId="09F11933">
                  <w:pPr>
                    <w:topLinePunct/>
                    <w:spacing w:line="240" w:lineRule="auto"/>
                    <w:ind w:firstLine="0" w:firstLineChars="0"/>
                    <w:jc w:val="center"/>
                    <w:rPr>
                      <w:rFonts w:hint="eastAsia" w:eastAsia="宋体"/>
                      <w:color w:val="auto"/>
                      <w:sz w:val="21"/>
                      <w:highlight w:val="none"/>
                    </w:rPr>
                  </w:pPr>
                  <w:r>
                    <w:rPr>
                      <w:rFonts w:hint="eastAsia" w:eastAsia="宋体"/>
                      <w:color w:val="auto"/>
                      <w:sz w:val="21"/>
                      <w:highlight w:val="none"/>
                    </w:rPr>
                    <w:t>外观</w:t>
                  </w:r>
                  <w:r>
                    <w:rPr>
                      <w:rFonts w:hint="eastAsia" w:eastAsia="宋体"/>
                      <w:color w:val="auto"/>
                      <w:sz w:val="21"/>
                      <w:highlight w:val="none"/>
                      <w:lang w:eastAsia="zh-CN"/>
                    </w:rPr>
                    <w:t>：</w:t>
                  </w:r>
                  <w:r>
                    <w:rPr>
                      <w:rFonts w:hint="eastAsia" w:eastAsia="宋体"/>
                      <w:color w:val="auto"/>
                      <w:sz w:val="21"/>
                      <w:highlight w:val="none"/>
                    </w:rPr>
                    <w:t>棕褐色结晶或粉末</w:t>
                  </w:r>
                  <w:r>
                    <w:rPr>
                      <w:rFonts w:hint="eastAsia" w:eastAsia="宋体"/>
                      <w:color w:val="auto"/>
                      <w:sz w:val="21"/>
                      <w:highlight w:val="none"/>
                      <w:lang w:eastAsia="zh-CN"/>
                    </w:rPr>
                    <w:t>：</w:t>
                  </w:r>
                  <w:r>
                    <w:rPr>
                      <w:rFonts w:hint="eastAsia" w:eastAsia="宋体"/>
                      <w:color w:val="auto"/>
                      <w:sz w:val="21"/>
                      <w:highlight w:val="none"/>
                    </w:rPr>
                    <w:t>熔点</w:t>
                  </w:r>
                  <w:r>
                    <w:rPr>
                      <w:rFonts w:hint="eastAsia" w:eastAsia="宋体"/>
                      <w:color w:val="auto"/>
                      <w:sz w:val="21"/>
                      <w:highlight w:val="none"/>
                      <w:lang w:eastAsia="zh-CN"/>
                    </w:rPr>
                    <w:t>：</w:t>
                  </w:r>
                  <w:r>
                    <w:rPr>
                      <w:rFonts w:hint="eastAsia" w:eastAsia="宋体"/>
                      <w:color w:val="auto"/>
                      <w:sz w:val="21"/>
                      <w:highlight w:val="none"/>
                    </w:rPr>
                    <w:t>290℃</w:t>
                  </w:r>
                  <w:r>
                    <w:rPr>
                      <w:rFonts w:hint="eastAsia" w:eastAsia="宋体"/>
                      <w:color w:val="auto"/>
                      <w:sz w:val="21"/>
                      <w:highlight w:val="none"/>
                      <w:lang w:eastAsia="zh-CN"/>
                    </w:rPr>
                    <w:t>；</w:t>
                  </w:r>
                  <w:r>
                    <w:rPr>
                      <w:rFonts w:hint="eastAsia" w:eastAsia="宋体"/>
                      <w:color w:val="auto"/>
                      <w:sz w:val="21"/>
                      <w:highlight w:val="none"/>
                    </w:rPr>
                    <w:t>相对密度9.38。</w:t>
                  </w:r>
                </w:p>
              </w:tc>
              <w:tc>
                <w:tcPr>
                  <w:tcW w:w="1571" w:type="pct"/>
                  <w:vAlign w:val="center"/>
                </w:tcPr>
                <w:p w14:paraId="01A0ABE8">
                  <w:pPr>
                    <w:topLinePunct/>
                    <w:spacing w:line="240" w:lineRule="auto"/>
                    <w:ind w:firstLine="0" w:firstLineChars="0"/>
                    <w:jc w:val="center"/>
                    <w:rPr>
                      <w:rFonts w:eastAsia="宋体"/>
                      <w:color w:val="auto"/>
                      <w:sz w:val="21"/>
                      <w:highlight w:val="none"/>
                    </w:rPr>
                  </w:pPr>
                  <w:r>
                    <w:rPr>
                      <w:rFonts w:hint="eastAsia" w:eastAsia="宋体"/>
                      <w:color w:val="auto"/>
                      <w:sz w:val="21"/>
                      <w:highlight w:val="none"/>
                    </w:rPr>
                    <w:t>LD</w:t>
                  </w:r>
                  <w:r>
                    <w:rPr>
                      <w:rFonts w:hint="eastAsia" w:eastAsia="宋体"/>
                      <w:color w:val="auto"/>
                      <w:sz w:val="21"/>
                      <w:highlight w:val="none"/>
                      <w:vertAlign w:val="subscript"/>
                    </w:rPr>
                    <w:t>50</w:t>
                  </w:r>
                  <w:r>
                    <w:rPr>
                      <w:rFonts w:hint="eastAsia" w:eastAsia="宋体"/>
                      <w:color w:val="auto"/>
                      <w:sz w:val="21"/>
                      <w:highlight w:val="none"/>
                      <w:lang w:eastAsia="zh-CN"/>
                    </w:rPr>
                    <w:t>：</w:t>
                  </w:r>
                  <w:r>
                    <w:rPr>
                      <w:rFonts w:hint="eastAsia" w:eastAsia="宋体"/>
                      <w:color w:val="auto"/>
                      <w:sz w:val="21"/>
                      <w:highlight w:val="none"/>
                    </w:rPr>
                    <w:t>200mg/kg(豚鼠腹膜内注射)中等毒性</w:t>
                  </w:r>
                  <w:r>
                    <w:rPr>
                      <w:rFonts w:hint="eastAsia" w:eastAsia="宋体"/>
                      <w:color w:val="auto"/>
                      <w:sz w:val="21"/>
                      <w:highlight w:val="none"/>
                      <w:lang w:eastAsia="zh-CN"/>
                    </w:rPr>
                    <w:t>；影响</w:t>
                  </w:r>
                  <w:r>
                    <w:rPr>
                      <w:rFonts w:hint="eastAsia" w:eastAsia="宋体"/>
                      <w:color w:val="auto"/>
                      <w:sz w:val="21"/>
                      <w:highlight w:val="none"/>
                    </w:rPr>
                    <w:t>造血神经、消化系统及肾脏。职业中毒主要为慢性。短时接触大剂量可发生急性或亚急性铅中毒</w:t>
                  </w:r>
                  <w:r>
                    <w:rPr>
                      <w:rFonts w:hint="eastAsia" w:eastAsia="宋体"/>
                      <w:color w:val="auto"/>
                      <w:sz w:val="21"/>
                      <w:highlight w:val="none"/>
                      <w:lang w:eastAsia="zh-CN"/>
                    </w:rPr>
                    <w:t>，</w:t>
                  </w:r>
                  <w:r>
                    <w:rPr>
                      <w:rFonts w:hint="eastAsia" w:eastAsia="宋体"/>
                      <w:color w:val="auto"/>
                      <w:sz w:val="21"/>
                      <w:highlight w:val="none"/>
                    </w:rPr>
                    <w:t>表现类似重症慢性铅中毒</w:t>
                  </w:r>
                </w:p>
              </w:tc>
              <w:tc>
                <w:tcPr>
                  <w:tcW w:w="1131" w:type="pct"/>
                  <w:vMerge w:val="continue"/>
                  <w:vAlign w:val="center"/>
                </w:tcPr>
                <w:p w14:paraId="25212A08">
                  <w:pPr>
                    <w:topLinePunct/>
                    <w:spacing w:line="240" w:lineRule="auto"/>
                    <w:ind w:firstLine="0" w:firstLineChars="0"/>
                    <w:jc w:val="center"/>
                    <w:rPr>
                      <w:rFonts w:hint="eastAsia" w:eastAsia="宋体"/>
                      <w:color w:val="auto"/>
                      <w:sz w:val="21"/>
                      <w:highlight w:val="none"/>
                    </w:rPr>
                  </w:pPr>
                </w:p>
              </w:tc>
            </w:tr>
            <w:tr w14:paraId="09A69C85">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226" w:type="pct"/>
                  <w:vAlign w:val="center"/>
                </w:tcPr>
                <w:p w14:paraId="4739CF32">
                  <w:pPr>
                    <w:topLinePunct/>
                    <w:spacing w:line="240" w:lineRule="auto"/>
                    <w:ind w:firstLine="0" w:firstLineChars="0"/>
                    <w:jc w:val="center"/>
                    <w:rPr>
                      <w:rFonts w:hint="eastAsia" w:eastAsia="宋体"/>
                      <w:color w:val="auto"/>
                      <w:sz w:val="21"/>
                      <w:highlight w:val="none"/>
                      <w:lang w:val="en-US" w:eastAsia="zh-CN"/>
                    </w:rPr>
                  </w:pPr>
                  <w:r>
                    <w:rPr>
                      <w:rFonts w:hint="eastAsia" w:eastAsia="宋体"/>
                      <w:color w:val="auto"/>
                      <w:sz w:val="21"/>
                      <w:highlight w:val="none"/>
                      <w:lang w:val="en-US" w:eastAsia="zh-CN"/>
                    </w:rPr>
                    <w:t>硫酸铅</w:t>
                  </w:r>
                </w:p>
              </w:tc>
              <w:tc>
                <w:tcPr>
                  <w:tcW w:w="485" w:type="pct"/>
                  <w:vAlign w:val="center"/>
                </w:tcPr>
                <w:p w14:paraId="62112885">
                  <w:pPr>
                    <w:topLinePunct/>
                    <w:spacing w:line="240" w:lineRule="auto"/>
                    <w:ind w:firstLine="0" w:firstLineChars="0"/>
                    <w:jc w:val="center"/>
                    <w:rPr>
                      <w:rFonts w:hint="default" w:eastAsia="宋体"/>
                      <w:color w:val="auto"/>
                      <w:sz w:val="21"/>
                      <w:highlight w:val="none"/>
                      <w:vertAlign w:val="superscript"/>
                      <w:lang w:val="en-US" w:eastAsia="zh-CN"/>
                    </w:rPr>
                  </w:pPr>
                  <w:r>
                    <w:rPr>
                      <w:rFonts w:hint="eastAsia" w:eastAsia="宋体"/>
                      <w:color w:val="auto"/>
                      <w:sz w:val="21"/>
                      <w:highlight w:val="none"/>
                      <w:lang w:val="en-US" w:eastAsia="zh-CN"/>
                    </w:rPr>
                    <w:t>PbSO</w:t>
                  </w:r>
                  <w:r>
                    <w:rPr>
                      <w:rFonts w:hint="eastAsia" w:eastAsia="宋体"/>
                      <w:color w:val="auto"/>
                      <w:sz w:val="21"/>
                      <w:highlight w:val="none"/>
                      <w:vertAlign w:val="subscript"/>
                      <w:lang w:val="en-US" w:eastAsia="zh-CN"/>
                    </w:rPr>
                    <w:t>4</w:t>
                  </w:r>
                </w:p>
              </w:tc>
              <w:tc>
                <w:tcPr>
                  <w:tcW w:w="1584" w:type="pct"/>
                  <w:vAlign w:val="center"/>
                </w:tcPr>
                <w:p w14:paraId="7AF65E91">
                  <w:pPr>
                    <w:topLinePunct/>
                    <w:spacing w:line="240" w:lineRule="auto"/>
                    <w:ind w:firstLine="0" w:firstLineChars="0"/>
                    <w:jc w:val="center"/>
                    <w:rPr>
                      <w:rFonts w:eastAsia="宋体"/>
                      <w:color w:val="auto"/>
                      <w:sz w:val="21"/>
                      <w:highlight w:val="none"/>
                    </w:rPr>
                  </w:pPr>
                  <w:r>
                    <w:rPr>
                      <w:rFonts w:hint="eastAsia" w:eastAsia="宋体"/>
                      <w:color w:val="auto"/>
                      <w:sz w:val="21"/>
                      <w:highlight w:val="none"/>
                    </w:rPr>
                    <w:t>白色单斜或正交晶体</w:t>
                  </w:r>
                  <w:r>
                    <w:rPr>
                      <w:rFonts w:hint="eastAsia" w:eastAsia="宋体"/>
                      <w:color w:val="auto"/>
                      <w:sz w:val="21"/>
                      <w:highlight w:val="none"/>
                      <w:lang w:eastAsia="zh-CN"/>
                    </w:rPr>
                    <w:t>；</w:t>
                  </w:r>
                  <w:r>
                    <w:rPr>
                      <w:rFonts w:hint="eastAsia" w:eastAsia="宋体"/>
                      <w:color w:val="auto"/>
                      <w:sz w:val="21"/>
                      <w:highlight w:val="none"/>
                    </w:rPr>
                    <w:t>熔点1170℃</w:t>
                  </w:r>
                  <w:r>
                    <w:rPr>
                      <w:rFonts w:hint="eastAsia" w:eastAsia="宋体"/>
                      <w:color w:val="auto"/>
                      <w:sz w:val="21"/>
                      <w:highlight w:val="none"/>
                      <w:lang w:eastAsia="zh-CN"/>
                    </w:rPr>
                    <w:t>，</w:t>
                  </w:r>
                  <w:r>
                    <w:rPr>
                      <w:rFonts w:hint="eastAsia" w:eastAsia="宋体"/>
                      <w:color w:val="auto"/>
                      <w:sz w:val="21"/>
                      <w:highlight w:val="none"/>
                    </w:rPr>
                    <w:t>密度6.2g/cm</w:t>
                  </w:r>
                  <w:r>
                    <w:rPr>
                      <w:rFonts w:hint="eastAsia" w:eastAsia="宋体"/>
                      <w:color w:val="auto"/>
                      <w:sz w:val="21"/>
                      <w:highlight w:val="none"/>
                      <w:vertAlign w:val="superscript"/>
                    </w:rPr>
                    <w:t>3</w:t>
                  </w:r>
                  <w:r>
                    <w:rPr>
                      <w:rFonts w:hint="eastAsia" w:eastAsia="宋体"/>
                      <w:color w:val="auto"/>
                      <w:sz w:val="21"/>
                      <w:highlight w:val="none"/>
                      <w:lang w:eastAsia="zh-CN"/>
                    </w:rPr>
                    <w:t>；</w:t>
                  </w:r>
                  <w:r>
                    <w:rPr>
                      <w:rFonts w:hint="eastAsia" w:eastAsia="宋体"/>
                      <w:color w:val="auto"/>
                      <w:sz w:val="21"/>
                      <w:highlight w:val="none"/>
                    </w:rPr>
                    <w:t>微溶于水</w:t>
                  </w:r>
                  <w:r>
                    <w:rPr>
                      <w:rFonts w:hint="eastAsia" w:eastAsia="宋体"/>
                      <w:color w:val="auto"/>
                      <w:sz w:val="21"/>
                      <w:highlight w:val="none"/>
                      <w:lang w:eastAsia="zh-CN"/>
                    </w:rPr>
                    <w:t>，</w:t>
                  </w:r>
                  <w:r>
                    <w:rPr>
                      <w:rFonts w:hint="eastAsia" w:eastAsia="宋体"/>
                      <w:color w:val="auto"/>
                      <w:sz w:val="21"/>
                      <w:highlight w:val="none"/>
                    </w:rPr>
                    <w:t>溶解度为0.0041g/100g水(20℃)。几乎不溶于稀的强酸溶液</w:t>
                  </w:r>
                  <w:r>
                    <w:rPr>
                      <w:rFonts w:hint="eastAsia" w:eastAsia="宋体"/>
                      <w:color w:val="auto"/>
                      <w:sz w:val="21"/>
                      <w:highlight w:val="none"/>
                      <w:lang w:eastAsia="zh-CN"/>
                    </w:rPr>
                    <w:t>，</w:t>
                  </w:r>
                  <w:r>
                    <w:rPr>
                      <w:rFonts w:hint="eastAsia" w:eastAsia="宋体"/>
                      <w:color w:val="auto"/>
                      <w:sz w:val="21"/>
                      <w:highlight w:val="none"/>
                    </w:rPr>
                    <w:t>能溶于较浓的硫酸溶液、乙酸铵溶液和强碱溶液。</w:t>
                  </w:r>
                </w:p>
              </w:tc>
              <w:tc>
                <w:tcPr>
                  <w:tcW w:w="1571" w:type="pct"/>
                  <w:vAlign w:val="center"/>
                </w:tcPr>
                <w:p w14:paraId="203CEECC">
                  <w:pPr>
                    <w:topLinePunct/>
                    <w:spacing w:line="240" w:lineRule="auto"/>
                    <w:ind w:firstLine="0" w:firstLineChars="0"/>
                    <w:jc w:val="center"/>
                    <w:rPr>
                      <w:rFonts w:eastAsia="宋体"/>
                      <w:color w:val="auto"/>
                      <w:sz w:val="21"/>
                      <w:highlight w:val="none"/>
                    </w:rPr>
                  </w:pPr>
                  <w:r>
                    <w:rPr>
                      <w:rFonts w:hint="eastAsia" w:eastAsia="宋体"/>
                      <w:color w:val="auto"/>
                      <w:sz w:val="21"/>
                      <w:highlight w:val="none"/>
                    </w:rPr>
                    <w:t>损害造血、神经、消化系统及肾脏。职业中毒主要为慢性。短时接触大剂量可发生急性或亚急性铅中毒</w:t>
                  </w:r>
                  <w:r>
                    <w:rPr>
                      <w:rFonts w:hint="eastAsia" w:eastAsia="宋体"/>
                      <w:color w:val="auto"/>
                      <w:sz w:val="21"/>
                      <w:highlight w:val="none"/>
                      <w:lang w:eastAsia="zh-CN"/>
                    </w:rPr>
                    <w:t>，</w:t>
                  </w:r>
                  <w:r>
                    <w:rPr>
                      <w:rFonts w:hint="eastAsia" w:eastAsia="宋体"/>
                      <w:color w:val="auto"/>
                      <w:sz w:val="21"/>
                      <w:highlight w:val="none"/>
                    </w:rPr>
                    <w:t>表现类似重症慢性铅中毒</w:t>
                  </w:r>
                </w:p>
              </w:tc>
              <w:tc>
                <w:tcPr>
                  <w:tcW w:w="1131" w:type="pct"/>
                  <w:vMerge w:val="continue"/>
                  <w:vAlign w:val="center"/>
                </w:tcPr>
                <w:p w14:paraId="1BD9D622">
                  <w:pPr>
                    <w:topLinePunct/>
                    <w:spacing w:line="240" w:lineRule="auto"/>
                    <w:ind w:firstLine="0" w:firstLineChars="0"/>
                    <w:jc w:val="center"/>
                    <w:rPr>
                      <w:rFonts w:hint="eastAsia" w:eastAsia="宋体"/>
                      <w:color w:val="auto"/>
                      <w:sz w:val="21"/>
                      <w:highlight w:val="none"/>
                    </w:rPr>
                  </w:pPr>
                </w:p>
              </w:tc>
            </w:tr>
            <w:tr w14:paraId="0BBF36DA">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226" w:type="pct"/>
                  <w:tcBorders>
                    <w:bottom w:val="single" w:color="auto" w:sz="12" w:space="0"/>
                  </w:tcBorders>
                  <w:vAlign w:val="center"/>
                </w:tcPr>
                <w:p w14:paraId="31C37CD9">
                  <w:pPr>
                    <w:topLinePunct/>
                    <w:spacing w:line="240" w:lineRule="auto"/>
                    <w:ind w:firstLine="0" w:firstLineChars="0"/>
                    <w:jc w:val="center"/>
                    <w:rPr>
                      <w:rFonts w:eastAsia="宋体"/>
                      <w:color w:val="auto"/>
                      <w:sz w:val="21"/>
                      <w:highlight w:val="none"/>
                    </w:rPr>
                  </w:pPr>
                  <w:r>
                    <w:rPr>
                      <w:rFonts w:eastAsia="宋体"/>
                      <w:color w:val="auto"/>
                      <w:sz w:val="21"/>
                      <w:highlight w:val="none"/>
                    </w:rPr>
                    <w:t>电解液（硫酸）</w:t>
                  </w:r>
                </w:p>
              </w:tc>
              <w:tc>
                <w:tcPr>
                  <w:tcW w:w="485" w:type="pct"/>
                  <w:tcBorders>
                    <w:bottom w:val="single" w:color="auto" w:sz="12" w:space="0"/>
                  </w:tcBorders>
                  <w:vAlign w:val="center"/>
                </w:tcPr>
                <w:p w14:paraId="188AB1DF">
                  <w:pPr>
                    <w:topLinePunct/>
                    <w:spacing w:line="240" w:lineRule="auto"/>
                    <w:ind w:firstLine="0" w:firstLineChars="0"/>
                    <w:jc w:val="center"/>
                    <w:rPr>
                      <w:rFonts w:eastAsia="宋体"/>
                      <w:color w:val="auto"/>
                      <w:sz w:val="21"/>
                      <w:highlight w:val="none"/>
                    </w:rPr>
                  </w:pPr>
                  <w:r>
                    <w:rPr>
                      <w:rFonts w:eastAsia="宋体"/>
                      <w:color w:val="auto"/>
                      <w:sz w:val="21"/>
                      <w:highlight w:val="none"/>
                    </w:rPr>
                    <w:t>H</w:t>
                  </w:r>
                  <w:r>
                    <w:rPr>
                      <w:rFonts w:eastAsia="宋体"/>
                      <w:color w:val="auto"/>
                      <w:sz w:val="21"/>
                      <w:highlight w:val="none"/>
                      <w:vertAlign w:val="subscript"/>
                    </w:rPr>
                    <w:t>2</w:t>
                  </w:r>
                  <w:r>
                    <w:rPr>
                      <w:rFonts w:eastAsia="宋体"/>
                      <w:color w:val="auto"/>
                      <w:sz w:val="21"/>
                      <w:highlight w:val="none"/>
                    </w:rPr>
                    <w:t>SO</w:t>
                  </w:r>
                  <w:r>
                    <w:rPr>
                      <w:rFonts w:eastAsia="宋体"/>
                      <w:color w:val="auto"/>
                      <w:sz w:val="21"/>
                      <w:highlight w:val="none"/>
                      <w:vertAlign w:val="subscript"/>
                    </w:rPr>
                    <w:t>4</w:t>
                  </w:r>
                </w:p>
              </w:tc>
              <w:tc>
                <w:tcPr>
                  <w:tcW w:w="1584" w:type="pct"/>
                  <w:tcBorders>
                    <w:bottom w:val="single" w:color="auto" w:sz="12" w:space="0"/>
                  </w:tcBorders>
                  <w:vAlign w:val="center"/>
                </w:tcPr>
                <w:p w14:paraId="19AC773A">
                  <w:pPr>
                    <w:topLinePunct/>
                    <w:spacing w:line="240" w:lineRule="auto"/>
                    <w:ind w:firstLine="0" w:firstLineChars="0"/>
                    <w:jc w:val="center"/>
                    <w:rPr>
                      <w:rFonts w:eastAsia="宋体"/>
                      <w:color w:val="auto"/>
                      <w:sz w:val="21"/>
                      <w:highlight w:val="none"/>
                    </w:rPr>
                  </w:pPr>
                  <w:r>
                    <w:rPr>
                      <w:rFonts w:eastAsia="宋体"/>
                      <w:color w:val="auto"/>
                      <w:sz w:val="21"/>
                      <w:highlight w:val="none"/>
                    </w:rPr>
                    <w:t>分子量98.08</w:t>
                  </w:r>
                  <w:r>
                    <w:rPr>
                      <w:rFonts w:hint="eastAsia" w:eastAsia="宋体"/>
                      <w:color w:val="auto"/>
                      <w:sz w:val="21"/>
                      <w:highlight w:val="none"/>
                      <w:lang w:eastAsia="zh-CN"/>
                    </w:rPr>
                    <w:t>，</w:t>
                  </w:r>
                  <w:r>
                    <w:rPr>
                      <w:rFonts w:eastAsia="宋体"/>
                      <w:color w:val="auto"/>
                      <w:sz w:val="21"/>
                      <w:highlight w:val="none"/>
                    </w:rPr>
                    <w:t>无色透明油状液体。能以任何比例溶于水</w:t>
                  </w:r>
                  <w:r>
                    <w:rPr>
                      <w:rFonts w:hint="eastAsia" w:eastAsia="宋体"/>
                      <w:color w:val="auto"/>
                      <w:sz w:val="21"/>
                      <w:highlight w:val="none"/>
                      <w:lang w:eastAsia="zh-CN"/>
                    </w:rPr>
                    <w:t>，</w:t>
                  </w:r>
                  <w:r>
                    <w:rPr>
                      <w:rFonts w:eastAsia="宋体"/>
                      <w:color w:val="auto"/>
                      <w:sz w:val="21"/>
                      <w:highlight w:val="none"/>
                    </w:rPr>
                    <w:t>37.4</w:t>
                  </w:r>
                  <w:r>
                    <w:rPr>
                      <w:rFonts w:hint="eastAsia"/>
                      <w:color w:val="auto"/>
                      <w:sz w:val="21"/>
                      <w:highlight w:val="none"/>
                      <w:lang w:val="en-US" w:eastAsia="zh-CN"/>
                    </w:rPr>
                    <w:t>%</w:t>
                  </w:r>
                  <w:r>
                    <w:rPr>
                      <w:rFonts w:eastAsia="宋体"/>
                      <w:color w:val="auto"/>
                      <w:sz w:val="21"/>
                      <w:highlight w:val="none"/>
                    </w:rPr>
                    <w:t>的硫酸</w:t>
                  </w:r>
                  <w:r>
                    <w:rPr>
                      <w:rFonts w:hint="eastAsia" w:eastAsia="宋体"/>
                      <w:color w:val="auto"/>
                      <w:sz w:val="21"/>
                      <w:highlight w:val="none"/>
                      <w:lang w:eastAsia="zh-CN"/>
                    </w:rPr>
                    <w:t>，</w:t>
                  </w:r>
                  <w:r>
                    <w:rPr>
                      <w:rFonts w:eastAsia="宋体"/>
                      <w:color w:val="auto"/>
                      <w:sz w:val="21"/>
                      <w:highlight w:val="none"/>
                    </w:rPr>
                    <w:t>比重1.52</w:t>
                  </w:r>
                  <w:r>
                    <w:rPr>
                      <w:rFonts w:hint="eastAsia" w:eastAsia="宋体"/>
                      <w:color w:val="auto"/>
                      <w:sz w:val="21"/>
                      <w:highlight w:val="none"/>
                      <w:lang w:eastAsia="zh-CN"/>
                    </w:rPr>
                    <w:t>，</w:t>
                  </w:r>
                  <w:r>
                    <w:rPr>
                      <w:rFonts w:eastAsia="宋体"/>
                      <w:color w:val="auto"/>
                      <w:sz w:val="21"/>
                      <w:highlight w:val="none"/>
                    </w:rPr>
                    <w:t>熔点10.49℃</w:t>
                  </w:r>
                  <w:r>
                    <w:rPr>
                      <w:rFonts w:hint="eastAsia" w:eastAsia="宋体"/>
                      <w:color w:val="auto"/>
                      <w:sz w:val="21"/>
                      <w:highlight w:val="none"/>
                      <w:lang w:eastAsia="zh-CN"/>
                    </w:rPr>
                    <w:t>，</w:t>
                  </w:r>
                  <w:r>
                    <w:rPr>
                      <w:rFonts w:eastAsia="宋体"/>
                      <w:color w:val="auto"/>
                      <w:sz w:val="21"/>
                      <w:highlight w:val="none"/>
                    </w:rPr>
                    <w:t>沸点258℃</w:t>
                  </w:r>
                  <w:r>
                    <w:rPr>
                      <w:rFonts w:hint="eastAsia" w:eastAsia="宋体"/>
                      <w:color w:val="auto"/>
                      <w:sz w:val="21"/>
                      <w:highlight w:val="none"/>
                      <w:lang w:eastAsia="zh-CN"/>
                    </w:rPr>
                    <w:t>，</w:t>
                  </w:r>
                  <w:r>
                    <w:rPr>
                      <w:rFonts w:eastAsia="宋体"/>
                      <w:color w:val="auto"/>
                      <w:sz w:val="21"/>
                      <w:highlight w:val="none"/>
                    </w:rPr>
                    <w:t>340℃时分解</w:t>
                  </w:r>
                  <w:r>
                    <w:rPr>
                      <w:rFonts w:hint="eastAsia" w:eastAsia="宋体"/>
                      <w:color w:val="auto"/>
                      <w:sz w:val="21"/>
                      <w:highlight w:val="none"/>
                      <w:lang w:eastAsia="zh-CN"/>
                    </w:rPr>
                    <w:t>，</w:t>
                  </w:r>
                  <w:r>
                    <w:rPr>
                      <w:rFonts w:eastAsia="宋体"/>
                      <w:color w:val="auto"/>
                      <w:sz w:val="21"/>
                      <w:highlight w:val="none"/>
                    </w:rPr>
                    <w:t>硫酸浓度较低</w:t>
                  </w:r>
                  <w:r>
                    <w:rPr>
                      <w:rFonts w:hint="eastAsia" w:eastAsia="宋体"/>
                      <w:color w:val="auto"/>
                      <w:sz w:val="21"/>
                      <w:highlight w:val="none"/>
                      <w:lang w:eastAsia="zh-CN"/>
                    </w:rPr>
                    <w:t>，</w:t>
                  </w:r>
                  <w:r>
                    <w:rPr>
                      <w:rFonts w:eastAsia="宋体"/>
                      <w:color w:val="auto"/>
                      <w:sz w:val="21"/>
                      <w:highlight w:val="none"/>
                    </w:rPr>
                    <w:t>不会挥发产生硫酸雾</w:t>
                  </w:r>
                  <w:r>
                    <w:rPr>
                      <w:rFonts w:hint="eastAsia" w:eastAsia="宋体"/>
                      <w:color w:val="auto"/>
                      <w:sz w:val="21"/>
                      <w:highlight w:val="none"/>
                      <w:lang w:eastAsia="zh-CN"/>
                    </w:rPr>
                    <w:t>，</w:t>
                  </w:r>
                  <w:r>
                    <w:rPr>
                      <w:rFonts w:eastAsia="宋体"/>
                      <w:color w:val="auto"/>
                      <w:sz w:val="21"/>
                      <w:highlight w:val="none"/>
                    </w:rPr>
                    <w:t>但水汽蒸发会带走部分硫酸</w:t>
                  </w:r>
                  <w:r>
                    <w:rPr>
                      <w:rFonts w:hint="eastAsia" w:eastAsia="宋体"/>
                      <w:color w:val="auto"/>
                      <w:sz w:val="21"/>
                      <w:highlight w:val="none"/>
                      <w:lang w:eastAsia="zh-CN"/>
                    </w:rPr>
                    <w:t>，</w:t>
                  </w:r>
                  <w:r>
                    <w:rPr>
                      <w:rFonts w:eastAsia="宋体"/>
                      <w:color w:val="auto"/>
                      <w:sz w:val="21"/>
                      <w:highlight w:val="none"/>
                    </w:rPr>
                    <w:t>产生酸雾</w:t>
                  </w:r>
                </w:p>
              </w:tc>
              <w:tc>
                <w:tcPr>
                  <w:tcW w:w="1571" w:type="pct"/>
                  <w:tcBorders>
                    <w:bottom w:val="single" w:color="auto" w:sz="12" w:space="0"/>
                  </w:tcBorders>
                  <w:vAlign w:val="center"/>
                </w:tcPr>
                <w:p w14:paraId="788DB8AA">
                  <w:pPr>
                    <w:topLinePunct/>
                    <w:spacing w:line="240" w:lineRule="auto"/>
                    <w:ind w:firstLine="0" w:firstLineChars="0"/>
                    <w:jc w:val="center"/>
                    <w:rPr>
                      <w:rFonts w:eastAsia="宋体"/>
                      <w:color w:val="auto"/>
                      <w:sz w:val="21"/>
                      <w:highlight w:val="none"/>
                    </w:rPr>
                  </w:pPr>
                  <w:r>
                    <w:rPr>
                      <w:rFonts w:eastAsia="宋体"/>
                      <w:color w:val="auto"/>
                      <w:sz w:val="21"/>
                      <w:highlight w:val="none"/>
                    </w:rPr>
                    <w:t>属微毒类</w:t>
                  </w:r>
                  <w:r>
                    <w:rPr>
                      <w:rFonts w:hint="eastAsia" w:eastAsia="宋体"/>
                      <w:color w:val="auto"/>
                      <w:sz w:val="21"/>
                      <w:highlight w:val="none"/>
                      <w:lang w:eastAsia="zh-CN"/>
                    </w:rPr>
                    <w:t>，</w:t>
                  </w:r>
                  <w:r>
                    <w:rPr>
                      <w:rFonts w:eastAsia="宋体"/>
                      <w:color w:val="auto"/>
                      <w:sz w:val="21"/>
                      <w:highlight w:val="none"/>
                    </w:rPr>
                    <w:t>急性毒性：LD</w:t>
                  </w:r>
                  <w:r>
                    <w:rPr>
                      <w:rFonts w:eastAsia="宋体"/>
                      <w:color w:val="auto"/>
                      <w:sz w:val="21"/>
                      <w:highlight w:val="none"/>
                      <w:vertAlign w:val="subscript"/>
                    </w:rPr>
                    <w:t>50</w:t>
                  </w:r>
                  <w:r>
                    <w:rPr>
                      <w:rFonts w:eastAsia="宋体"/>
                      <w:color w:val="auto"/>
                      <w:sz w:val="21"/>
                      <w:highlight w:val="none"/>
                    </w:rPr>
                    <w:t>2140mg/kg</w:t>
                  </w:r>
                </w:p>
              </w:tc>
              <w:tc>
                <w:tcPr>
                  <w:tcW w:w="1131" w:type="pct"/>
                  <w:tcBorders>
                    <w:bottom w:val="single" w:color="auto" w:sz="12" w:space="0"/>
                  </w:tcBorders>
                  <w:vAlign w:val="center"/>
                </w:tcPr>
                <w:p w14:paraId="3A6801BD">
                  <w:pPr>
                    <w:topLinePunct/>
                    <w:spacing w:line="240" w:lineRule="auto"/>
                    <w:ind w:firstLine="0" w:firstLineChars="0"/>
                    <w:jc w:val="center"/>
                    <w:rPr>
                      <w:rFonts w:eastAsia="宋体"/>
                      <w:color w:val="auto"/>
                      <w:sz w:val="21"/>
                      <w:highlight w:val="none"/>
                    </w:rPr>
                  </w:pPr>
                  <w:r>
                    <w:rPr>
                      <w:rFonts w:eastAsia="宋体"/>
                      <w:color w:val="auto"/>
                      <w:sz w:val="21"/>
                      <w:highlight w:val="none"/>
                    </w:rPr>
                    <w:t>与易燃物（如苯）和有机物（如糖、纤维素等）接触会发生剧烈反应</w:t>
                  </w:r>
                  <w:r>
                    <w:rPr>
                      <w:rFonts w:hint="eastAsia" w:eastAsia="宋体"/>
                      <w:color w:val="auto"/>
                      <w:sz w:val="21"/>
                      <w:highlight w:val="none"/>
                      <w:lang w:eastAsia="zh-CN"/>
                    </w:rPr>
                    <w:t>，</w:t>
                  </w:r>
                  <w:r>
                    <w:rPr>
                      <w:rFonts w:eastAsia="宋体"/>
                      <w:color w:val="auto"/>
                      <w:sz w:val="21"/>
                      <w:highlight w:val="none"/>
                    </w:rPr>
                    <w:t>甚至引起燃烧。雨水大量放热</w:t>
                  </w:r>
                  <w:r>
                    <w:rPr>
                      <w:rFonts w:hint="eastAsia" w:eastAsia="宋体"/>
                      <w:color w:val="auto"/>
                      <w:sz w:val="21"/>
                      <w:highlight w:val="none"/>
                      <w:lang w:eastAsia="zh-CN"/>
                    </w:rPr>
                    <w:t>，</w:t>
                  </w:r>
                  <w:r>
                    <w:rPr>
                      <w:rFonts w:eastAsia="宋体"/>
                      <w:color w:val="auto"/>
                      <w:sz w:val="21"/>
                      <w:highlight w:val="none"/>
                    </w:rPr>
                    <w:t>可发生沸溅。具有强腐蚀性</w:t>
                  </w:r>
                </w:p>
              </w:tc>
            </w:tr>
          </w:tbl>
          <w:p w14:paraId="0A0401F2">
            <w:pPr>
              <w:pStyle w:val="25"/>
              <w:bidi w:val="0"/>
              <w:rPr>
                <w:color w:val="auto"/>
                <w:highlight w:val="none"/>
              </w:rPr>
            </w:pPr>
            <w:r>
              <w:rPr>
                <w:rFonts w:hint="eastAsia"/>
                <w:color w:val="auto"/>
                <w:highlight w:val="none"/>
                <w:lang w:eastAsia="zh-CN"/>
              </w:rPr>
              <w:t>液压油理化性质</w:t>
            </w:r>
          </w:p>
          <w:tbl>
            <w:tblPr>
              <w:tblStyle w:val="32"/>
              <w:tblW w:w="4995"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638"/>
              <w:gridCol w:w="3945"/>
              <w:gridCol w:w="3683"/>
            </w:tblGrid>
            <w:tr w14:paraId="4324DAA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restart"/>
                  <w:tcBorders>
                    <w:tl2br w:val="nil"/>
                    <w:tr2bl w:val="nil"/>
                  </w:tcBorders>
                  <w:vAlign w:val="center"/>
                </w:tcPr>
                <w:p w14:paraId="2B837676">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pacing w:val="-9"/>
                      <w:sz w:val="21"/>
                      <w:szCs w:val="21"/>
                      <w:highlight w:val="none"/>
                    </w:rPr>
                    <w:t>理化</w:t>
                  </w:r>
                  <w:r>
                    <w:rPr>
                      <w:rFonts w:ascii="Times New Roman" w:hAnsi="Times New Roman" w:eastAsia="宋体" w:cs="Times New Roman"/>
                      <w:b/>
                      <w:bCs/>
                      <w:color w:val="auto"/>
                      <w:spacing w:val="-2"/>
                      <w:sz w:val="21"/>
                      <w:szCs w:val="21"/>
                      <w:highlight w:val="none"/>
                    </w:rPr>
                    <w:t>特性</w:t>
                  </w:r>
                </w:p>
              </w:tc>
              <w:tc>
                <w:tcPr>
                  <w:tcW w:w="7539" w:type="dxa"/>
                  <w:gridSpan w:val="2"/>
                  <w:tcBorders>
                    <w:tl2br w:val="nil"/>
                    <w:tr2bl w:val="nil"/>
                  </w:tcBorders>
                  <w:vAlign w:val="center"/>
                </w:tcPr>
                <w:p w14:paraId="5CEEC52A">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外观与性状：淡黄色液体</w:t>
                  </w:r>
                </w:p>
              </w:tc>
            </w:tr>
            <w:tr w14:paraId="70D8157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59FD9C8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3899" w:type="dxa"/>
                  <w:tcBorders>
                    <w:tl2br w:val="nil"/>
                    <w:tr2bl w:val="nil"/>
                  </w:tcBorders>
                  <w:vAlign w:val="center"/>
                </w:tcPr>
                <w:p w14:paraId="109F7AA4">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相对密度（水＝1</w:t>
                  </w:r>
                  <w:r>
                    <w:rPr>
                      <w:rFonts w:ascii="Times New Roman" w:hAnsi="Times New Roman" w:eastAsia="宋体" w:cs="Times New Roman"/>
                      <w:color w:val="auto"/>
                      <w:spacing w:val="-49"/>
                      <w:sz w:val="21"/>
                      <w:szCs w:val="21"/>
                      <w:highlight w:val="none"/>
                    </w:rPr>
                    <w:t>）：</w:t>
                  </w:r>
                  <w:r>
                    <w:rPr>
                      <w:rFonts w:ascii="Times New Roman" w:hAnsi="Times New Roman" w:eastAsia="宋体" w:cs="Times New Roman"/>
                      <w:color w:val="auto"/>
                      <w:spacing w:val="-1"/>
                      <w:sz w:val="21"/>
                      <w:szCs w:val="21"/>
                      <w:highlight w:val="none"/>
                    </w:rPr>
                    <w:t>0.8710</w:t>
                  </w:r>
                </w:p>
              </w:tc>
              <w:tc>
                <w:tcPr>
                  <w:tcW w:w="3640" w:type="dxa"/>
                  <w:tcBorders>
                    <w:tl2br w:val="nil"/>
                    <w:tr2bl w:val="nil"/>
                  </w:tcBorders>
                  <w:vAlign w:val="center"/>
                </w:tcPr>
                <w:p w14:paraId="79D678F2">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相对密度（空气＝1</w:t>
                  </w:r>
                  <w:r>
                    <w:rPr>
                      <w:rFonts w:ascii="Times New Roman" w:hAnsi="Times New Roman" w:eastAsia="宋体" w:cs="Times New Roman"/>
                      <w:color w:val="auto"/>
                      <w:spacing w:val="-38"/>
                      <w:sz w:val="21"/>
                      <w:szCs w:val="21"/>
                      <w:highlight w:val="none"/>
                    </w:rPr>
                    <w:t>）：</w:t>
                  </w:r>
                </w:p>
              </w:tc>
            </w:tr>
            <w:tr w14:paraId="29190F7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4E8220A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3899" w:type="dxa"/>
                  <w:tcBorders>
                    <w:tl2br w:val="nil"/>
                    <w:tr2bl w:val="nil"/>
                  </w:tcBorders>
                  <w:vAlign w:val="center"/>
                </w:tcPr>
                <w:p w14:paraId="30ABCB76">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2"/>
                      <w:sz w:val="21"/>
                      <w:szCs w:val="21"/>
                      <w:highlight w:val="none"/>
                    </w:rPr>
                    <w:t>熔点(℃):</w:t>
                  </w:r>
                </w:p>
              </w:tc>
              <w:tc>
                <w:tcPr>
                  <w:tcW w:w="3640" w:type="dxa"/>
                  <w:tcBorders>
                    <w:tl2br w:val="nil"/>
                    <w:tr2bl w:val="nil"/>
                  </w:tcBorders>
                  <w:vAlign w:val="center"/>
                </w:tcPr>
                <w:p w14:paraId="434F6442">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2"/>
                      <w:sz w:val="21"/>
                      <w:szCs w:val="21"/>
                      <w:highlight w:val="none"/>
                    </w:rPr>
                    <w:t>沸点(℃):</w:t>
                  </w:r>
                </w:p>
              </w:tc>
            </w:tr>
            <w:tr w14:paraId="1E319A4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0CC297B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321CFEF7">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2"/>
                      <w:sz w:val="21"/>
                      <w:szCs w:val="21"/>
                      <w:highlight w:val="none"/>
                    </w:rPr>
                    <w:t>溶解性：</w:t>
                  </w:r>
                </w:p>
              </w:tc>
            </w:tr>
            <w:tr w14:paraId="6E7F862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6D2750C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7FB1EC80">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主要用途：适用于液压系统润滑。</w:t>
                  </w:r>
                </w:p>
              </w:tc>
            </w:tr>
            <w:tr w14:paraId="5A48870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restart"/>
                  <w:tcBorders>
                    <w:tl2br w:val="nil"/>
                    <w:tr2bl w:val="nil"/>
                  </w:tcBorders>
                  <w:vAlign w:val="center"/>
                </w:tcPr>
                <w:p w14:paraId="2848C1F2">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pacing w:val="-15"/>
                      <w:sz w:val="21"/>
                      <w:szCs w:val="21"/>
                      <w:highlight w:val="none"/>
                    </w:rPr>
                    <w:t>危险</w:t>
                  </w:r>
                  <w:r>
                    <w:rPr>
                      <w:rFonts w:ascii="Times New Roman" w:hAnsi="Times New Roman" w:eastAsia="宋体" w:cs="Times New Roman"/>
                      <w:b/>
                      <w:bCs/>
                      <w:color w:val="auto"/>
                      <w:sz w:val="21"/>
                      <w:szCs w:val="21"/>
                      <w:highlight w:val="none"/>
                    </w:rPr>
                    <w:t>性</w:t>
                  </w:r>
                </w:p>
              </w:tc>
              <w:tc>
                <w:tcPr>
                  <w:tcW w:w="7539" w:type="dxa"/>
                  <w:gridSpan w:val="2"/>
                  <w:tcBorders>
                    <w:tl2br w:val="nil"/>
                    <w:tr2bl w:val="nil"/>
                  </w:tcBorders>
                  <w:vAlign w:val="center"/>
                </w:tcPr>
                <w:p w14:paraId="336FCA1A">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危险性类别：非危险品</w:t>
                  </w:r>
                </w:p>
              </w:tc>
            </w:tr>
            <w:tr w14:paraId="5F6AD96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0D927A3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72DE3793">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侵入途径：吸入、食入、经皮吸收</w:t>
                  </w:r>
                </w:p>
              </w:tc>
            </w:tr>
            <w:tr w14:paraId="0911248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2279833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02C37058">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健康危害：吞入后会造成腹泻、损坏消化器官和</w:t>
                  </w:r>
                  <w:r>
                    <w:rPr>
                      <w:rFonts w:ascii="Times New Roman" w:hAnsi="Times New Roman" w:eastAsia="宋体" w:cs="Times New Roman"/>
                      <w:color w:val="auto"/>
                      <w:spacing w:val="-1"/>
                      <w:sz w:val="21"/>
                      <w:szCs w:val="21"/>
                      <w:highlight w:val="none"/>
                    </w:rPr>
                    <w:t>肺部损伤</w:t>
                  </w:r>
                </w:p>
              </w:tc>
            </w:tr>
            <w:tr w14:paraId="4DFA29F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05DD6E7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22B284DD">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燃爆危险：无爆炸危险性，属可燃物品</w:t>
                  </w:r>
                </w:p>
              </w:tc>
            </w:tr>
            <w:tr w14:paraId="5968922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restart"/>
                  <w:tcBorders>
                    <w:tl2br w:val="nil"/>
                    <w:tr2bl w:val="nil"/>
                  </w:tcBorders>
                  <w:vAlign w:val="center"/>
                </w:tcPr>
                <w:p w14:paraId="7A7B5049">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pacing w:val="-12"/>
                      <w:sz w:val="21"/>
                      <w:szCs w:val="21"/>
                      <w:highlight w:val="none"/>
                    </w:rPr>
                    <w:t>急救</w:t>
                  </w:r>
                  <w:r>
                    <w:rPr>
                      <w:rFonts w:ascii="Times New Roman" w:hAnsi="Times New Roman" w:eastAsia="宋体" w:cs="Times New Roman"/>
                      <w:b/>
                      <w:bCs/>
                      <w:color w:val="auto"/>
                      <w:spacing w:val="-2"/>
                      <w:sz w:val="21"/>
                      <w:szCs w:val="21"/>
                      <w:highlight w:val="none"/>
                    </w:rPr>
                    <w:t>措施</w:t>
                  </w:r>
                </w:p>
              </w:tc>
              <w:tc>
                <w:tcPr>
                  <w:tcW w:w="7539" w:type="dxa"/>
                  <w:gridSpan w:val="2"/>
                  <w:tcBorders>
                    <w:tl2br w:val="nil"/>
                    <w:tr2bl w:val="nil"/>
                  </w:tcBorders>
                  <w:vAlign w:val="center"/>
                </w:tcPr>
                <w:p w14:paraId="23314E6D">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皮肤接触：脱去污染的衣着，用大量流动清水冲洗</w:t>
                  </w:r>
                </w:p>
              </w:tc>
            </w:tr>
            <w:tr w14:paraId="5276CEB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068265D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7BFF71F5">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眼睛接触：提起眼睑，用流动清水或生理盐水冲洗</w:t>
                  </w:r>
                </w:p>
              </w:tc>
            </w:tr>
            <w:tr w14:paraId="31C122C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19BB1A5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1752EE57">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2"/>
                      <w:sz w:val="21"/>
                      <w:szCs w:val="21"/>
                      <w:highlight w:val="none"/>
                    </w:rPr>
                    <w:t>吸入：迅速脱离现场至空气新鲜处。</w:t>
                  </w:r>
                </w:p>
              </w:tc>
            </w:tr>
            <w:tr w14:paraId="6D7D3BA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21893B6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02E9CBAB">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食入：饮足量温水，催吐</w:t>
                  </w:r>
                </w:p>
              </w:tc>
            </w:tr>
            <w:tr w14:paraId="5AE6C03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restart"/>
                  <w:tcBorders>
                    <w:tl2br w:val="nil"/>
                    <w:tr2bl w:val="nil"/>
                  </w:tcBorders>
                  <w:vAlign w:val="center"/>
                </w:tcPr>
                <w:p w14:paraId="3EC30A06">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pacing w:val="-14"/>
                      <w:sz w:val="21"/>
                      <w:szCs w:val="21"/>
                      <w:highlight w:val="none"/>
                    </w:rPr>
                    <w:t>消防</w:t>
                  </w:r>
                  <w:r>
                    <w:rPr>
                      <w:rFonts w:ascii="Times New Roman" w:hAnsi="Times New Roman" w:eastAsia="宋体" w:cs="Times New Roman"/>
                      <w:b/>
                      <w:bCs/>
                      <w:color w:val="auto"/>
                      <w:spacing w:val="-2"/>
                      <w:sz w:val="21"/>
                      <w:szCs w:val="21"/>
                      <w:highlight w:val="none"/>
                    </w:rPr>
                    <w:t>措施</w:t>
                  </w:r>
                </w:p>
              </w:tc>
              <w:tc>
                <w:tcPr>
                  <w:tcW w:w="7539" w:type="dxa"/>
                  <w:gridSpan w:val="2"/>
                  <w:tcBorders>
                    <w:tl2br w:val="nil"/>
                    <w:tr2bl w:val="nil"/>
                  </w:tcBorders>
                  <w:vAlign w:val="center"/>
                </w:tcPr>
                <w:p w14:paraId="6510F14E">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危险特性：遇明火、高热能引起燃烧。</w:t>
                  </w:r>
                </w:p>
              </w:tc>
            </w:tr>
            <w:tr w14:paraId="743B7DE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2B60ED9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3C9639F8">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有害燃烧产物：一氧化碳、二氧化碳</w:t>
                  </w:r>
                </w:p>
              </w:tc>
            </w:tr>
            <w:tr w14:paraId="35572BF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57800EE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46D87E04">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2"/>
                      <w:sz w:val="21"/>
                      <w:szCs w:val="21"/>
                      <w:highlight w:val="none"/>
                    </w:rPr>
                    <w:t>灭火方法：消防人员须佩戴防毒面具、穿全身</w:t>
                  </w:r>
                  <w:r>
                    <w:rPr>
                      <w:rFonts w:ascii="Times New Roman" w:hAnsi="Times New Roman" w:eastAsia="宋体" w:cs="Times New Roman"/>
                      <w:color w:val="auto"/>
                      <w:spacing w:val="1"/>
                      <w:sz w:val="21"/>
                      <w:szCs w:val="21"/>
                      <w:highlight w:val="none"/>
                    </w:rPr>
                    <w:t>消防服，在上风向灭火。尽可能将容器从</w:t>
                  </w:r>
                  <w:r>
                    <w:rPr>
                      <w:rFonts w:ascii="Times New Roman" w:hAnsi="Times New Roman" w:eastAsia="宋体" w:cs="Times New Roman"/>
                      <w:color w:val="auto"/>
                      <w:sz w:val="21"/>
                      <w:szCs w:val="21"/>
                      <w:highlight w:val="none"/>
                    </w:rPr>
                    <w:t>火场移至空旷处。喷水保持火场容器冷却，直至</w:t>
                  </w:r>
                  <w:r>
                    <w:rPr>
                      <w:rFonts w:ascii="Times New Roman" w:hAnsi="Times New Roman" w:eastAsia="宋体" w:cs="Times New Roman"/>
                      <w:color w:val="auto"/>
                      <w:spacing w:val="-1"/>
                      <w:sz w:val="21"/>
                      <w:szCs w:val="21"/>
                      <w:highlight w:val="none"/>
                    </w:rPr>
                    <w:t>灭火结束。</w:t>
                  </w:r>
                </w:p>
              </w:tc>
            </w:tr>
            <w:tr w14:paraId="622451B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tcBorders>
                    <w:tl2br w:val="nil"/>
                    <w:tr2bl w:val="nil"/>
                  </w:tcBorders>
                  <w:vAlign w:val="center"/>
                </w:tcPr>
                <w:p w14:paraId="0D12AEF6">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pacing w:val="-9"/>
                      <w:sz w:val="21"/>
                      <w:szCs w:val="21"/>
                      <w:highlight w:val="none"/>
                    </w:rPr>
                    <w:t>泄漏</w:t>
                  </w:r>
                  <w:r>
                    <w:rPr>
                      <w:rFonts w:ascii="Times New Roman" w:hAnsi="Times New Roman" w:eastAsia="宋体" w:cs="Times New Roman"/>
                      <w:b/>
                      <w:bCs/>
                      <w:color w:val="auto"/>
                      <w:spacing w:val="-11"/>
                      <w:sz w:val="21"/>
                      <w:szCs w:val="21"/>
                      <w:highlight w:val="none"/>
                    </w:rPr>
                    <w:t>应急</w:t>
                  </w:r>
                  <w:r>
                    <w:rPr>
                      <w:rFonts w:ascii="Times New Roman" w:hAnsi="Times New Roman" w:eastAsia="宋体" w:cs="Times New Roman"/>
                      <w:b/>
                      <w:bCs/>
                      <w:color w:val="auto"/>
                      <w:spacing w:val="-2"/>
                      <w:sz w:val="21"/>
                      <w:szCs w:val="21"/>
                      <w:highlight w:val="none"/>
                    </w:rPr>
                    <w:t>处理</w:t>
                  </w:r>
                </w:p>
              </w:tc>
              <w:tc>
                <w:tcPr>
                  <w:tcW w:w="7539" w:type="dxa"/>
                  <w:gridSpan w:val="2"/>
                  <w:tcBorders>
                    <w:tl2br w:val="nil"/>
                    <w:tr2bl w:val="nil"/>
                  </w:tcBorders>
                  <w:vAlign w:val="center"/>
                </w:tcPr>
                <w:p w14:paraId="50958A8C">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迅速撤离泄漏污染区人员至安全区，并进行隔离，严格限制出入，切断火源。建议应急处理人</w:t>
                  </w:r>
                  <w:r>
                    <w:rPr>
                      <w:rFonts w:ascii="Times New Roman" w:hAnsi="Times New Roman" w:eastAsia="宋体" w:cs="Times New Roman"/>
                      <w:color w:val="auto"/>
                      <w:sz w:val="21"/>
                      <w:szCs w:val="21"/>
                      <w:highlight w:val="none"/>
                    </w:rPr>
                    <w:t>员戴自给正压式呼吸器，穿防毒服。尽可能切断泄漏源</w:t>
                  </w:r>
                  <w:r>
                    <w:rPr>
                      <w:rFonts w:ascii="Times New Roman" w:hAnsi="Times New Roman" w:eastAsia="宋体" w:cs="Times New Roman"/>
                      <w:color w:val="auto"/>
                      <w:spacing w:val="-1"/>
                      <w:sz w:val="21"/>
                      <w:szCs w:val="21"/>
                      <w:highlight w:val="none"/>
                    </w:rPr>
                    <w:t>，防止流入下水道、排洪沟等限制性空间。小量泄漏：用砂土或其它不燃材料吸附或吸收。大量泄漏：构筑围堤或挖坑收容。</w:t>
                  </w:r>
                </w:p>
              </w:tc>
            </w:tr>
            <w:tr w14:paraId="28D7E06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tcBorders>
                    <w:tl2br w:val="nil"/>
                    <w:tr2bl w:val="nil"/>
                  </w:tcBorders>
                  <w:vAlign w:val="center"/>
                </w:tcPr>
                <w:p w14:paraId="4E9B9675">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pacing w:val="-2"/>
                      <w:sz w:val="21"/>
                      <w:szCs w:val="21"/>
                      <w:highlight w:val="none"/>
                    </w:rPr>
                    <w:t>储存</w:t>
                  </w:r>
                </w:p>
              </w:tc>
              <w:tc>
                <w:tcPr>
                  <w:tcW w:w="7539" w:type="dxa"/>
                  <w:gridSpan w:val="2"/>
                  <w:tcBorders>
                    <w:tl2br w:val="nil"/>
                    <w:tr2bl w:val="nil"/>
                  </w:tcBorders>
                  <w:vAlign w:val="center"/>
                </w:tcPr>
                <w:p w14:paraId="27EBE37D">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常温下室内储存，如露天存放需有遮阳防雨</w:t>
                  </w:r>
                  <w:r>
                    <w:rPr>
                      <w:rFonts w:ascii="Times New Roman" w:hAnsi="Times New Roman" w:eastAsia="宋体" w:cs="Times New Roman"/>
                      <w:color w:val="auto"/>
                      <w:spacing w:val="-2"/>
                      <w:sz w:val="21"/>
                      <w:szCs w:val="21"/>
                      <w:highlight w:val="none"/>
                    </w:rPr>
                    <w:t>措施。</w:t>
                  </w:r>
                </w:p>
              </w:tc>
            </w:tr>
            <w:tr w14:paraId="6B5AC4C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restart"/>
                  <w:tcBorders>
                    <w:tl2br w:val="nil"/>
                    <w:tr2bl w:val="nil"/>
                  </w:tcBorders>
                  <w:vAlign w:val="center"/>
                </w:tcPr>
                <w:p w14:paraId="7E17599B">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pacing w:val="-8"/>
                      <w:sz w:val="21"/>
                      <w:szCs w:val="21"/>
                      <w:highlight w:val="none"/>
                    </w:rPr>
                    <w:t>个体</w:t>
                  </w:r>
                  <w:r>
                    <w:rPr>
                      <w:rFonts w:ascii="Times New Roman" w:hAnsi="Times New Roman" w:eastAsia="宋体" w:cs="Times New Roman"/>
                      <w:b/>
                      <w:bCs/>
                      <w:color w:val="auto"/>
                      <w:spacing w:val="-5"/>
                      <w:sz w:val="21"/>
                      <w:szCs w:val="21"/>
                      <w:highlight w:val="none"/>
                    </w:rPr>
                    <w:t>防护</w:t>
                  </w:r>
                </w:p>
              </w:tc>
              <w:tc>
                <w:tcPr>
                  <w:tcW w:w="7539" w:type="dxa"/>
                  <w:gridSpan w:val="2"/>
                  <w:tcBorders>
                    <w:tl2br w:val="nil"/>
                    <w:tr2bl w:val="nil"/>
                  </w:tcBorders>
                  <w:vAlign w:val="center"/>
                </w:tcPr>
                <w:p w14:paraId="75289888">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3"/>
                      <w:sz w:val="21"/>
                      <w:szCs w:val="21"/>
                      <w:highlight w:val="none"/>
                    </w:rPr>
                    <w:t>呼吸系统防护：带防护口罩。</w:t>
                  </w:r>
                </w:p>
              </w:tc>
            </w:tr>
            <w:tr w14:paraId="71901B7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4D7EBA0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06320E0B">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2"/>
                      <w:sz w:val="21"/>
                      <w:szCs w:val="21"/>
                      <w:highlight w:val="none"/>
                    </w:rPr>
                    <w:t>眼睛防护：戴化学安全防护眼镜。</w:t>
                  </w:r>
                </w:p>
              </w:tc>
            </w:tr>
            <w:tr w14:paraId="67ECA77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463EE8B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4A0532ED">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身体防护：穿防毒物渗透工作服。</w:t>
                  </w:r>
                </w:p>
              </w:tc>
            </w:tr>
            <w:tr w14:paraId="0038F6E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456B282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55E8498D">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手防护：戴橡胶耐油手套。</w:t>
                  </w:r>
                </w:p>
              </w:tc>
            </w:tr>
            <w:tr w14:paraId="68DA699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465EEC6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7C398572">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7"/>
                      <w:sz w:val="21"/>
                      <w:szCs w:val="21"/>
                      <w:highlight w:val="none"/>
                    </w:rPr>
                    <w:t>其他防护：</w:t>
                  </w:r>
                </w:p>
              </w:tc>
            </w:tr>
            <w:tr w14:paraId="4A25368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restart"/>
                  <w:tcBorders>
                    <w:tl2br w:val="nil"/>
                    <w:tr2bl w:val="nil"/>
                  </w:tcBorders>
                  <w:vAlign w:val="center"/>
                </w:tcPr>
                <w:p w14:paraId="7485F6D3">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pacing w:val="-10"/>
                      <w:sz w:val="21"/>
                      <w:szCs w:val="21"/>
                      <w:highlight w:val="none"/>
                    </w:rPr>
                    <w:t>稳定</w:t>
                  </w:r>
                  <w:r>
                    <w:rPr>
                      <w:rFonts w:ascii="Times New Roman" w:hAnsi="Times New Roman" w:eastAsia="宋体" w:cs="Times New Roman"/>
                      <w:b/>
                      <w:bCs/>
                      <w:color w:val="auto"/>
                      <w:spacing w:val="-8"/>
                      <w:sz w:val="21"/>
                      <w:szCs w:val="21"/>
                      <w:highlight w:val="none"/>
                    </w:rPr>
                    <w:t>性和反应</w:t>
                  </w:r>
                  <w:r>
                    <w:rPr>
                      <w:rFonts w:ascii="Times New Roman" w:hAnsi="Times New Roman" w:eastAsia="宋体" w:cs="Times New Roman"/>
                      <w:b/>
                      <w:bCs/>
                      <w:color w:val="auto"/>
                      <w:spacing w:val="-2"/>
                      <w:sz w:val="21"/>
                      <w:szCs w:val="21"/>
                      <w:highlight w:val="none"/>
                    </w:rPr>
                    <w:t>活性</w:t>
                  </w:r>
                </w:p>
              </w:tc>
              <w:tc>
                <w:tcPr>
                  <w:tcW w:w="7539" w:type="dxa"/>
                  <w:gridSpan w:val="2"/>
                  <w:tcBorders>
                    <w:tl2br w:val="nil"/>
                    <w:tr2bl w:val="nil"/>
                  </w:tcBorders>
                  <w:vAlign w:val="center"/>
                </w:tcPr>
                <w:p w14:paraId="17CFDDA4">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3"/>
                      <w:sz w:val="21"/>
                      <w:szCs w:val="21"/>
                      <w:highlight w:val="none"/>
                    </w:rPr>
                    <w:t>稳定性：稳定。</w:t>
                  </w:r>
                </w:p>
              </w:tc>
            </w:tr>
            <w:tr w14:paraId="5BED2D5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1598BEF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63CE8270">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2"/>
                      <w:sz w:val="21"/>
                      <w:szCs w:val="21"/>
                      <w:highlight w:val="none"/>
                    </w:rPr>
                    <w:t>聚合危害：不会发生。</w:t>
                  </w:r>
                </w:p>
              </w:tc>
            </w:tr>
            <w:tr w14:paraId="5C609D5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vMerge w:val="continue"/>
                  <w:tcBorders>
                    <w:tl2br w:val="nil"/>
                    <w:tr2bl w:val="nil"/>
                  </w:tcBorders>
                  <w:vAlign w:val="center"/>
                </w:tcPr>
                <w:p w14:paraId="545B0D9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p>
              </w:tc>
              <w:tc>
                <w:tcPr>
                  <w:tcW w:w="7539" w:type="dxa"/>
                  <w:gridSpan w:val="2"/>
                  <w:tcBorders>
                    <w:tl2br w:val="nil"/>
                    <w:tr2bl w:val="nil"/>
                  </w:tcBorders>
                  <w:vAlign w:val="center"/>
                </w:tcPr>
                <w:p w14:paraId="6FDD32D0">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2"/>
                      <w:sz w:val="21"/>
                      <w:szCs w:val="21"/>
                      <w:highlight w:val="none"/>
                    </w:rPr>
                    <w:t>禁配物：酸、碱及强氧化剂。</w:t>
                  </w:r>
                </w:p>
              </w:tc>
            </w:tr>
            <w:tr w14:paraId="7D83E6D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tcBorders>
                    <w:tl2br w:val="nil"/>
                    <w:tr2bl w:val="nil"/>
                  </w:tcBorders>
                  <w:vAlign w:val="center"/>
                </w:tcPr>
                <w:p w14:paraId="0713565B">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pacing w:val="-9"/>
                      <w:sz w:val="21"/>
                      <w:szCs w:val="21"/>
                      <w:highlight w:val="none"/>
                    </w:rPr>
                    <w:t>废弃</w:t>
                  </w:r>
                  <w:r>
                    <w:rPr>
                      <w:rFonts w:ascii="Times New Roman" w:hAnsi="Times New Roman" w:eastAsia="宋体" w:cs="Times New Roman"/>
                      <w:b/>
                      <w:bCs/>
                      <w:color w:val="auto"/>
                      <w:spacing w:val="-3"/>
                      <w:sz w:val="21"/>
                      <w:szCs w:val="21"/>
                      <w:highlight w:val="none"/>
                    </w:rPr>
                    <w:t>处理</w:t>
                  </w:r>
                </w:p>
              </w:tc>
              <w:tc>
                <w:tcPr>
                  <w:tcW w:w="7539" w:type="dxa"/>
                  <w:gridSpan w:val="2"/>
                  <w:tcBorders>
                    <w:tl2br w:val="nil"/>
                    <w:tr2bl w:val="nil"/>
                  </w:tcBorders>
                  <w:vAlign w:val="center"/>
                </w:tcPr>
                <w:p w14:paraId="2B2A4310">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符合相关规定的可进行燃烧处理或重复利用，避免环境污染。</w:t>
                  </w:r>
                </w:p>
              </w:tc>
            </w:tr>
            <w:tr w14:paraId="1D87F05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24" w:type="dxa"/>
                  <w:tcBorders>
                    <w:tl2br w:val="nil"/>
                    <w:tr2bl w:val="nil"/>
                  </w:tcBorders>
                  <w:vAlign w:val="center"/>
                </w:tcPr>
                <w:p w14:paraId="6A290532">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pacing w:val="-2"/>
                      <w:sz w:val="21"/>
                      <w:szCs w:val="21"/>
                      <w:highlight w:val="none"/>
                    </w:rPr>
                    <w:t>运输</w:t>
                  </w:r>
                </w:p>
              </w:tc>
              <w:tc>
                <w:tcPr>
                  <w:tcW w:w="7539" w:type="dxa"/>
                  <w:gridSpan w:val="2"/>
                  <w:tcBorders>
                    <w:tl2br w:val="nil"/>
                    <w:tr2bl w:val="nil"/>
                  </w:tcBorders>
                  <w:vAlign w:val="center"/>
                </w:tcPr>
                <w:p w14:paraId="6E6337A6">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运输前应先检查包装容器是否完整、密封，运输过程中要确保容器不泄漏</w:t>
                  </w:r>
                  <w:r>
                    <w:rPr>
                      <w:rFonts w:ascii="Times New Roman" w:hAnsi="Times New Roman" w:eastAsia="宋体" w:cs="Times New Roman"/>
                      <w:color w:val="auto"/>
                      <w:spacing w:val="-1"/>
                      <w:sz w:val="21"/>
                      <w:szCs w:val="21"/>
                      <w:highlight w:val="none"/>
                    </w:rPr>
                    <w:t>、不坠落、不损坏。</w:t>
                  </w:r>
                  <w:r>
                    <w:rPr>
                      <w:rFonts w:ascii="Times New Roman" w:hAnsi="Times New Roman" w:eastAsia="宋体" w:cs="Times New Roman"/>
                      <w:color w:val="auto"/>
                      <w:sz w:val="21"/>
                      <w:szCs w:val="21"/>
                      <w:highlight w:val="none"/>
                    </w:rPr>
                    <w:t>运输时运输车辆应配备相应品种和数量的消防器材及泄漏应急处理设备。</w:t>
                  </w:r>
                  <w:r>
                    <w:rPr>
                      <w:rFonts w:ascii="Times New Roman" w:hAnsi="Times New Roman" w:eastAsia="宋体" w:cs="Times New Roman"/>
                      <w:color w:val="auto"/>
                      <w:spacing w:val="-1"/>
                      <w:sz w:val="21"/>
                      <w:szCs w:val="21"/>
                      <w:highlight w:val="none"/>
                    </w:rPr>
                    <w:t>夏季最好早晚运输。</w:t>
                  </w:r>
                  <w:r>
                    <w:rPr>
                      <w:rFonts w:ascii="Times New Roman" w:hAnsi="Times New Roman" w:eastAsia="宋体" w:cs="Times New Roman"/>
                      <w:color w:val="auto"/>
                      <w:sz w:val="21"/>
                      <w:szCs w:val="21"/>
                      <w:highlight w:val="none"/>
                    </w:rPr>
                    <w:t>运输时所用的槽（罐）车应有接地链，槽内可设孔隔板以减少震荡产生静</w:t>
                  </w:r>
                  <w:r>
                    <w:rPr>
                      <w:rFonts w:ascii="Times New Roman" w:hAnsi="Times New Roman" w:eastAsia="宋体" w:cs="Times New Roman"/>
                      <w:color w:val="auto"/>
                      <w:spacing w:val="-1"/>
                      <w:sz w:val="21"/>
                      <w:szCs w:val="21"/>
                      <w:highlight w:val="none"/>
                    </w:rPr>
                    <w:t>电。严禁与氧化剂、卤素、食用化学品等混装混运。运输途中应防曝晒、雨淋，防高温。中途停留时应远离火种、</w:t>
                  </w:r>
                  <w:r>
                    <w:rPr>
                      <w:rFonts w:ascii="Times New Roman" w:hAnsi="Times New Roman" w:eastAsia="宋体" w:cs="Times New Roman"/>
                      <w:color w:val="auto"/>
                      <w:sz w:val="21"/>
                      <w:szCs w:val="21"/>
                      <w:highlight w:val="none"/>
                    </w:rPr>
                    <w:t>热源、高温区。装运该物品的车辆排气管必须配备阻火装置，禁止使用易</w:t>
                  </w:r>
                  <w:r>
                    <w:rPr>
                      <w:rFonts w:ascii="Times New Roman" w:hAnsi="Times New Roman" w:eastAsia="宋体" w:cs="Times New Roman"/>
                      <w:color w:val="auto"/>
                      <w:spacing w:val="-1"/>
                      <w:sz w:val="21"/>
                      <w:szCs w:val="21"/>
                      <w:highlight w:val="none"/>
                    </w:rPr>
                    <w:t>产生火花的机械设备</w:t>
                  </w:r>
                  <w:r>
                    <w:rPr>
                      <w:rFonts w:ascii="Times New Roman" w:hAnsi="Times New Roman" w:eastAsia="宋体" w:cs="Times New Roman"/>
                      <w:color w:val="auto"/>
                      <w:sz w:val="21"/>
                      <w:szCs w:val="21"/>
                      <w:highlight w:val="none"/>
                    </w:rPr>
                    <w:t>和工具装卸。配装位置应远离卧室、厨房，并与电源、火源等部位隔离。</w:t>
                  </w:r>
                  <w:r>
                    <w:rPr>
                      <w:rFonts w:ascii="Times New Roman" w:hAnsi="Times New Roman" w:eastAsia="宋体" w:cs="Times New Roman"/>
                      <w:color w:val="auto"/>
                      <w:spacing w:val="-1"/>
                      <w:sz w:val="21"/>
                      <w:szCs w:val="21"/>
                      <w:highlight w:val="none"/>
                    </w:rPr>
                    <w:t>公路运输时要按规定</w:t>
                  </w:r>
                  <w:r>
                    <w:rPr>
                      <w:rFonts w:ascii="Times New Roman" w:hAnsi="Times New Roman" w:eastAsia="宋体" w:cs="Times New Roman"/>
                      <w:color w:val="auto"/>
                      <w:spacing w:val="-4"/>
                      <w:sz w:val="21"/>
                      <w:szCs w:val="21"/>
                      <w:highlight w:val="none"/>
                    </w:rPr>
                    <w:t>路线行驶。</w:t>
                  </w:r>
                </w:p>
              </w:tc>
            </w:tr>
          </w:tbl>
          <w:p w14:paraId="57327D12">
            <w:pPr>
              <w:pStyle w:val="25"/>
              <w:bidi w:val="0"/>
              <w:rPr>
                <w:color w:val="auto"/>
                <w:highlight w:val="none"/>
              </w:rPr>
            </w:pPr>
            <w:r>
              <w:rPr>
                <w:rFonts w:hint="eastAsia"/>
                <w:color w:val="auto"/>
                <w:highlight w:val="none"/>
              </w:rPr>
              <w:t>变压器油</w:t>
            </w:r>
            <w:r>
              <w:rPr>
                <w:rFonts w:hint="eastAsia"/>
                <w:color w:val="auto"/>
                <w:highlight w:val="none"/>
                <w:lang w:eastAsia="zh-CN"/>
              </w:rPr>
              <w:t>理化性质</w:t>
            </w:r>
          </w:p>
          <w:tbl>
            <w:tblPr>
              <w:tblStyle w:val="32"/>
              <w:tblW w:w="4995"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491"/>
              <w:gridCol w:w="7775"/>
            </w:tblGrid>
            <w:tr w14:paraId="124FD0B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485" w:type="dxa"/>
                  <w:tcBorders>
                    <w:tl2br w:val="nil"/>
                    <w:tr2bl w:val="nil"/>
                  </w:tcBorders>
                  <w:vAlign w:val="center"/>
                </w:tcPr>
                <w:p w14:paraId="4578C5E2">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b/>
                      <w:bCs/>
                      <w:color w:val="auto"/>
                      <w:spacing w:val="6"/>
                      <w:sz w:val="21"/>
                      <w:szCs w:val="21"/>
                      <w:highlight w:val="none"/>
                      <w:lang w:eastAsia="zh-CN"/>
                    </w:rPr>
                  </w:pPr>
                  <w:r>
                    <w:rPr>
                      <w:rFonts w:hint="eastAsia" w:ascii="Times New Roman" w:hAnsi="Times New Roman" w:eastAsia="宋体" w:cs="Times New Roman"/>
                      <w:b/>
                      <w:bCs/>
                      <w:color w:val="auto"/>
                      <w:spacing w:val="6"/>
                      <w:sz w:val="21"/>
                      <w:szCs w:val="21"/>
                      <w:highlight w:val="none"/>
                      <w:lang w:eastAsia="zh-CN"/>
                    </w:rPr>
                    <w:t>主要理化性质</w:t>
                  </w:r>
                </w:p>
              </w:tc>
              <w:tc>
                <w:tcPr>
                  <w:tcW w:w="7678" w:type="dxa"/>
                  <w:tcBorders>
                    <w:tl2br w:val="nil"/>
                    <w:tr2bl w:val="nil"/>
                  </w:tcBorders>
                  <w:vAlign w:val="center"/>
                </w:tcPr>
                <w:p w14:paraId="3318D591">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Times New Roman"/>
                      <w:b/>
                      <w:bCs/>
                      <w:color w:val="auto"/>
                      <w:spacing w:val="4"/>
                      <w:sz w:val="21"/>
                      <w:szCs w:val="21"/>
                      <w:highlight w:val="none"/>
                    </w:rPr>
                  </w:pPr>
                  <w:r>
                    <w:rPr>
                      <w:rFonts w:ascii="Times New Roman" w:hAnsi="Times New Roman" w:eastAsia="宋体" w:cs="Times New Roman"/>
                      <w:color w:val="auto"/>
                      <w:spacing w:val="8"/>
                      <w:sz w:val="21"/>
                      <w:szCs w:val="21"/>
                      <w:highlight w:val="none"/>
                    </w:rPr>
                    <w:t>主要成分为环烷烃（约</w:t>
                  </w:r>
                  <w:r>
                    <w:rPr>
                      <w:rFonts w:ascii="Times New Roman" w:hAnsi="Times New Roman" w:eastAsia="宋体" w:cs="Times New Roman"/>
                      <w:color w:val="auto"/>
                      <w:spacing w:val="5"/>
                      <w:sz w:val="21"/>
                      <w:szCs w:val="21"/>
                      <w:highlight w:val="none"/>
                    </w:rPr>
                    <w:t>占80%</w:t>
                  </w:r>
                  <w:r>
                    <w:rPr>
                      <w:rFonts w:ascii="Times New Roman" w:hAnsi="Times New Roman" w:eastAsia="宋体" w:cs="Times New Roman"/>
                      <w:color w:val="auto"/>
                      <w:spacing w:val="1"/>
                      <w:sz w:val="21"/>
                      <w:szCs w:val="21"/>
                      <w:highlight w:val="none"/>
                    </w:rPr>
                    <w:t>），</w:t>
                  </w:r>
                  <w:r>
                    <w:rPr>
                      <w:rFonts w:ascii="Times New Roman" w:hAnsi="Times New Roman" w:eastAsia="宋体" w:cs="Times New Roman"/>
                      <w:color w:val="auto"/>
                      <w:spacing w:val="5"/>
                      <w:sz w:val="21"/>
                      <w:szCs w:val="21"/>
                      <w:highlight w:val="none"/>
                    </w:rPr>
                    <w:t>浅黄色透明</w:t>
                  </w:r>
                  <w:r>
                    <w:rPr>
                      <w:rFonts w:ascii="Times New Roman" w:hAnsi="Times New Roman" w:eastAsia="宋体" w:cs="Times New Roman"/>
                      <w:color w:val="auto"/>
                      <w:spacing w:val="2"/>
                      <w:sz w:val="21"/>
                      <w:szCs w:val="21"/>
                      <w:highlight w:val="none"/>
                    </w:rPr>
                    <w:t>液体，凝固点&lt;-45℃,</w:t>
                  </w:r>
                  <w:r>
                    <w:rPr>
                      <w:rFonts w:ascii="Times New Roman" w:hAnsi="Times New Roman" w:eastAsia="宋体" w:cs="Times New Roman"/>
                      <w:color w:val="auto"/>
                      <w:spacing w:val="1"/>
                      <w:sz w:val="21"/>
                      <w:szCs w:val="21"/>
                      <w:highlight w:val="none"/>
                    </w:rPr>
                    <w:t>比热容约为0.5（卡/克*</w:t>
                  </w:r>
                  <w:r>
                    <w:rPr>
                      <w:rFonts w:ascii="Times New Roman" w:hAnsi="Times New Roman" w:eastAsia="宋体" w:cs="Times New Roman"/>
                      <w:color w:val="auto"/>
                      <w:spacing w:val="-2"/>
                      <w:sz w:val="21"/>
                      <w:szCs w:val="21"/>
                      <w:highlight w:val="none"/>
                    </w:rPr>
                    <w:t>度</w:t>
                  </w:r>
                  <w:r>
                    <w:rPr>
                      <w:rFonts w:ascii="Times New Roman" w:hAnsi="Times New Roman" w:eastAsia="宋体" w:cs="Times New Roman"/>
                      <w:color w:val="auto"/>
                      <w:spacing w:val="-48"/>
                      <w:w w:val="91"/>
                      <w:sz w:val="21"/>
                      <w:szCs w:val="21"/>
                      <w:highlight w:val="none"/>
                    </w:rPr>
                    <w:t>），</w:t>
                  </w:r>
                  <w:r>
                    <w:rPr>
                      <w:rFonts w:ascii="Times New Roman" w:hAnsi="Times New Roman" w:eastAsia="宋体" w:cs="Times New Roman"/>
                      <w:color w:val="auto"/>
                      <w:spacing w:val="-2"/>
                      <w:sz w:val="21"/>
                      <w:szCs w:val="21"/>
                      <w:highlight w:val="none"/>
                    </w:rPr>
                    <w:t>相对密度（水=1</w:t>
                  </w:r>
                  <w:r>
                    <w:rPr>
                      <w:rFonts w:ascii="Times New Roman" w:hAnsi="Times New Roman" w:eastAsia="宋体" w:cs="Times New Roman"/>
                      <w:color w:val="auto"/>
                      <w:spacing w:val="-48"/>
                      <w:w w:val="91"/>
                      <w:sz w:val="21"/>
                      <w:szCs w:val="21"/>
                      <w:highlight w:val="none"/>
                    </w:rPr>
                    <w:t>）：</w:t>
                  </w:r>
                  <w:r>
                    <w:rPr>
                      <w:rFonts w:ascii="Times New Roman" w:hAnsi="Times New Roman" w:eastAsia="宋体" w:cs="Times New Roman"/>
                      <w:color w:val="auto"/>
                      <w:spacing w:val="-2"/>
                      <w:sz w:val="21"/>
                      <w:szCs w:val="21"/>
                      <w:highlight w:val="none"/>
                    </w:rPr>
                    <w:t>0.895（20℃),相对密</w:t>
                  </w:r>
                  <w:r>
                    <w:rPr>
                      <w:rFonts w:ascii="Times New Roman" w:hAnsi="Times New Roman" w:eastAsia="宋体" w:cs="Times New Roman"/>
                      <w:color w:val="auto"/>
                      <w:spacing w:val="2"/>
                      <w:sz w:val="21"/>
                      <w:szCs w:val="21"/>
                      <w:highlight w:val="none"/>
                    </w:rPr>
                    <w:t>度（空气=1</w:t>
                  </w:r>
                  <w:r>
                    <w:rPr>
                      <w:rFonts w:ascii="Times New Roman" w:hAnsi="Times New Roman" w:eastAsia="宋体" w:cs="Times New Roman"/>
                      <w:color w:val="auto"/>
                      <w:spacing w:val="6"/>
                      <w:sz w:val="21"/>
                      <w:szCs w:val="21"/>
                      <w:highlight w:val="none"/>
                    </w:rPr>
                    <w:t>）：</w:t>
                  </w:r>
                  <w:r>
                    <w:rPr>
                      <w:rFonts w:ascii="Times New Roman" w:hAnsi="Times New Roman" w:eastAsia="宋体" w:cs="Times New Roman"/>
                      <w:color w:val="auto"/>
                      <w:spacing w:val="2"/>
                      <w:sz w:val="21"/>
                      <w:szCs w:val="21"/>
                      <w:highlight w:val="none"/>
                    </w:rPr>
                    <w:t>&gt;1，闪</w:t>
                  </w:r>
                  <w:r>
                    <w:rPr>
                      <w:rFonts w:ascii="Times New Roman" w:hAnsi="Times New Roman" w:eastAsia="宋体" w:cs="Times New Roman"/>
                      <w:color w:val="auto"/>
                      <w:spacing w:val="3"/>
                      <w:sz w:val="21"/>
                      <w:szCs w:val="21"/>
                      <w:highlight w:val="none"/>
                    </w:rPr>
                    <w:t>点：135℃,稳定性：</w:t>
                  </w:r>
                  <w:r>
                    <w:rPr>
                      <w:rFonts w:ascii="Times New Roman" w:hAnsi="Times New Roman" w:eastAsia="宋体" w:cs="Times New Roman"/>
                      <w:color w:val="auto"/>
                      <w:spacing w:val="8"/>
                      <w:sz w:val="21"/>
                      <w:szCs w:val="21"/>
                      <w:highlight w:val="none"/>
                    </w:rPr>
                    <w:t>稳定，溶解性：不与水混溶，可混溶于醚、氯</w:t>
                  </w:r>
                  <w:r>
                    <w:rPr>
                      <w:rFonts w:ascii="Times New Roman" w:hAnsi="Times New Roman" w:eastAsia="宋体" w:cs="Times New Roman"/>
                      <w:color w:val="auto"/>
                      <w:spacing w:val="7"/>
                      <w:sz w:val="21"/>
                      <w:szCs w:val="21"/>
                      <w:highlight w:val="none"/>
                    </w:rPr>
                    <w:t>仿、油等多数有机溶剂</w:t>
                  </w:r>
                </w:p>
              </w:tc>
            </w:tr>
            <w:tr w14:paraId="50BBFBD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485" w:type="dxa"/>
                  <w:tcBorders>
                    <w:tl2br w:val="nil"/>
                    <w:tr2bl w:val="nil"/>
                  </w:tcBorders>
                  <w:vAlign w:val="center"/>
                </w:tcPr>
                <w:p w14:paraId="42CF741C">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b/>
                      <w:bCs/>
                      <w:color w:val="auto"/>
                      <w:sz w:val="21"/>
                      <w:szCs w:val="21"/>
                      <w:highlight w:val="none"/>
                      <w:lang w:eastAsia="zh-CN"/>
                    </w:rPr>
                    <w:t>危害性</w:t>
                  </w:r>
                </w:p>
              </w:tc>
              <w:tc>
                <w:tcPr>
                  <w:tcW w:w="7678" w:type="dxa"/>
                  <w:tcBorders>
                    <w:tl2br w:val="nil"/>
                    <w:tr2bl w:val="nil"/>
                  </w:tcBorders>
                  <w:vAlign w:val="center"/>
                </w:tcPr>
                <w:p w14:paraId="6EEC5558">
                  <w:pPr>
                    <w:pStyle w:val="4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5"/>
                      <w:sz w:val="21"/>
                      <w:szCs w:val="21"/>
                      <w:highlight w:val="none"/>
                    </w:rPr>
                    <w:t>燃烧爆炸危险性：燃烧性：可燃，有害燃烧产物：</w:t>
                  </w:r>
                  <w:r>
                    <w:rPr>
                      <w:rFonts w:ascii="Times New Roman" w:hAnsi="Times New Roman" w:eastAsia="宋体" w:cs="Times New Roman"/>
                      <w:color w:val="auto"/>
                      <w:spacing w:val="9"/>
                      <w:sz w:val="21"/>
                      <w:szCs w:val="21"/>
                      <w:highlight w:val="none"/>
                    </w:rPr>
                    <w:t>一氧化碳、二氧化碳，危险特性：可燃，其蒸汽与空气可形成爆炸性混合物。遇明火、高热极易燃烧爆炸。与氧化剂能发生反应或引起燃烧。在</w:t>
                  </w:r>
                  <w:r>
                    <w:rPr>
                      <w:rFonts w:ascii="Times New Roman" w:hAnsi="Times New Roman" w:eastAsia="宋体" w:cs="Times New Roman"/>
                      <w:color w:val="auto"/>
                      <w:spacing w:val="5"/>
                      <w:sz w:val="21"/>
                      <w:szCs w:val="21"/>
                      <w:highlight w:val="none"/>
                    </w:rPr>
                    <w:t>火场中受热的容器有爆炸危险。其蒸汽比空气重，</w:t>
                  </w:r>
                  <w:r>
                    <w:rPr>
                      <w:rFonts w:ascii="Times New Roman" w:hAnsi="Times New Roman" w:eastAsia="宋体" w:cs="Times New Roman"/>
                      <w:color w:val="auto"/>
                      <w:spacing w:val="9"/>
                      <w:sz w:val="21"/>
                      <w:szCs w:val="21"/>
                      <w:highlight w:val="none"/>
                    </w:rPr>
                    <w:t>能在较低处扩散到相当远的地方，遇明火会引着</w:t>
                  </w:r>
                  <w:r>
                    <w:rPr>
                      <w:rFonts w:ascii="Times New Roman" w:hAnsi="Times New Roman" w:eastAsia="宋体" w:cs="Times New Roman"/>
                      <w:color w:val="auto"/>
                      <w:spacing w:val="8"/>
                      <w:sz w:val="21"/>
                      <w:szCs w:val="21"/>
                      <w:highlight w:val="none"/>
                    </w:rPr>
                    <w:t>回燃</w:t>
                  </w:r>
                  <w:r>
                    <w:rPr>
                      <w:rFonts w:ascii="Times New Roman" w:hAnsi="Times New Roman" w:eastAsia="宋体" w:cs="Times New Roman"/>
                      <w:color w:val="auto"/>
                      <w:spacing w:val="8"/>
                      <w:sz w:val="21"/>
                      <w:szCs w:val="21"/>
                      <w:highlight w:val="none"/>
                    </w:rPr>
                    <w:br w:type="textWrapping"/>
                  </w:r>
                  <w:r>
                    <w:rPr>
                      <w:rFonts w:ascii="Times New Roman" w:hAnsi="Times New Roman" w:eastAsia="宋体" w:cs="Times New Roman"/>
                      <w:color w:val="auto"/>
                      <w:spacing w:val="8"/>
                      <w:sz w:val="21"/>
                      <w:szCs w:val="21"/>
                      <w:highlight w:val="none"/>
                    </w:rPr>
                    <w:t>健康危害：空气中石油油雾限制值为5</w:t>
                  </w:r>
                  <w:r>
                    <w:rPr>
                      <w:rFonts w:ascii="Times New Roman" w:hAnsi="Times New Roman" w:eastAsia="宋体" w:cs="Times New Roman"/>
                      <w:color w:val="auto"/>
                      <w:sz w:val="21"/>
                      <w:szCs w:val="21"/>
                      <w:highlight w:val="none"/>
                    </w:rPr>
                    <w:t>mg</w:t>
                  </w:r>
                  <w:r>
                    <w:rPr>
                      <w:rFonts w:ascii="Times New Roman" w:hAnsi="Times New Roman" w:eastAsia="宋体" w:cs="Times New Roman"/>
                      <w:color w:val="auto"/>
                      <w:spacing w:val="8"/>
                      <w:sz w:val="21"/>
                      <w:szCs w:val="21"/>
                      <w:highlight w:val="none"/>
                    </w:rPr>
                    <w:t>/m</w:t>
                  </w:r>
                  <w:r>
                    <w:rPr>
                      <w:rFonts w:ascii="Times New Roman" w:hAnsi="Times New Roman" w:eastAsia="宋体" w:cs="Times New Roman"/>
                      <w:color w:val="auto"/>
                      <w:spacing w:val="8"/>
                      <w:position w:val="6"/>
                      <w:sz w:val="21"/>
                      <w:szCs w:val="21"/>
                      <w:highlight w:val="none"/>
                    </w:rPr>
                    <w:t>3</w:t>
                  </w:r>
                  <w:r>
                    <w:rPr>
                      <w:rFonts w:ascii="Times New Roman" w:hAnsi="Times New Roman" w:eastAsia="宋体" w:cs="Times New Roman"/>
                      <w:color w:val="auto"/>
                      <w:spacing w:val="8"/>
                      <w:sz w:val="21"/>
                      <w:szCs w:val="21"/>
                      <w:highlight w:val="none"/>
                    </w:rPr>
                    <w:t>，长期暴露和重复接触皮肤可引起皮肤刺</w:t>
                  </w:r>
                  <w:r>
                    <w:rPr>
                      <w:rFonts w:ascii="Times New Roman" w:hAnsi="Times New Roman" w:eastAsia="宋体" w:cs="Times New Roman"/>
                      <w:color w:val="auto"/>
                      <w:spacing w:val="10"/>
                      <w:sz w:val="21"/>
                      <w:szCs w:val="21"/>
                      <w:highlight w:val="none"/>
                    </w:rPr>
                    <w:t>激征状，眼及上呼吸道刺激征状；有口服毒性，</w:t>
                  </w:r>
                  <w:r>
                    <w:rPr>
                      <w:rFonts w:ascii="Times New Roman" w:hAnsi="Times New Roman" w:eastAsia="宋体" w:cs="Times New Roman"/>
                      <w:color w:val="auto"/>
                      <w:spacing w:val="9"/>
                      <w:sz w:val="21"/>
                      <w:szCs w:val="21"/>
                      <w:highlight w:val="none"/>
                    </w:rPr>
                    <w:t>大量油蒸汽吸入肺中时，会引起肺损伤，如浓度过高，几分钟即可引起呼吸困难等缺氧症状</w:t>
                  </w:r>
                </w:p>
              </w:tc>
            </w:tr>
          </w:tbl>
          <w:p w14:paraId="2950CAB4">
            <w:pPr>
              <w:pStyle w:val="25"/>
              <w:bidi w:val="0"/>
              <w:rPr>
                <w:color w:val="auto"/>
                <w:highlight w:val="none"/>
              </w:rPr>
            </w:pPr>
            <w:r>
              <w:rPr>
                <w:rFonts w:hint="eastAsia"/>
                <w:color w:val="auto"/>
                <w:highlight w:val="none"/>
                <w:shd w:val="clear" w:color="auto" w:fill="auto"/>
                <w:lang w:eastAsia="zh-CN"/>
              </w:rPr>
              <w:t>废空压机油、废汽轮机油、</w:t>
            </w:r>
            <w:r>
              <w:rPr>
                <w:rFonts w:hint="eastAsia"/>
                <w:color w:val="auto"/>
                <w:highlight w:val="none"/>
                <w:lang w:eastAsia="zh-CN"/>
              </w:rPr>
              <w:t>废润滑油理化性质</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9"/>
              <w:gridCol w:w="1075"/>
              <w:gridCol w:w="2586"/>
              <w:gridCol w:w="1745"/>
              <w:gridCol w:w="1961"/>
            </w:tblGrid>
            <w:tr w14:paraId="37CAB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l2br w:val="nil"/>
                    <w:tr2bl w:val="nil"/>
                  </w:tcBorders>
                  <w:noWrap w:val="0"/>
                  <w:vAlign w:val="center"/>
                </w:tcPr>
                <w:p w14:paraId="33D1BE14">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标识</w:t>
                  </w:r>
                </w:p>
              </w:tc>
              <w:tc>
                <w:tcPr>
                  <w:tcW w:w="4455" w:type="pct"/>
                  <w:gridSpan w:val="4"/>
                  <w:tcBorders>
                    <w:tl2br w:val="nil"/>
                    <w:tr2bl w:val="nil"/>
                  </w:tcBorders>
                  <w:noWrap w:val="0"/>
                  <w:vAlign w:val="center"/>
                </w:tcPr>
                <w:p w14:paraId="7469E223">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中文名：润滑油</w:t>
                  </w:r>
                </w:p>
              </w:tc>
            </w:tr>
            <w:tr w14:paraId="2E1865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vMerge w:val="restart"/>
                  <w:tcBorders>
                    <w:tl2br w:val="nil"/>
                    <w:tr2bl w:val="nil"/>
                  </w:tcBorders>
                  <w:noWrap w:val="0"/>
                  <w:vAlign w:val="center"/>
                </w:tcPr>
                <w:p w14:paraId="29D1FBF3">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lang w:val="en-US" w:eastAsia="zh-CN"/>
                    </w:rPr>
                    <w:t>燃烧爆炸危险</w:t>
                  </w:r>
                </w:p>
              </w:tc>
              <w:tc>
                <w:tcPr>
                  <w:tcW w:w="650" w:type="pct"/>
                  <w:tcBorders>
                    <w:tl2br w:val="nil"/>
                    <w:tr2bl w:val="nil"/>
                  </w:tcBorders>
                  <w:noWrap w:val="0"/>
                  <w:vAlign w:val="center"/>
                </w:tcPr>
                <w:p w14:paraId="1EB3B4E8">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危险特性</w:t>
                  </w:r>
                </w:p>
              </w:tc>
              <w:tc>
                <w:tcPr>
                  <w:tcW w:w="1564" w:type="pct"/>
                  <w:tcBorders>
                    <w:tl2br w:val="nil"/>
                    <w:tr2bl w:val="nil"/>
                  </w:tcBorders>
                  <w:noWrap w:val="0"/>
                  <w:vAlign w:val="center"/>
                </w:tcPr>
                <w:p w14:paraId="5235084C">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遇明火高热可燃</w:t>
                  </w:r>
                </w:p>
              </w:tc>
              <w:tc>
                <w:tcPr>
                  <w:tcW w:w="1055" w:type="pct"/>
                  <w:tcBorders>
                    <w:tl2br w:val="nil"/>
                    <w:tr2bl w:val="nil"/>
                  </w:tcBorders>
                  <w:noWrap w:val="0"/>
                  <w:vAlign w:val="center"/>
                </w:tcPr>
                <w:p w14:paraId="05921BCF">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燃烧分解物</w:t>
                  </w:r>
                </w:p>
              </w:tc>
              <w:tc>
                <w:tcPr>
                  <w:tcW w:w="1186" w:type="pct"/>
                  <w:tcBorders>
                    <w:tl2br w:val="nil"/>
                    <w:tr2bl w:val="nil"/>
                  </w:tcBorders>
                  <w:noWrap w:val="0"/>
                  <w:vAlign w:val="center"/>
                </w:tcPr>
                <w:p w14:paraId="640C1ED3">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CO，CO</w:t>
                  </w:r>
                  <w:r>
                    <w:rPr>
                      <w:rFonts w:hint="eastAsia" w:ascii="Times New Roman" w:hAnsi="Times New Roman" w:eastAsia="宋体" w:cs="Times New Roman"/>
                      <w:color w:val="auto"/>
                      <w:sz w:val="21"/>
                      <w:szCs w:val="21"/>
                      <w:highlight w:val="none"/>
                      <w:vertAlign w:val="subscript"/>
                      <w:lang w:val="en-US" w:eastAsia="zh-CN"/>
                    </w:rPr>
                    <w:t>2</w:t>
                  </w:r>
                </w:p>
              </w:tc>
            </w:tr>
            <w:tr w14:paraId="3D6F26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vMerge w:val="continue"/>
                  <w:tcBorders>
                    <w:tl2br w:val="nil"/>
                    <w:tr2bl w:val="nil"/>
                  </w:tcBorders>
                  <w:noWrap w:val="0"/>
                  <w:vAlign w:val="center"/>
                </w:tcPr>
                <w:p w14:paraId="04D3A59B">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bCs/>
                      <w:color w:val="auto"/>
                      <w:sz w:val="21"/>
                      <w:szCs w:val="21"/>
                      <w:highlight w:val="none"/>
                    </w:rPr>
                  </w:pPr>
                </w:p>
              </w:tc>
              <w:tc>
                <w:tcPr>
                  <w:tcW w:w="650" w:type="pct"/>
                  <w:tcBorders>
                    <w:tl2br w:val="nil"/>
                    <w:tr2bl w:val="nil"/>
                  </w:tcBorders>
                  <w:noWrap w:val="0"/>
                  <w:vAlign w:val="center"/>
                </w:tcPr>
                <w:p w14:paraId="35001C17">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稳定性</w:t>
                  </w:r>
                </w:p>
              </w:tc>
              <w:tc>
                <w:tcPr>
                  <w:tcW w:w="1564" w:type="pct"/>
                  <w:tcBorders>
                    <w:tl2br w:val="nil"/>
                    <w:tr2bl w:val="nil"/>
                  </w:tcBorders>
                  <w:noWrap w:val="0"/>
                  <w:vAlign w:val="center"/>
                </w:tcPr>
                <w:p w14:paraId="74636148">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稳定</w:t>
                  </w:r>
                </w:p>
              </w:tc>
              <w:tc>
                <w:tcPr>
                  <w:tcW w:w="1055" w:type="pct"/>
                  <w:tcBorders>
                    <w:tl2br w:val="nil"/>
                    <w:tr2bl w:val="nil"/>
                  </w:tcBorders>
                  <w:noWrap w:val="0"/>
                  <w:vAlign w:val="center"/>
                </w:tcPr>
                <w:p w14:paraId="5B622984">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聚合危害</w:t>
                  </w:r>
                </w:p>
              </w:tc>
              <w:tc>
                <w:tcPr>
                  <w:tcW w:w="1186" w:type="pct"/>
                  <w:tcBorders>
                    <w:tl2br w:val="nil"/>
                    <w:tr2bl w:val="nil"/>
                  </w:tcBorders>
                  <w:noWrap w:val="0"/>
                  <w:vAlign w:val="center"/>
                </w:tcPr>
                <w:p w14:paraId="00FB1B29">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不聚合</w:t>
                  </w:r>
                </w:p>
              </w:tc>
            </w:tr>
            <w:tr w14:paraId="387355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l2br w:val="nil"/>
                    <w:tr2bl w:val="nil"/>
                  </w:tcBorders>
                  <w:noWrap w:val="0"/>
                  <w:vAlign w:val="center"/>
                </w:tcPr>
                <w:p w14:paraId="46260D32">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灭火方法</w:t>
                  </w:r>
                </w:p>
              </w:tc>
              <w:tc>
                <w:tcPr>
                  <w:tcW w:w="4455" w:type="pct"/>
                  <w:gridSpan w:val="4"/>
                  <w:tcBorders>
                    <w:tl2br w:val="nil"/>
                    <w:tr2bl w:val="nil"/>
                  </w:tcBorders>
                  <w:noWrap w:val="0"/>
                  <w:vAlign w:val="center"/>
                </w:tcPr>
                <w:p w14:paraId="1A945FB8">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消防人员必须佩戴防毒面具、穿全身消防服，在上风向灭火。尽可能将容器从火场移至空旷处。喷水保持火场容器冷却，直至灭火结束。处在火场中的容器若已变色或从安全泄压装置中产生声音，必须立即撤离。灭火剂：雾状水、泡沫、干粉、二氧化碳、砂土。</w:t>
                  </w:r>
                </w:p>
              </w:tc>
            </w:tr>
            <w:tr w14:paraId="74AC5A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l2br w:val="nil"/>
                    <w:tr2bl w:val="nil"/>
                  </w:tcBorders>
                  <w:noWrap w:val="0"/>
                  <w:vAlign w:val="center"/>
                </w:tcPr>
                <w:p w14:paraId="0FEE3929">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健康危害</w:t>
                  </w:r>
                </w:p>
              </w:tc>
              <w:tc>
                <w:tcPr>
                  <w:tcW w:w="4455" w:type="pct"/>
                  <w:gridSpan w:val="4"/>
                  <w:tcBorders>
                    <w:tl2br w:val="nil"/>
                    <w:tr2bl w:val="nil"/>
                  </w:tcBorders>
                  <w:noWrap w:val="0"/>
                  <w:vAlign w:val="center"/>
                </w:tcPr>
                <w:p w14:paraId="6ED618C2">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侵入途径：吸入、食入</w:t>
                  </w:r>
                </w:p>
                <w:p w14:paraId="6BDF6583">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急性吸入，可出现乏力、头晕、头痛、恶心，严重者可引起油脂性肺炎。慢接触者，暴露部位可发生油性痤疮和接触性皮炎。可引发神经衰弱综合症，呼吸道和眼刺激症状及慢性油脂性肺炎。</w:t>
                  </w:r>
                </w:p>
              </w:tc>
            </w:tr>
            <w:tr w14:paraId="5AF083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l2br w:val="nil"/>
                    <w:tr2bl w:val="nil"/>
                  </w:tcBorders>
                  <w:noWrap w:val="0"/>
                  <w:vAlign w:val="center"/>
                </w:tcPr>
                <w:p w14:paraId="47AB5A82">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急救措施</w:t>
                  </w:r>
                </w:p>
              </w:tc>
              <w:tc>
                <w:tcPr>
                  <w:tcW w:w="4455" w:type="pct"/>
                  <w:gridSpan w:val="4"/>
                  <w:tcBorders>
                    <w:tl2br w:val="nil"/>
                    <w:tr2bl w:val="nil"/>
                  </w:tcBorders>
                  <w:noWrap w:val="0"/>
                  <w:vAlign w:val="center"/>
                </w:tcPr>
                <w:p w14:paraId="072BCF5D">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皮肤接触：脱去污染的衣着，用大量流动清水清洗。就医。</w:t>
                  </w:r>
                </w:p>
                <w:p w14:paraId="7E79B2B8">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眼接触：提起眼睑，用流动清水或生理盐水冲洗。就医。</w:t>
                  </w:r>
                </w:p>
                <w:p w14:paraId="4EFA3D4D">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吸入：迅速脱离现场至空气新鲜处，保持呼吸通畅。如呼吸困难，给输氧。如呼吸停止，立即进行人工呼吸。就医。</w:t>
                  </w:r>
                </w:p>
                <w:p w14:paraId="40D3DAE6">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食用：饮适量温水，催吐。就医。</w:t>
                  </w:r>
                </w:p>
              </w:tc>
            </w:tr>
            <w:tr w14:paraId="44A41A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l2br w:val="nil"/>
                    <w:tr2bl w:val="nil"/>
                  </w:tcBorders>
                  <w:noWrap w:val="0"/>
                  <w:vAlign w:val="center"/>
                </w:tcPr>
                <w:p w14:paraId="0BD590CE">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防护处理</w:t>
                  </w:r>
                </w:p>
              </w:tc>
              <w:tc>
                <w:tcPr>
                  <w:tcW w:w="4455" w:type="pct"/>
                  <w:gridSpan w:val="4"/>
                  <w:tcBorders>
                    <w:tl2br w:val="nil"/>
                    <w:tr2bl w:val="nil"/>
                  </w:tcBorders>
                  <w:noWrap w:val="0"/>
                  <w:vAlign w:val="center"/>
                </w:tcPr>
                <w:p w14:paraId="7B233CC3">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呼吸系统防护：空气中浓度超标时，必须佩戴自吸过滤式防毒面具（半面罩）；紧急事态抢救或撤离时，应佩戴空气呼吸器。</w:t>
                  </w:r>
                </w:p>
                <w:p w14:paraId="3A1384BC">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眼睛防护：戴化学安全防护眼镜。</w:t>
                  </w:r>
                </w:p>
                <w:p w14:paraId="1F66E0A9">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身体防护：穿防毒渗透工作服。</w:t>
                  </w:r>
                </w:p>
                <w:p w14:paraId="0629852A">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手防护：戴橡胶耐油手套。</w:t>
                  </w:r>
                </w:p>
                <w:p w14:paraId="437408C9">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其他：工作现场严禁吸烟，避免长期反复接触。</w:t>
                  </w:r>
                </w:p>
              </w:tc>
            </w:tr>
            <w:tr w14:paraId="382531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l2br w:val="nil"/>
                    <w:tr2bl w:val="nil"/>
                  </w:tcBorders>
                  <w:noWrap w:val="0"/>
                  <w:vAlign w:val="center"/>
                </w:tcPr>
                <w:p w14:paraId="4F76D24A">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泄漏处理</w:t>
                  </w:r>
                </w:p>
              </w:tc>
              <w:tc>
                <w:tcPr>
                  <w:tcW w:w="4455" w:type="pct"/>
                  <w:gridSpan w:val="4"/>
                  <w:tcBorders>
                    <w:tl2br w:val="nil"/>
                    <w:tr2bl w:val="nil"/>
                  </w:tcBorders>
                  <w:noWrap w:val="0"/>
                  <w:vAlign w:val="center"/>
                </w:tcPr>
                <w:p w14:paraId="3E7B220A">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迅速撤离泄漏污染区人员至安全区，并进行隔离，严格限制出入。切断火源。建议应急处理人员戴自给正式呼吸器，穿防毒服。尽可能切断泄漏源。防止流入下水道、排洪沟等限制性空间。小量泄漏：用砂土或其他不燃材料吸附或吸收，减少挥发。大量泄漏：构筑围堤或挖坑收容。用泵转移至槽车或专用收集器内，回收或运至废物处理场所处置。</w:t>
                  </w:r>
                </w:p>
              </w:tc>
            </w:tr>
            <w:tr w14:paraId="16FB1C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l2br w:val="nil"/>
                    <w:tr2bl w:val="nil"/>
                  </w:tcBorders>
                  <w:noWrap w:val="0"/>
                  <w:vAlign w:val="center"/>
                </w:tcPr>
                <w:p w14:paraId="14B42DA6">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储存要求</w:t>
                  </w:r>
                </w:p>
              </w:tc>
              <w:tc>
                <w:tcPr>
                  <w:tcW w:w="4455" w:type="pct"/>
                  <w:gridSpan w:val="4"/>
                  <w:tcBorders>
                    <w:tl2br w:val="nil"/>
                    <w:tr2bl w:val="nil"/>
                  </w:tcBorders>
                  <w:noWrap w:val="0"/>
                  <w:vAlign w:val="center"/>
                </w:tcPr>
                <w:p w14:paraId="13B2A888">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储存于阴凉、通风的库房。远离火种、热源。应与氧化剂分开存放，切忌混储。配备相应品种和数量的消防器材。储区应备有泄漏应急处理设备和合适的收容材料。</w:t>
                  </w:r>
                </w:p>
              </w:tc>
            </w:tr>
            <w:tr w14:paraId="1521DF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l2br w:val="nil"/>
                    <w:tr2bl w:val="nil"/>
                  </w:tcBorders>
                  <w:noWrap w:val="0"/>
                  <w:vAlign w:val="center"/>
                </w:tcPr>
                <w:p w14:paraId="0F428F1C">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运输要求</w:t>
                  </w:r>
                </w:p>
              </w:tc>
              <w:tc>
                <w:tcPr>
                  <w:tcW w:w="4455" w:type="pct"/>
                  <w:gridSpan w:val="4"/>
                  <w:tcBorders>
                    <w:tl2br w:val="nil"/>
                    <w:tr2bl w:val="nil"/>
                  </w:tcBorders>
                  <w:noWrap w:val="0"/>
                  <w:vAlign w:val="center"/>
                </w:tcPr>
                <w:p w14:paraId="5A532A2A">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用油罐、油罐车、油船、铁桶、塑料桶等盛装，盛装时切不可装满，要留出必要的安全空间。</w:t>
                  </w:r>
                </w:p>
                <w:p w14:paraId="656B674A">
                  <w:pPr>
                    <w:pStyle w:val="23"/>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运输前先检查包装容器是否完整、密封，运输过程中要确保容器不泄漏、不倒塌、不坠落、不损坏。禁止与氧化剂、食用化学品等混装混运。运输车船必须彻底清洗、消毒，否则不得装运其他物品。船运时，配装位置应远离卧室、厨房，并与机舱、电源、火源等部位撤离。公路运输时要按照规定路线行驶。</w:t>
                  </w:r>
                </w:p>
              </w:tc>
            </w:tr>
          </w:tbl>
          <w:p w14:paraId="049BBBE2">
            <w:pPr>
              <w:bidi w:val="0"/>
              <w:rPr>
                <w:rFonts w:hint="default"/>
                <w:b/>
                <w:bCs/>
                <w:color w:val="auto"/>
                <w:highlight w:val="none"/>
              </w:rPr>
            </w:pPr>
            <w:r>
              <w:rPr>
                <w:rFonts w:hint="eastAsia"/>
                <w:b/>
                <w:bCs/>
                <w:color w:val="auto"/>
                <w:highlight w:val="none"/>
                <w:lang w:val="en-US" w:eastAsia="zh-CN"/>
              </w:rPr>
              <w:t>7</w:t>
            </w:r>
            <w:r>
              <w:rPr>
                <w:b/>
                <w:bCs/>
                <w:color w:val="auto"/>
                <w:highlight w:val="none"/>
              </w:rPr>
              <w:t>公用工程</w:t>
            </w:r>
          </w:p>
          <w:p w14:paraId="65836FDE">
            <w:pPr>
              <w:bidi w:val="0"/>
              <w:rPr>
                <w:rFonts w:hint="default"/>
                <w:b/>
                <w:bCs/>
                <w:color w:val="auto"/>
                <w:highlight w:val="none"/>
              </w:rPr>
            </w:pPr>
            <w:r>
              <w:rPr>
                <w:rFonts w:hint="eastAsia"/>
                <w:b/>
                <w:bCs/>
                <w:color w:val="auto"/>
                <w:highlight w:val="none"/>
                <w:lang w:val="en-US" w:eastAsia="zh-CN"/>
              </w:rPr>
              <w:t>7</w:t>
            </w:r>
            <w:r>
              <w:rPr>
                <w:b/>
                <w:bCs/>
                <w:color w:val="auto"/>
                <w:highlight w:val="none"/>
              </w:rPr>
              <w:t>.1给</w:t>
            </w:r>
            <w:r>
              <w:rPr>
                <w:rFonts w:hint="eastAsia"/>
                <w:b/>
                <w:bCs/>
                <w:color w:val="auto"/>
                <w:highlight w:val="none"/>
                <w:lang w:eastAsia="zh-CN"/>
              </w:rPr>
              <w:t>排</w:t>
            </w:r>
            <w:r>
              <w:rPr>
                <w:b/>
                <w:bCs/>
                <w:color w:val="auto"/>
                <w:highlight w:val="none"/>
              </w:rPr>
              <w:t>水</w:t>
            </w:r>
          </w:p>
          <w:p w14:paraId="63178775">
            <w:pPr>
              <w:bidi w:val="0"/>
              <w:rPr>
                <w:color w:val="auto"/>
                <w:highlight w:val="none"/>
              </w:rPr>
            </w:pPr>
            <w:r>
              <w:rPr>
                <w:rFonts w:hint="eastAsia"/>
                <w:b w:val="0"/>
                <w:bCs w:val="0"/>
                <w:color w:val="auto"/>
                <w:highlight w:val="none"/>
              </w:rPr>
              <w:t>生活用水</w:t>
            </w:r>
            <w:r>
              <w:rPr>
                <w:rFonts w:hint="eastAsia"/>
                <w:b w:val="0"/>
                <w:bCs w:val="0"/>
                <w:color w:val="auto"/>
                <w:highlight w:val="none"/>
                <w:lang w:eastAsia="zh-CN"/>
              </w:rPr>
              <w:t>：</w:t>
            </w:r>
            <w:r>
              <w:rPr>
                <w:rFonts w:hint="eastAsia"/>
                <w:b w:val="0"/>
                <w:bCs w:val="0"/>
                <w:color w:val="auto"/>
                <w:highlight w:val="none"/>
              </w:rPr>
              <w:t>项目员</w:t>
            </w:r>
            <w:r>
              <w:rPr>
                <w:rFonts w:hint="eastAsia"/>
                <w:color w:val="auto"/>
                <w:highlight w:val="none"/>
              </w:rPr>
              <w:t>工均为北票发电有限责任公司内部调配，不新增员工，不新增生活用水</w:t>
            </w:r>
            <w:r>
              <w:rPr>
                <w:rFonts w:hint="eastAsia"/>
                <w:color w:val="auto"/>
                <w:highlight w:val="none"/>
                <w:lang w:eastAsia="zh-CN"/>
              </w:rPr>
              <w:t>用量和排放量</w:t>
            </w:r>
            <w:r>
              <w:rPr>
                <w:rFonts w:hint="eastAsia"/>
                <w:color w:val="auto"/>
                <w:highlight w:val="none"/>
              </w:rPr>
              <w:t>。</w:t>
            </w:r>
          </w:p>
          <w:p w14:paraId="7A8C14A8">
            <w:pPr>
              <w:bidi w:val="0"/>
              <w:rPr>
                <w:rFonts w:hint="default"/>
                <w:b/>
                <w:bCs/>
                <w:color w:val="auto"/>
                <w:highlight w:val="none"/>
              </w:rPr>
            </w:pPr>
            <w:r>
              <w:rPr>
                <w:rFonts w:hint="eastAsia"/>
                <w:b/>
                <w:bCs/>
                <w:color w:val="auto"/>
                <w:highlight w:val="none"/>
                <w:lang w:val="en-US" w:eastAsia="zh-CN"/>
              </w:rPr>
              <w:t>7</w:t>
            </w:r>
            <w:r>
              <w:rPr>
                <w:b/>
                <w:bCs/>
                <w:color w:val="auto"/>
                <w:highlight w:val="none"/>
              </w:rPr>
              <w:t>.2供电</w:t>
            </w:r>
          </w:p>
          <w:p w14:paraId="6B01726E">
            <w:pPr>
              <w:bidi w:val="0"/>
              <w:rPr>
                <w:color w:val="auto"/>
                <w:highlight w:val="none"/>
              </w:rPr>
            </w:pPr>
            <w:r>
              <w:rPr>
                <w:rFonts w:hint="eastAsia"/>
                <w:color w:val="auto"/>
                <w:highlight w:val="none"/>
              </w:rPr>
              <w:t>项目由北票发电有限责任公司供电。</w:t>
            </w:r>
          </w:p>
          <w:p w14:paraId="318FDA7A">
            <w:pPr>
              <w:bidi w:val="0"/>
              <w:rPr>
                <w:rFonts w:hint="default"/>
                <w:b/>
                <w:bCs/>
                <w:color w:val="auto"/>
                <w:highlight w:val="none"/>
              </w:rPr>
            </w:pPr>
            <w:r>
              <w:rPr>
                <w:rFonts w:hint="eastAsia"/>
                <w:b/>
                <w:bCs/>
                <w:color w:val="auto"/>
                <w:highlight w:val="none"/>
                <w:lang w:val="en-US" w:eastAsia="zh-CN"/>
              </w:rPr>
              <w:t>7</w:t>
            </w:r>
            <w:r>
              <w:rPr>
                <w:b/>
                <w:bCs/>
                <w:color w:val="auto"/>
                <w:highlight w:val="none"/>
              </w:rPr>
              <w:t>.</w:t>
            </w:r>
            <w:r>
              <w:rPr>
                <w:rFonts w:hint="eastAsia"/>
                <w:b/>
                <w:bCs/>
                <w:color w:val="auto"/>
                <w:highlight w:val="none"/>
                <w:lang w:val="en-US" w:eastAsia="zh-CN"/>
              </w:rPr>
              <w:t>3</w:t>
            </w:r>
            <w:r>
              <w:rPr>
                <w:b/>
                <w:bCs/>
                <w:color w:val="auto"/>
                <w:highlight w:val="none"/>
              </w:rPr>
              <w:t>取暖</w:t>
            </w:r>
          </w:p>
          <w:p w14:paraId="76BD3F2D">
            <w:pPr>
              <w:bidi w:val="0"/>
              <w:rPr>
                <w:color w:val="auto"/>
                <w:highlight w:val="none"/>
              </w:rPr>
            </w:pPr>
            <w:r>
              <w:rPr>
                <w:rFonts w:hint="eastAsia"/>
                <w:color w:val="auto"/>
                <w:highlight w:val="none"/>
              </w:rPr>
              <w:t>项目</w:t>
            </w:r>
            <w:r>
              <w:rPr>
                <w:rFonts w:hint="eastAsia"/>
                <w:color w:val="auto"/>
                <w:highlight w:val="none"/>
                <w:lang w:eastAsia="zh-CN"/>
              </w:rPr>
              <w:t>危险废物贮存点</w:t>
            </w:r>
            <w:r>
              <w:rPr>
                <w:rFonts w:hint="eastAsia"/>
                <w:color w:val="auto"/>
                <w:highlight w:val="none"/>
              </w:rPr>
              <w:t>内不取暖。</w:t>
            </w:r>
          </w:p>
          <w:p w14:paraId="552D9EC7">
            <w:pPr>
              <w:bidi w:val="0"/>
              <w:rPr>
                <w:rFonts w:hint="default"/>
                <w:b/>
                <w:bCs/>
                <w:color w:val="auto"/>
                <w:highlight w:val="none"/>
              </w:rPr>
            </w:pPr>
            <w:r>
              <w:rPr>
                <w:rFonts w:hint="eastAsia"/>
                <w:b/>
                <w:bCs/>
                <w:color w:val="auto"/>
                <w:highlight w:val="none"/>
                <w:lang w:val="en-US" w:eastAsia="zh-CN"/>
              </w:rPr>
              <w:t>8</w:t>
            </w:r>
            <w:r>
              <w:rPr>
                <w:b/>
                <w:bCs/>
                <w:color w:val="auto"/>
                <w:highlight w:val="none"/>
              </w:rPr>
              <w:t>工作人员及制度</w:t>
            </w:r>
          </w:p>
          <w:p w14:paraId="523114D4">
            <w:pPr>
              <w:bidi w:val="0"/>
              <w:rPr>
                <w:color w:val="auto"/>
                <w:highlight w:val="none"/>
              </w:rPr>
            </w:pPr>
            <w:r>
              <w:rPr>
                <w:rFonts w:hint="eastAsia"/>
                <w:color w:val="auto"/>
                <w:highlight w:val="none"/>
              </w:rPr>
              <w:t>本项目不新增员工，由公司调配，劳动定员2人，年工作300天，危险废物收集转运工作仅昼间操作。</w:t>
            </w:r>
          </w:p>
          <w:p w14:paraId="3FF8EF5E">
            <w:pPr>
              <w:bidi w:val="0"/>
              <w:rPr>
                <w:rFonts w:hint="default"/>
                <w:b/>
                <w:bCs/>
                <w:color w:val="auto"/>
                <w:highlight w:val="none"/>
              </w:rPr>
            </w:pPr>
            <w:r>
              <w:rPr>
                <w:rFonts w:hint="eastAsia"/>
                <w:b/>
                <w:bCs/>
                <w:color w:val="auto"/>
                <w:highlight w:val="none"/>
                <w:lang w:val="en-US" w:eastAsia="zh-CN"/>
              </w:rPr>
              <w:t>9</w:t>
            </w:r>
            <w:r>
              <w:rPr>
                <w:b/>
                <w:bCs/>
                <w:color w:val="auto"/>
                <w:highlight w:val="none"/>
              </w:rPr>
              <w:t>厂区平面布置图</w:t>
            </w:r>
          </w:p>
          <w:p w14:paraId="08286EAC">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本项目</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平面布置图见附图</w:t>
            </w:r>
            <w:r>
              <w:rPr>
                <w:rFonts w:hint="eastAsia" w:eastAsia="宋体" w:cs="Times New Roman"/>
                <w:color w:val="auto"/>
                <w:sz w:val="24"/>
                <w:szCs w:val="24"/>
                <w:highlight w:val="none"/>
                <w:lang w:val="en-US" w:eastAsia="zh-CN"/>
              </w:rPr>
              <w:t>3</w:t>
            </w:r>
            <w:r>
              <w:rPr>
                <w:rFonts w:hint="eastAsia" w:ascii="Times New Roman" w:hAnsi="Times New Roman" w:eastAsia="Times New Roman" w:cs="Times New Roman"/>
                <w:color w:val="auto"/>
                <w:sz w:val="24"/>
                <w:szCs w:val="24"/>
                <w:highlight w:val="none"/>
              </w:rPr>
              <w:t>。</w:t>
            </w:r>
          </w:p>
        </w:tc>
      </w:tr>
      <w:tr w14:paraId="3E717A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2" w:hRule="atLeast"/>
          <w:jc w:val="center"/>
        </w:trPr>
        <w:tc>
          <w:tcPr>
            <w:tcW w:w="354" w:type="dxa"/>
            <w:vAlign w:val="center"/>
          </w:tcPr>
          <w:p w14:paraId="6C8E13BD">
            <w:pPr>
              <w:keepNext w:val="0"/>
              <w:keepLines w:val="0"/>
              <w:pageBreakBefore w:val="0"/>
              <w:kinsoku/>
              <w:wordWrap/>
              <w:overflowPunct/>
              <w:autoSpaceDE/>
              <w:autoSpaceDN/>
              <w:bidi w:val="0"/>
              <w:adjustRightInd w:val="0"/>
              <w:snapToGrid w:val="0"/>
              <w:spacing w:line="240" w:lineRule="auto"/>
              <w:ind w:firstLine="0" w:firstLineChars="0"/>
              <w:jc w:val="both"/>
              <w:rPr>
                <w:rFonts w:cs="宋体"/>
                <w:color w:val="auto"/>
                <w:sz w:val="21"/>
                <w:szCs w:val="21"/>
                <w:highlight w:val="none"/>
              </w:rPr>
            </w:pPr>
            <w:r>
              <w:rPr>
                <w:rFonts w:hint="eastAsia"/>
                <w:b/>
                <w:bCs/>
                <w:color w:val="auto"/>
                <w:szCs w:val="22"/>
                <w:highlight w:val="none"/>
              </w:rPr>
              <w:t>工艺流程和产排污环节</w:t>
            </w:r>
          </w:p>
        </w:tc>
        <w:tc>
          <w:tcPr>
            <w:tcW w:w="8490" w:type="dxa"/>
          </w:tcPr>
          <w:p w14:paraId="21981F1E">
            <w:pPr>
              <w:bidi w:val="0"/>
              <w:rPr>
                <w:rFonts w:hint="default"/>
                <w:b/>
                <w:bCs/>
                <w:color w:val="auto"/>
                <w:highlight w:val="none"/>
              </w:rPr>
            </w:pPr>
            <w:r>
              <w:rPr>
                <w:b/>
                <w:bCs/>
                <w:color w:val="auto"/>
                <w:highlight w:val="none"/>
              </w:rPr>
              <w:t>1施工期</w:t>
            </w:r>
          </w:p>
          <w:p w14:paraId="7DFE32EB">
            <w:pPr>
              <w:bidi w:val="0"/>
              <w:rPr>
                <w:rFonts w:hint="eastAsia"/>
                <w:color w:val="auto"/>
                <w:highlight w:val="none"/>
                <w:lang w:eastAsia="zh-CN"/>
              </w:rPr>
            </w:pPr>
            <w:r>
              <w:rPr>
                <w:rFonts w:hint="eastAsia"/>
                <w:color w:val="auto"/>
                <w:highlight w:val="none"/>
                <w:lang w:eastAsia="zh-CN"/>
              </w:rPr>
              <w:t>本项目施工前，北票发电有限责任公司已将原有危废暂存点危险废物全部转移，现场无危险废物留存；且企业迄今为止并未开展新一轮的生产及设备维护检修，未产生新的危险废物。</w:t>
            </w:r>
          </w:p>
          <w:p w14:paraId="52BAB300">
            <w:pPr>
              <w:bidi w:val="0"/>
              <w:rPr>
                <w:color w:val="auto"/>
                <w:highlight w:val="none"/>
              </w:rPr>
            </w:pPr>
            <w:r>
              <w:rPr>
                <w:rFonts w:hint="eastAsia"/>
                <w:color w:val="auto"/>
                <w:highlight w:val="none"/>
                <w:lang w:eastAsia="zh-CN"/>
              </w:rPr>
              <w:t>本</w:t>
            </w:r>
            <w:r>
              <w:rPr>
                <w:rFonts w:hint="eastAsia"/>
                <w:color w:val="auto"/>
                <w:highlight w:val="none"/>
              </w:rPr>
              <w:t>项目利用北票发电有限责任公司闲置库房进行改造，</w:t>
            </w:r>
            <w:r>
              <w:rPr>
                <w:rFonts w:hint="eastAsia"/>
                <w:color w:val="auto"/>
                <w:highlight w:val="none"/>
                <w:lang w:val="en-US" w:eastAsia="zh-CN"/>
              </w:rPr>
              <w:t>施工过程为挖掘集液池、分区、防渗处理、设备安装等，且</w:t>
            </w:r>
            <w:r>
              <w:rPr>
                <w:rFonts w:hint="eastAsia"/>
                <w:color w:val="auto"/>
                <w:highlight w:val="none"/>
              </w:rPr>
              <w:t>项目施工期时间</w:t>
            </w:r>
            <w:r>
              <w:rPr>
                <w:rFonts w:hint="eastAsia"/>
                <w:color w:val="auto"/>
                <w:highlight w:val="none"/>
                <w:lang w:val="en-US" w:eastAsia="zh-CN"/>
              </w:rPr>
              <w:t>很</w:t>
            </w:r>
            <w:r>
              <w:rPr>
                <w:rFonts w:hint="eastAsia"/>
                <w:color w:val="auto"/>
                <w:highlight w:val="none"/>
              </w:rPr>
              <w:t>短。施工期主要污染物为施工噪声</w:t>
            </w:r>
            <w:r>
              <w:rPr>
                <w:rFonts w:hint="eastAsia"/>
                <w:color w:val="auto"/>
                <w:highlight w:val="none"/>
                <w:lang w:eastAsia="zh-CN"/>
              </w:rPr>
              <w:t>、</w:t>
            </w:r>
            <w:r>
              <w:rPr>
                <w:rFonts w:hint="eastAsia"/>
                <w:color w:val="auto"/>
                <w:highlight w:val="none"/>
                <w:lang w:val="en-US" w:eastAsia="zh-CN"/>
              </w:rPr>
              <w:t>施工扬尘、施工固废，施工人员生活的生活垃圾和生活污水。</w:t>
            </w:r>
          </w:p>
          <w:p w14:paraId="4DC9392B">
            <w:pPr>
              <w:bidi w:val="0"/>
              <w:rPr>
                <w:rFonts w:hint="default"/>
                <w:b/>
                <w:bCs/>
                <w:color w:val="auto"/>
                <w:highlight w:val="none"/>
              </w:rPr>
            </w:pPr>
            <w:r>
              <w:rPr>
                <w:rFonts w:hint="default"/>
                <w:b/>
                <w:bCs/>
                <w:color w:val="auto"/>
                <w:highlight w:val="none"/>
              </w:rPr>
              <mc:AlternateContent>
                <mc:Choice Requires="wpc">
                  <w:drawing>
                    <wp:inline distT="0" distB="0" distL="114300" distR="114300">
                      <wp:extent cx="4599940" cy="1489710"/>
                      <wp:effectExtent l="0" t="0" r="0" b="0"/>
                      <wp:docPr id="22" name="画布 22"/>
                      <wp:cNvGraphicFramePr/>
                      <a:graphic xmlns:a="http://schemas.openxmlformats.org/drawingml/2006/main">
                        <a:graphicData uri="http://schemas.microsoft.com/office/word/2010/wordprocessingCanvas">
                          <wpc:wpc>
                            <wpc:bg/>
                            <wpc:whole/>
                            <wps:wsp>
                              <wps:cNvPr id="160" name="文本框 48"/>
                              <wps:cNvSpPr txBox="1"/>
                              <wps:spPr>
                                <a:xfrm>
                                  <a:off x="1482725" y="500380"/>
                                  <a:ext cx="672465" cy="2501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F691C40">
                                    <w:pPr>
                                      <w:adjustRightInd w:val="0"/>
                                      <w:snapToGrid w:val="0"/>
                                      <w:ind w:left="0" w:leftChars="0" w:firstLine="0" w:firstLineChars="0"/>
                                      <w:jc w:val="both"/>
                                      <w:rPr>
                                        <w:rFonts w:hint="eastAsia" w:eastAsia="宋体"/>
                                        <w:sz w:val="18"/>
                                        <w:szCs w:val="18"/>
                                        <w:lang w:val="en-US" w:eastAsia="zh-CN"/>
                                      </w:rPr>
                                    </w:pPr>
                                    <w:r>
                                      <w:rPr>
                                        <w:rFonts w:hint="eastAsia"/>
                                        <w:sz w:val="18"/>
                                        <w:szCs w:val="18"/>
                                        <w:lang w:val="en-US" w:eastAsia="zh-CN"/>
                                      </w:rPr>
                                      <w:t>地面防渗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1" name="文本框 49"/>
                              <wps:cNvSpPr txBox="1"/>
                              <wps:spPr>
                                <a:xfrm>
                                  <a:off x="2444750" y="500380"/>
                                  <a:ext cx="661670" cy="2501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50CC0DA">
                                    <w:pPr>
                                      <w:adjustRightInd w:val="0"/>
                                      <w:snapToGrid w:val="0"/>
                                      <w:ind w:left="0" w:leftChars="0" w:firstLine="0" w:firstLineChars="0"/>
                                      <w:jc w:val="both"/>
                                      <w:rPr>
                                        <w:sz w:val="18"/>
                                        <w:szCs w:val="18"/>
                                      </w:rPr>
                                    </w:pPr>
                                    <w:r>
                                      <w:rPr>
                                        <w:rFonts w:hint="eastAsia"/>
                                        <w:sz w:val="18"/>
                                        <w:szCs w:val="18"/>
                                      </w:rPr>
                                      <w:t>设备安装</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2" name="文本框 50"/>
                              <wps:cNvSpPr txBox="1"/>
                              <wps:spPr>
                                <a:xfrm>
                                  <a:off x="444500" y="499745"/>
                                  <a:ext cx="688975" cy="2565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B240406">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基础施工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3" name="文本框 107"/>
                              <wps:cNvSpPr txBox="1"/>
                              <wps:spPr>
                                <a:xfrm>
                                  <a:off x="2388870" y="61595"/>
                                  <a:ext cx="768985" cy="236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A792D5">
                                    <w:pPr>
                                      <w:ind w:left="0" w:leftChars="0"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噪声、固废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5" name="文本框 109"/>
                              <wps:cNvSpPr txBox="1"/>
                              <wps:spPr>
                                <a:xfrm>
                                  <a:off x="1426210" y="69215"/>
                                  <a:ext cx="78549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CE7198">
                                    <w:pPr>
                                      <w:ind w:left="0" w:leftChars="0" w:firstLine="0" w:firstLineChars="0"/>
                                      <w:rPr>
                                        <w:sz w:val="18"/>
                                        <w:szCs w:val="18"/>
                                      </w:rPr>
                                    </w:pPr>
                                    <w:r>
                                      <w:rPr>
                                        <w:rFonts w:hint="eastAsia"/>
                                        <w:sz w:val="18"/>
                                        <w:szCs w:val="18"/>
                                      </w:rPr>
                                      <w:t>扬尘、噪声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6" name="文本框 65"/>
                              <wps:cNvSpPr txBox="1"/>
                              <wps:spPr>
                                <a:xfrm>
                                  <a:off x="241935" y="62865"/>
                                  <a:ext cx="1082040" cy="2343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A93CB0">
                                    <w:pPr>
                                      <w:adjustRightInd w:val="0"/>
                                      <w:snapToGrid w:val="0"/>
                                      <w:ind w:left="0" w:leftChars="0" w:firstLine="0" w:firstLineChars="0"/>
                                      <w:rPr>
                                        <w:rFonts w:hint="default" w:eastAsia="宋体"/>
                                        <w:sz w:val="18"/>
                                        <w:szCs w:val="18"/>
                                        <w:lang w:val="en-US" w:eastAsia="zh-CN"/>
                                      </w:rPr>
                                    </w:pPr>
                                    <w:r>
                                      <w:rPr>
                                        <w:rFonts w:hint="eastAsia"/>
                                        <w:sz w:val="18"/>
                                        <w:szCs w:val="18"/>
                                      </w:rPr>
                                      <w:t>噪声</w:t>
                                    </w:r>
                                    <w:r>
                                      <w:rPr>
                                        <w:rFonts w:hint="eastAsia"/>
                                        <w:sz w:val="18"/>
                                        <w:szCs w:val="18"/>
                                        <w:lang w:eastAsia="zh-CN"/>
                                      </w:rPr>
                                      <w:t>、</w:t>
                                    </w:r>
                                    <w:r>
                                      <w:rPr>
                                        <w:rFonts w:hint="eastAsia"/>
                                        <w:sz w:val="18"/>
                                        <w:szCs w:val="18"/>
                                        <w:lang w:val="en-US" w:eastAsia="zh-CN"/>
                                      </w:rPr>
                                      <w:t>固废、扬尘</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7" name="直接箭头连接符 312"/>
                              <wps:cNvCnPr/>
                              <wps:spPr>
                                <a:xfrm>
                                  <a:off x="3106420" y="625475"/>
                                  <a:ext cx="258445" cy="635"/>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68" name="文本框 314"/>
                              <wps:cNvSpPr txBox="1"/>
                              <wps:spPr>
                                <a:xfrm>
                                  <a:off x="3364865" y="500380"/>
                                  <a:ext cx="680720" cy="2508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86E6E40">
                                    <w:pPr>
                                      <w:adjustRightInd w:val="0"/>
                                      <w:snapToGrid w:val="0"/>
                                      <w:ind w:left="0" w:leftChars="0" w:firstLine="0" w:firstLineChars="0"/>
                                      <w:jc w:val="both"/>
                                      <w:rPr>
                                        <w:sz w:val="18"/>
                                        <w:szCs w:val="18"/>
                                      </w:rPr>
                                    </w:pPr>
                                    <w:r>
                                      <w:rPr>
                                        <w:rFonts w:hint="eastAsia"/>
                                        <w:sz w:val="18"/>
                                        <w:szCs w:val="18"/>
                                      </w:rPr>
                                      <w:t>投入使用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9" name="直接箭头连接符 274"/>
                              <wps:cNvCnPr/>
                              <wps:spPr>
                                <a:xfrm>
                                  <a:off x="2155190" y="625475"/>
                                  <a:ext cx="289560" cy="0"/>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70" name="直接箭头连接符 92"/>
                              <wps:cNvCnPr>
                                <a:stCxn id="19" idx="0"/>
                                <a:endCxn id="26" idx="2"/>
                              </wps:cNvCnPr>
                              <wps:spPr>
                                <a:xfrm flipH="1" flipV="1">
                                  <a:off x="782955" y="297180"/>
                                  <a:ext cx="6350" cy="202565"/>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71" name="直接箭头连接符 108"/>
                              <wps:cNvCnPr/>
                              <wps:spPr>
                                <a:xfrm flipV="1">
                                  <a:off x="1135380" y="622300"/>
                                  <a:ext cx="349250" cy="6985"/>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72" name="直接箭头连接符 92"/>
                              <wps:cNvCnPr/>
                              <wps:spPr>
                                <a:xfrm flipV="1">
                                  <a:off x="1819275" y="297815"/>
                                  <a:ext cx="0" cy="202565"/>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73" name="直接箭头连接符 92"/>
                              <wps:cNvCnPr/>
                              <wps:spPr>
                                <a:xfrm flipH="1" flipV="1">
                                  <a:off x="2773680" y="297815"/>
                                  <a:ext cx="1905" cy="202565"/>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74" name="文本框 50"/>
                              <wps:cNvSpPr txBox="1"/>
                              <wps:spPr>
                                <a:xfrm>
                                  <a:off x="1380490" y="1016635"/>
                                  <a:ext cx="920115" cy="2565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F36C9BE">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施工人员生活</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5" name="肘形连接符 45"/>
                              <wps:cNvCnPr>
                                <a:stCxn id="42" idx="3"/>
                              </wps:cNvCnPr>
                              <wps:spPr>
                                <a:xfrm flipV="1">
                                  <a:off x="2300605" y="949325"/>
                                  <a:ext cx="582930" cy="195580"/>
                                </a:xfrm>
                                <a:prstGeom prst="bentConnector3">
                                  <a:avLst>
                                    <a:gd name="adj1" fmla="val 50000"/>
                                  </a:avLst>
                                </a:prstGeom>
                                <a:ln w="12700" cmpd="sng">
                                  <a:solidFill>
                                    <a:schemeClr val="tx1"/>
                                  </a:solidFill>
                                  <a:prstDash val="sysDot"/>
                                  <a:tailEnd type="arrow"/>
                                </a:ln>
                              </wps:spPr>
                              <wps:style>
                                <a:lnRef idx="2">
                                  <a:schemeClr val="accent1"/>
                                </a:lnRef>
                                <a:fillRef idx="0">
                                  <a:srgbClr val="FFFFFF"/>
                                </a:fillRef>
                                <a:effectRef idx="0">
                                  <a:srgbClr val="FFFFFF"/>
                                </a:effectRef>
                                <a:fontRef idx="minor">
                                  <a:schemeClr val="tx1"/>
                                </a:fontRef>
                              </wps:style>
                              <wps:bodyPr/>
                            </wps:wsp>
                            <wps:wsp>
                              <wps:cNvPr id="176" name="肘形连接符 46"/>
                              <wps:cNvCnPr/>
                              <wps:spPr>
                                <a:xfrm>
                                  <a:off x="2306955" y="1148715"/>
                                  <a:ext cx="560070" cy="148590"/>
                                </a:xfrm>
                                <a:prstGeom prst="bentConnector3">
                                  <a:avLst>
                                    <a:gd name="adj1" fmla="val 50113"/>
                                  </a:avLst>
                                </a:prstGeom>
                                <a:ln w="12700" cmpd="sng">
                                  <a:solidFill>
                                    <a:schemeClr val="tx1"/>
                                  </a:solidFill>
                                  <a:prstDash val="sysDot"/>
                                  <a:tailEnd type="arrow"/>
                                </a:ln>
                              </wps:spPr>
                              <wps:style>
                                <a:lnRef idx="2">
                                  <a:schemeClr val="accent1"/>
                                </a:lnRef>
                                <a:fillRef idx="0">
                                  <a:srgbClr val="FFFFFF"/>
                                </a:fillRef>
                                <a:effectRef idx="0">
                                  <a:srgbClr val="FFFFFF"/>
                                </a:effectRef>
                                <a:fontRef idx="minor">
                                  <a:schemeClr val="tx1"/>
                                </a:fontRef>
                              </wps:style>
                              <wps:bodyPr/>
                            </wps:wsp>
                            <wps:wsp>
                              <wps:cNvPr id="177" name="文本框 107"/>
                              <wps:cNvSpPr txBox="1"/>
                              <wps:spPr>
                                <a:xfrm>
                                  <a:off x="2890520" y="835660"/>
                                  <a:ext cx="725805" cy="236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B3F756">
                                    <w:pPr>
                                      <w:ind w:left="0" w:leftChars="0" w:firstLine="0" w:firstLineChars="0"/>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生活垃圾</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8" name="文本框 107"/>
                              <wps:cNvSpPr txBox="1"/>
                              <wps:spPr>
                                <a:xfrm>
                                  <a:off x="2886710" y="1166495"/>
                                  <a:ext cx="717550" cy="236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F0940D">
                                    <w:pPr>
                                      <w:ind w:left="0" w:leftChars="0" w:firstLine="0" w:firstLineChars="0"/>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生活污水</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117.3pt;width:362.2pt;" coordsize="4599940,1489710" editas="canvas" o:gfxdata="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">
                      <o:lock v:ext="edit" aspectratio="f"/>
                      <v:shape id="_x0000_s1026" o:spid="_x0000_s1026" style="position:absolute;left:0;top:0;height:1489710;width:4599940;" filled="f" stroked="f" coordsize="21600,21600" o:gfxdata="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">
                        <v:fill on="f" focussize="0,0"/>
                        <v:stroke on="f"/>
                        <v:imagedata o:title=""/>
                        <o:lock v:ext="edit" aspectratio="f"/>
                      </v:shape>
                      <v:shape id="文本框 48" o:spid="_x0000_s1026" o:spt="202" type="#_x0000_t202" style="position:absolute;left:1482725;top:500380;height:250190;width:672465;" fillcolor="#FFFFFF [3201]" filled="t" stroked="t" coordsize="21600,21600" o:gfxdata="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IDTwbTAAAABQEAAA8AAAAAAAAAAQAgAAAAIgAAAGRycy9kb3ducmV2LnhtbFBLAQIUABQAAAAI&#10;AIdO4kDH8hGQZAIAAMQEAAAOAAAAAAAAAAEAIAAAACIBAABkcnMvZTJvRG9jLnhtbFBLBQYAAAAA&#10;BgAGAFkBAAD4BQAAAAA=&#10;">
                        <v:fill on="t" focussize="0,0"/>
                        <v:stroke weight="0.5pt" color="#000000 [3204]" joinstyle="round"/>
                        <v:imagedata o:title=""/>
                        <o:lock v:ext="edit" aspectratio="f"/>
                        <v:textbox>
                          <w:txbxContent>
                            <w:p w14:paraId="0F691C40">
                              <w:pPr>
                                <w:adjustRightInd w:val="0"/>
                                <w:snapToGrid w:val="0"/>
                                <w:ind w:left="0" w:leftChars="0" w:firstLine="0" w:firstLineChars="0"/>
                                <w:jc w:val="both"/>
                                <w:rPr>
                                  <w:rFonts w:hint="eastAsia" w:eastAsia="宋体"/>
                                  <w:sz w:val="18"/>
                                  <w:szCs w:val="18"/>
                                  <w:lang w:val="en-US" w:eastAsia="zh-CN"/>
                                </w:rPr>
                              </w:pPr>
                              <w:r>
                                <w:rPr>
                                  <w:rFonts w:hint="eastAsia"/>
                                  <w:sz w:val="18"/>
                                  <w:szCs w:val="18"/>
                                  <w:lang w:val="en-US" w:eastAsia="zh-CN"/>
                                </w:rPr>
                                <w:t>地面防渗</w:t>
                              </w:r>
                            </w:p>
                          </w:txbxContent>
                        </v:textbox>
                      </v:shape>
                      <v:shape id="文本框 49" o:spid="_x0000_s1026" o:spt="202" type="#_x0000_t202" style="position:absolute;left:2444750;top:500380;height:250190;width:661670;" fillcolor="#FFFFFF [3201]" filled="t" stroked="t" coordsize="21600,21600" o:gfxdata="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QgNPBtMAAAAFAQAADwAAAAAAAAABACAAAAAiAAAAZHJzL2Rvd25yZXYueG1sUEsBAhQAFAAAAAgA&#10;h07iQI4Y3VRjAgAAxAQAAA4AAAAAAAAAAQAgAAAAIgEAAGRycy9lMm9Eb2MueG1sUEsFBgAAAAAG&#10;AAYAWQEAAPcFAAAAAA==&#10;">
                        <v:fill on="t" focussize="0,0"/>
                        <v:stroke weight="0.5pt" color="#000000 [3204]" joinstyle="round"/>
                        <v:imagedata o:title=""/>
                        <o:lock v:ext="edit" aspectratio="f"/>
                        <v:textbox>
                          <w:txbxContent>
                            <w:p w14:paraId="350CC0DA">
                              <w:pPr>
                                <w:adjustRightInd w:val="0"/>
                                <w:snapToGrid w:val="0"/>
                                <w:ind w:left="0" w:leftChars="0" w:firstLine="0" w:firstLineChars="0"/>
                                <w:jc w:val="both"/>
                                <w:rPr>
                                  <w:sz w:val="18"/>
                                  <w:szCs w:val="18"/>
                                </w:rPr>
                              </w:pPr>
                              <w:r>
                                <w:rPr>
                                  <w:rFonts w:hint="eastAsia"/>
                                  <w:sz w:val="18"/>
                                  <w:szCs w:val="18"/>
                                </w:rPr>
                                <w:t>设备安装</w:t>
                              </w:r>
                            </w:p>
                          </w:txbxContent>
                        </v:textbox>
                      </v:shape>
                      <v:shape id="文本框 50" o:spid="_x0000_s1026" o:spt="202" type="#_x0000_t202" style="position:absolute;left:444500;top:499745;height:256540;width:688975;" fillcolor="#FFFFFF [3201]" filled="t" stroked="t" coordsize="21600,21600" o:gfxdata="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QgNPBtMAAAAFAQAADwAAAAAAAAABACAAAAAiAAAAZHJzL2Rvd25yZXYueG1sUEsBAhQAFAAAAAgA&#10;h07iQF8vFPljAgAAwwQAAA4AAAAAAAAAAQAgAAAAIgEAAGRycy9lMm9Eb2MueG1sUEsFBgAAAAAG&#10;AAYAWQEAAPcFAAAAAA==&#10;">
                        <v:fill on="t" focussize="0,0"/>
                        <v:stroke weight="0.5pt" color="#000000 [3204]" joinstyle="round"/>
                        <v:imagedata o:title=""/>
                        <o:lock v:ext="edit" aspectratio="f"/>
                        <v:textbox>
                          <w:txbxContent>
                            <w:p w14:paraId="4B240406">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基础施工</w:t>
                              </w:r>
                            </w:p>
                          </w:txbxContent>
                        </v:textbox>
                      </v:shape>
                      <v:shape id="文本框 107" o:spid="_x0000_s1026" o:spt="202" type="#_x0000_t202" style="position:absolute;left:2388870;top:61595;height:236220;width:768985;" filled="f" stroked="f" coordsize="21600,21600" o:gfxdata="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URWmENgAAAAFAQAADwAAAAAAAAAB&#10;ACAAAAAiAAAAZHJzL2Rvd25yZXYueG1sUEsBAhQAFAAAAAgAh07iQE2kO2NJAgAAcwQAAA4AAAAA&#10;AAAAAQAgAAAAJwEAAGRycy9lMm9Eb2MueG1sUEsFBgAAAAAGAAYAWQEAAOIFAAAAAA==&#10;">
                        <v:fill on="f" focussize="0,0"/>
                        <v:stroke on="f" weight="0.5pt"/>
                        <v:imagedata o:title=""/>
                        <o:lock v:ext="edit" aspectratio="f"/>
                        <v:textbox>
                          <w:txbxContent>
                            <w:p w14:paraId="40A792D5">
                              <w:pPr>
                                <w:ind w:left="0" w:leftChars="0"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噪声、固废</w:t>
                              </w:r>
                            </w:p>
                          </w:txbxContent>
                        </v:textbox>
                      </v:shape>
                      <v:shape id="文本框 109" o:spid="_x0000_s1026" o:spt="202" type="#_x0000_t202" style="position:absolute;left:1426210;top:69215;height:228600;width:785495;" filled="f" stroked="f" coordsize="21600,21600" o:gfxdata="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RFaYQ2AAAAAUBAAAPAAAAAAAAAAEA&#10;IAAAACIAAABkcnMvZG93bnJldi54bWxQSwECFAAUAAAACACHTuJAvGIGWEgCAABzBAAADgAAAAAA&#10;AAABACAAAAAnAQAAZHJzL2Uyb0RvYy54bWxQSwUGAAAAAAYABgBZAQAA4QUAAAAA&#10;">
                        <v:fill on="f" focussize="0,0"/>
                        <v:stroke on="f" weight="0.5pt"/>
                        <v:imagedata o:title=""/>
                        <o:lock v:ext="edit" aspectratio="f"/>
                        <v:textbox>
                          <w:txbxContent>
                            <w:p w14:paraId="5DCE7198">
                              <w:pPr>
                                <w:ind w:left="0" w:leftChars="0" w:firstLine="0" w:firstLineChars="0"/>
                                <w:rPr>
                                  <w:sz w:val="18"/>
                                  <w:szCs w:val="18"/>
                                </w:rPr>
                              </w:pPr>
                              <w:r>
                                <w:rPr>
                                  <w:rFonts w:hint="eastAsia"/>
                                  <w:sz w:val="18"/>
                                  <w:szCs w:val="18"/>
                                </w:rPr>
                                <w:t>扬尘、噪声</w:t>
                              </w:r>
                            </w:p>
                          </w:txbxContent>
                        </v:textbox>
                      </v:shape>
                      <v:shape id="文本框 65" o:spid="_x0000_s1026" o:spt="202" type="#_x0000_t202" style="position:absolute;left:241935;top:62865;height:234315;width:1082040;" filled="f" stroked="f" coordsize="21600,21600" o:gfxdata="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RFaYQ2AAAAAUBAAAPAAAAAAAAAAEA&#10;IAAAACIAAABkcnMvZG93bnJldi54bWxQSwECFAAUAAAACACHTuJAlbd0VEgCAAByBAAADgAAAAAA&#10;AAABACAAAAAnAQAAZHJzL2Uyb0RvYy54bWxQSwUGAAAAAAYABgBZAQAA4QUAAAAA&#10;">
                        <v:fill on="f" focussize="0,0"/>
                        <v:stroke on="f" weight="0.5pt"/>
                        <v:imagedata o:title=""/>
                        <o:lock v:ext="edit" aspectratio="f"/>
                        <v:textbox>
                          <w:txbxContent>
                            <w:p w14:paraId="46A93CB0">
                              <w:pPr>
                                <w:adjustRightInd w:val="0"/>
                                <w:snapToGrid w:val="0"/>
                                <w:ind w:left="0" w:leftChars="0" w:firstLine="0" w:firstLineChars="0"/>
                                <w:rPr>
                                  <w:rFonts w:hint="default" w:eastAsia="宋体"/>
                                  <w:sz w:val="18"/>
                                  <w:szCs w:val="18"/>
                                  <w:lang w:val="en-US" w:eastAsia="zh-CN"/>
                                </w:rPr>
                              </w:pPr>
                              <w:r>
                                <w:rPr>
                                  <w:rFonts w:hint="eastAsia"/>
                                  <w:sz w:val="18"/>
                                  <w:szCs w:val="18"/>
                                </w:rPr>
                                <w:t>噪声</w:t>
                              </w:r>
                              <w:r>
                                <w:rPr>
                                  <w:rFonts w:hint="eastAsia"/>
                                  <w:sz w:val="18"/>
                                  <w:szCs w:val="18"/>
                                  <w:lang w:eastAsia="zh-CN"/>
                                </w:rPr>
                                <w:t>、</w:t>
                              </w:r>
                              <w:r>
                                <w:rPr>
                                  <w:rFonts w:hint="eastAsia"/>
                                  <w:sz w:val="18"/>
                                  <w:szCs w:val="18"/>
                                  <w:lang w:val="en-US" w:eastAsia="zh-CN"/>
                                </w:rPr>
                                <w:t>固废、扬尘</w:t>
                              </w:r>
                            </w:p>
                          </w:txbxContent>
                        </v:textbox>
                      </v:shape>
                      <v:shape id="直接箭头连接符 312" o:spid="_x0000_s1026" o:spt="32" type="#_x0000_t32" style="position:absolute;left:3106420;top:625475;height:635;width:258445;" filled="f" stroked="t" coordsize="21600,21600" o:gfxdata="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0a5949UAAAAFAQAADwAAAAAAAAABACAAAAAi&#10;AAAAZHJzL2Rvd25yZXYueG1sUEsBAhQAFAAAAAgAh07iQEK5DVgNAgAA3AMAAA4AAAAAAAAAAQAg&#10;AAAAJAEAAGRycy9lMm9Eb2MueG1sUEsFBgAAAAAGAAYAWQEAAKMFAAAAAA==&#10;">
                        <v:fill on="f" focussize="0,0"/>
                        <v:stroke color="#000000 [3213]" joinstyle="round" dashstyle="3 1" endarrow="block"/>
                        <v:imagedata o:title=""/>
                        <o:lock v:ext="edit" aspectratio="f"/>
                      </v:shape>
                      <v:shape id="文本框 314" o:spid="_x0000_s1026" o:spt="202" type="#_x0000_t202" style="position:absolute;left:3364865;top:500380;height:250825;width:680720;" fillcolor="#FFFFFF [3201]" filled="t" stroked="t" coordsize="21600,21600" o:gfxdata="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IDTwbTAAAABQEAAA8AAAAAAAAAAQAgAAAAIgAAAGRycy9kb3ducmV2LnhtbFBLAQIUABQAAAAI&#10;AIdO4kA0CuPOZAIAAMUEAAAOAAAAAAAAAAEAIAAAACIBAABkcnMvZTJvRG9jLnhtbFBLBQYAAAAA&#10;BgAGAFkBAAD4BQAAAAA=&#10;">
                        <v:fill on="t" focussize="0,0"/>
                        <v:stroke weight="0.5pt" color="#000000 [3204]" joinstyle="round"/>
                        <v:imagedata o:title=""/>
                        <o:lock v:ext="edit" aspectratio="f"/>
                        <v:textbox>
                          <w:txbxContent>
                            <w:p w14:paraId="486E6E40">
                              <w:pPr>
                                <w:adjustRightInd w:val="0"/>
                                <w:snapToGrid w:val="0"/>
                                <w:ind w:left="0" w:leftChars="0" w:firstLine="0" w:firstLineChars="0"/>
                                <w:jc w:val="both"/>
                                <w:rPr>
                                  <w:sz w:val="18"/>
                                  <w:szCs w:val="18"/>
                                </w:rPr>
                              </w:pPr>
                              <w:r>
                                <w:rPr>
                                  <w:rFonts w:hint="eastAsia"/>
                                  <w:sz w:val="18"/>
                                  <w:szCs w:val="18"/>
                                </w:rPr>
                                <w:t>投入使用</w:t>
                              </w:r>
                            </w:p>
                          </w:txbxContent>
                        </v:textbox>
                      </v:shape>
                      <v:shape id="直接箭头连接符 274" o:spid="_x0000_s1026" o:spt="32" type="#_x0000_t32" style="position:absolute;left:2155190;top:625475;height:0;width:289560;" filled="f" stroked="t" coordsize="21600,21600" o:gfxdata="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GufePVAAAABQEAAA8AAAAAAAAAAQAgAAAAIgAA&#10;AGRycy9kb3ducmV2LnhtbFBLAQIUABQAAAAIAIdO4kDKzeINCwIAANoDAAAOAAAAAAAAAAEAIAAA&#10;ACQBAABkcnMvZTJvRG9jLnhtbFBLBQYAAAAABgAGAFkBAAChBQAAAAA=&#10;">
                        <v:fill on="f" focussize="0,0"/>
                        <v:stroke color="#000000 [3213]" joinstyle="round" dashstyle="3 1" endarrow="block"/>
                        <v:imagedata o:title=""/>
                        <o:lock v:ext="edit" aspectratio="f"/>
                      </v:shape>
                      <v:shape id="直接箭头连接符 92" o:spid="_x0000_s1026" o:spt="32" type="#_x0000_t32" style="position:absolute;left:782955;top:297180;flip:x y;height:202565;width:6350;" filled="f" stroked="t" coordsize="21600,21600" o:gfxdata="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fKmoD9gAAAAFAQAADwAAAAAAAAABACAAAAAiAAAAZHJzL2Rvd25yZXYueG1sUEsB&#10;AhQAFAAAAAgAh07iQCnLlhYuAgAAMQQAAA4AAAAAAAAAAQAgAAAAJwEAAGRycy9lMm9Eb2MueG1s&#10;UEsFBgAAAAAGAAYAWQEAAMcFAAAAAA==&#10;">
                        <v:fill on="f" focussize="0,0"/>
                        <v:stroke color="#000000 [3213]" joinstyle="round" dashstyle="3 1" endarrow="block"/>
                        <v:imagedata o:title=""/>
                        <o:lock v:ext="edit" aspectratio="f"/>
                      </v:shape>
                      <v:shape id="直接箭头连接符 108" o:spid="_x0000_s1026" o:spt="32" type="#_x0000_t32" style="position:absolute;left:1135380;top:622300;flip:y;height:6985;width:349250;" filled="f" stroked="t" coordsize="21600,21600" o:gfxdata="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gpkdUAAAAFAQAADwAAAAAAAAAB&#10;ACAAAAAiAAAAZHJzL2Rvd25yZXYueG1sUEsBAhQAFAAAAAgAh07iQAfVGqgTAgAA5wMAAA4AAAAA&#10;AAAAAQAgAAAAJAEAAGRycy9lMm9Eb2MueG1sUEsFBgAAAAAGAAYAWQEAAKkFAAAAAA==&#10;">
                        <v:fill on="f" focussize="0,0"/>
                        <v:stroke color="#000000 [3213]" joinstyle="round" dashstyle="3 1" endarrow="block"/>
                        <v:imagedata o:title=""/>
                        <o:lock v:ext="edit" aspectratio="f"/>
                      </v:shape>
                      <v:shape id="直接箭头连接符 92" o:spid="_x0000_s1026" o:spt="32" type="#_x0000_t32" style="position:absolute;left:1819275;top:297815;flip:y;height:202565;width:0;" filled="f" stroked="t" coordsize="21600,21600" o:gfxdata="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7CCmR1QAAAAUBAAAPAAAAAAAAAAEAIAAA&#10;ACIAAABkcnMvZG93bnJldi54bWxQSwECFAAUAAAACACHTuJAceMiEA8CAADjAwAADgAAAAAAAAAB&#10;ACAAAAAkAQAAZHJzL2Uyb0RvYy54bWxQSwUGAAAAAAYABgBZAQAApQUAAAAA&#10;">
                        <v:fill on="f" focussize="0,0"/>
                        <v:stroke color="#000000 [3213]" joinstyle="round" dashstyle="3 1" endarrow="block"/>
                        <v:imagedata o:title=""/>
                        <o:lock v:ext="edit" aspectratio="f"/>
                      </v:shape>
                      <v:shape id="直接箭头连接符 92" o:spid="_x0000_s1026" o:spt="32" type="#_x0000_t32" style="position:absolute;left:2773680;top:297815;flip:x y;height:202565;width:1905;" filled="f" stroked="t" coordsize="21600,21600" o:gfxdata="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fKmoD9gAAAAFAQAADwAA&#10;AAAAAAABACAAAAAiAAAAZHJzL2Rvd25yZXYueG1sUEsBAhQAFAAAAAgAh07iQGukjHYWAgAA8AMA&#10;AA4AAAAAAAAAAQAgAAAAJwEAAGRycy9lMm9Eb2MueG1sUEsFBgAAAAAGAAYAWQEAAK8FAAAAAA==&#10;">
                        <v:fill on="f" focussize="0,0"/>
                        <v:stroke color="#000000 [3213]" joinstyle="round" dashstyle="3 1" endarrow="block"/>
                        <v:imagedata o:title=""/>
                        <o:lock v:ext="edit" aspectratio="f"/>
                      </v:shape>
                      <v:shape id="文本框 50" o:spid="_x0000_s1026" o:spt="202" type="#_x0000_t202" style="position:absolute;left:1380490;top:1016635;height:256540;width:920115;" fillcolor="#FFFFFF [3201]" filled="t" stroked="t" coordsize="21600,21600" o:gfxdata="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IDTwbTAAAABQEAAA8AAAAAAAAAAQAgAAAAIgAAAGRycy9kb3ducmV2LnhtbFBLAQIUABQAAAAI&#10;AIdO4kCQ9SJtZAIAAMUEAAAOAAAAAAAAAAEAIAAAACIBAABkcnMvZTJvRG9jLnhtbFBLBQYAAAAA&#10;BgAGAFkBAAD4BQAAAAA=&#10;">
                        <v:fill on="t" focussize="0,0"/>
                        <v:stroke weight="0.5pt" color="#000000 [3204]" joinstyle="round"/>
                        <v:imagedata o:title=""/>
                        <o:lock v:ext="edit" aspectratio="f"/>
                        <v:textbox>
                          <w:txbxContent>
                            <w:p w14:paraId="4F36C9BE">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施工人员生活</w:t>
                              </w:r>
                            </w:p>
                          </w:txbxContent>
                        </v:textbox>
                      </v:shape>
                      <v:shape id="肘形连接符 45" o:spid="_x0000_s1026" o:spt="34" type="#_x0000_t34" style="position:absolute;left:2300605;top:949325;flip:y;height:195580;width:582930;" filled="f" stroked="t" coordsize="21600,21600" o:gfxdata="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qYgzltQAAAAFAQAADwAAAAAAAAABACAAAAAiAAAAZHJzL2Rvd25yZXYueG1s&#10;UEsBAhQAFAAAAAgAh07iQP58uWk1AgAALwQAAA4AAAAAAAAAAQAgAAAAIwEAAGRycy9lMm9Eb2Mu&#10;eG1sUEsFBgAAAAAGAAYAWQEAAMoFAAAAAA==&#10;" adj="10800">
                        <v:fill on="f" focussize="0,0"/>
                        <v:stroke weight="1pt" color="#000000 [3213]" joinstyle="round" dashstyle="1 1" endarrow="open"/>
                        <v:imagedata o:title=""/>
                        <o:lock v:ext="edit" aspectratio="f"/>
                      </v:shape>
                      <v:shape id="肘形连接符 46" o:spid="_x0000_s1026" o:spt="34" type="#_x0000_t34" style="position:absolute;left:2306955;top:1148715;height:148590;width:560070;" filled="f" stroked="t" coordsize="21600,21600" o:gfxdata="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LmSJw1AAAAAUB&#10;AAAPAAAAAAAAAAEAIAAAACIAAABkcnMvZG93bnJldi54bWxQSwECFAAUAAAACACHTuJAlDMhzh8C&#10;AAD/AwAADgAAAAAAAAABACAAAAAjAQAAZHJzL2Uyb0RvYy54bWxQSwUGAAAAAAYABgBZAQAAtAUA&#10;AAAA&#10;" adj="10824">
                        <v:fill on="f" focussize="0,0"/>
                        <v:stroke weight="1pt" color="#000000 [3213]" joinstyle="round" dashstyle="1 1" endarrow="open"/>
                        <v:imagedata o:title=""/>
                        <o:lock v:ext="edit" aspectratio="f"/>
                      </v:shape>
                      <v:shape id="文本框 107" o:spid="_x0000_s1026" o:spt="202" type="#_x0000_t202" style="position:absolute;left:2890520;top:835660;height:236220;width:725805;" filled="f" stroked="f" coordsize="21600,21600" o:gfxdata="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URWmENgAAAAFAQAADwAAAAAAAAAB&#10;ACAAAAAiAAAAZHJzL2Rvd25yZXYueG1sUEsBAhQAFAAAAAgAh07iQPaYkjRJAgAAdAQAAA4AAAAA&#10;AAAAAQAgAAAAJwEAAGRycy9lMm9Eb2MueG1sUEsFBgAAAAAGAAYAWQEAAOIFAAAAAA==&#10;">
                        <v:fill on="f" focussize="0,0"/>
                        <v:stroke on="f" weight="0.5pt"/>
                        <v:imagedata o:title=""/>
                        <o:lock v:ext="edit" aspectratio="f"/>
                        <v:textbox>
                          <w:txbxContent>
                            <w:p w14:paraId="35B3F756">
                              <w:pPr>
                                <w:ind w:left="0" w:leftChars="0" w:firstLine="0" w:firstLineChars="0"/>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生活垃圾</w:t>
                              </w:r>
                            </w:p>
                          </w:txbxContent>
                        </v:textbox>
                      </v:shape>
                      <v:shape id="文本框 107" o:spid="_x0000_s1026" o:spt="202" type="#_x0000_t202" style="position:absolute;left:2886710;top:1166495;height:236220;width:717550;" filled="f" stroked="f" coordsize="21600,21600" o:gfxdata="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RFaYQ2AAAAAUBAAAPAAAAAAAAAAEA&#10;IAAAACIAAABkcnMvZG93bnJldi54bWxQSwECFAAUAAAACACHTuJABUTUm0gCAAB1BAAADgAAAAAA&#10;AAABACAAAAAnAQAAZHJzL2Uyb0RvYy54bWxQSwUGAAAAAAYABgBZAQAA4QUAAAAA&#10;">
                        <v:fill on="f" focussize="0,0"/>
                        <v:stroke on="f" weight="0.5pt"/>
                        <v:imagedata o:title=""/>
                        <o:lock v:ext="edit" aspectratio="f"/>
                        <v:textbox>
                          <w:txbxContent>
                            <w:p w14:paraId="2BF0940D">
                              <w:pPr>
                                <w:ind w:left="0" w:leftChars="0" w:firstLine="0" w:firstLineChars="0"/>
                                <w:rPr>
                                  <w:rFonts w:hint="eastAsia" w:eastAsia="宋体"/>
                                  <w:color w:val="000000" w:themeColor="text1"/>
                                  <w:sz w:val="18"/>
                                  <w:szCs w:val="18"/>
                                  <w:lang w:eastAsia="zh-CN"/>
                                  <w14:textFill>
                                    <w14:solidFill>
                                      <w14:schemeClr w14:val="tx1"/>
                                    </w14:solidFill>
                                  </w14:textFill>
                                </w:rPr>
                              </w:pPr>
                              <w:r>
                                <w:rPr>
                                  <w:rFonts w:hint="eastAsia"/>
                                  <w:color w:val="000000" w:themeColor="text1"/>
                                  <w:sz w:val="18"/>
                                  <w:szCs w:val="18"/>
                                  <w:lang w:eastAsia="zh-CN"/>
                                  <w14:textFill>
                                    <w14:solidFill>
                                      <w14:schemeClr w14:val="tx1"/>
                                    </w14:solidFill>
                                  </w14:textFill>
                                </w:rPr>
                                <w:t>生活污水</w:t>
                              </w:r>
                            </w:p>
                          </w:txbxContent>
                        </v:textbox>
                      </v:shape>
                      <w10:wrap type="none"/>
                      <w10:anchorlock/>
                    </v:group>
                  </w:pict>
                </mc:Fallback>
              </mc:AlternateContent>
            </w:r>
          </w:p>
          <w:p w14:paraId="3BA30050">
            <w:pPr>
              <w:bidi w:val="0"/>
              <w:ind w:left="0" w:leftChars="0" w:firstLine="0" w:firstLineChars="0"/>
              <w:jc w:val="center"/>
              <w:rPr>
                <w:rFonts w:cs="Times New Roman"/>
                <w:b/>
                <w:bCs/>
                <w:color w:val="auto"/>
                <w:sz w:val="24"/>
                <w:szCs w:val="24"/>
                <w:highlight w:val="none"/>
              </w:rPr>
            </w:pPr>
            <w:r>
              <w:rPr>
                <w:rFonts w:hint="eastAsia" w:cs="Times New Roman"/>
                <w:b/>
                <w:bCs/>
                <w:color w:val="auto"/>
                <w:sz w:val="24"/>
                <w:szCs w:val="24"/>
                <w:highlight w:val="none"/>
              </w:rPr>
              <w:t>图</w:t>
            </w:r>
            <w:r>
              <w:rPr>
                <w:rFonts w:hint="eastAsia" w:cs="Times New Roman"/>
                <w:b/>
                <w:bCs/>
                <w:color w:val="auto"/>
                <w:sz w:val="24"/>
                <w:szCs w:val="24"/>
                <w:highlight w:val="none"/>
                <w:lang w:val="en-US" w:eastAsia="zh-CN"/>
              </w:rPr>
              <w:t xml:space="preserve">2  </w:t>
            </w:r>
            <w:r>
              <w:rPr>
                <w:rFonts w:hint="eastAsia" w:cs="Times New Roman"/>
                <w:b/>
                <w:bCs/>
                <w:color w:val="auto"/>
                <w:sz w:val="24"/>
                <w:szCs w:val="24"/>
                <w:highlight w:val="none"/>
              </w:rPr>
              <w:t>项目施工期工艺流程</w:t>
            </w:r>
          </w:p>
          <w:p w14:paraId="45D30CFB">
            <w:pPr>
              <w:bidi w:val="0"/>
              <w:rPr>
                <w:rFonts w:hint="default"/>
                <w:b/>
                <w:bCs/>
                <w:color w:val="auto"/>
                <w:highlight w:val="none"/>
                <w:lang w:val="en-US" w:eastAsia="zh-CN"/>
              </w:rPr>
            </w:pPr>
            <w:r>
              <w:rPr>
                <w:rFonts w:hint="eastAsia"/>
                <w:b/>
                <w:bCs/>
                <w:color w:val="auto"/>
                <w:highlight w:val="none"/>
                <w:lang w:val="en-US" w:eastAsia="zh-CN"/>
              </w:rPr>
              <w:t>本项目施工期的工艺流程及产污环节：</w:t>
            </w:r>
          </w:p>
          <w:p w14:paraId="774FC0CB">
            <w:pPr>
              <w:bidi w:val="0"/>
              <w:rPr>
                <w:color w:val="auto"/>
                <w:highlight w:val="none"/>
              </w:rPr>
            </w:pPr>
            <w:r>
              <w:rPr>
                <w:rFonts w:hint="eastAsia"/>
                <w:color w:val="auto"/>
                <w:highlight w:val="none"/>
                <w:lang w:val="en-US" w:eastAsia="zh-CN"/>
              </w:rPr>
              <w:t>①</w:t>
            </w:r>
            <w:r>
              <w:rPr>
                <w:rFonts w:hint="eastAsia"/>
                <w:color w:val="auto"/>
                <w:highlight w:val="none"/>
              </w:rPr>
              <w:t>基础施工：包括</w:t>
            </w:r>
            <w:r>
              <w:rPr>
                <w:rFonts w:hint="eastAsia"/>
                <w:color w:val="auto"/>
                <w:highlight w:val="none"/>
                <w:lang w:val="en-US" w:eastAsia="zh-CN"/>
              </w:rPr>
              <w:t>挖掘集液池和导流沟</w:t>
            </w:r>
            <w:r>
              <w:rPr>
                <w:rFonts w:hint="eastAsia"/>
                <w:color w:val="auto"/>
                <w:highlight w:val="none"/>
              </w:rPr>
              <w:t>等</w:t>
            </w:r>
            <w:r>
              <w:rPr>
                <w:rFonts w:hint="eastAsia"/>
                <w:color w:val="auto"/>
                <w:highlight w:val="none"/>
                <w:lang w:eastAsia="zh-CN"/>
              </w:rPr>
              <w:t>。</w:t>
            </w:r>
            <w:r>
              <w:rPr>
                <w:rFonts w:hint="eastAsia"/>
                <w:color w:val="auto"/>
                <w:highlight w:val="none"/>
              </w:rPr>
              <w:t>过程中产生扬尘、噪声、</w:t>
            </w:r>
            <w:r>
              <w:rPr>
                <w:rFonts w:hint="eastAsia"/>
                <w:color w:val="auto"/>
                <w:highlight w:val="none"/>
                <w:lang w:val="en-US" w:eastAsia="zh-CN"/>
              </w:rPr>
              <w:t>固废</w:t>
            </w:r>
            <w:r>
              <w:rPr>
                <w:rFonts w:hint="eastAsia"/>
                <w:color w:val="auto"/>
                <w:highlight w:val="none"/>
              </w:rPr>
              <w:t>。</w:t>
            </w:r>
          </w:p>
          <w:p w14:paraId="7CB08E97">
            <w:pPr>
              <w:bidi w:val="0"/>
              <w:rPr>
                <w:rFonts w:hint="default"/>
                <w:color w:val="auto"/>
                <w:highlight w:val="none"/>
                <w:lang w:val="en-US" w:eastAsia="zh-CN"/>
              </w:rPr>
            </w:pPr>
            <w:r>
              <w:rPr>
                <w:rFonts w:hint="eastAsia"/>
                <w:color w:val="auto"/>
                <w:highlight w:val="none"/>
                <w:lang w:val="en-US" w:eastAsia="zh-CN"/>
              </w:rPr>
              <w:t>②地面防渗：对地面铺设混凝土并进行防渗处理。过程中产生扬尘、噪声。</w:t>
            </w:r>
          </w:p>
          <w:p w14:paraId="3B61CD93">
            <w:pPr>
              <w:bidi w:val="0"/>
              <w:rPr>
                <w:color w:val="auto"/>
                <w:highlight w:val="none"/>
              </w:rPr>
            </w:pPr>
            <w:r>
              <w:rPr>
                <w:rFonts w:hint="eastAsia"/>
                <w:color w:val="auto"/>
                <w:highlight w:val="none"/>
                <w:lang w:val="en-US" w:eastAsia="zh-CN"/>
              </w:rPr>
              <w:t>③</w:t>
            </w:r>
            <w:r>
              <w:rPr>
                <w:rFonts w:hint="eastAsia"/>
                <w:color w:val="auto"/>
                <w:highlight w:val="none"/>
              </w:rPr>
              <w:t>设备安装：包括</w:t>
            </w:r>
            <w:r>
              <w:rPr>
                <w:rFonts w:hint="eastAsia"/>
                <w:color w:val="auto"/>
                <w:highlight w:val="none"/>
                <w:lang w:val="en-US" w:eastAsia="zh-CN"/>
              </w:rPr>
              <w:t>安装防爆灯、</w:t>
            </w:r>
            <w:r>
              <w:rPr>
                <w:rFonts w:hint="eastAsia"/>
                <w:color w:val="auto"/>
                <w:highlight w:val="none"/>
              </w:rPr>
              <w:t>配套管线连接等；过程中产生噪声、固废。</w:t>
            </w:r>
          </w:p>
          <w:p w14:paraId="32185A2B">
            <w:pPr>
              <w:bidi w:val="0"/>
              <w:rPr>
                <w:rFonts w:hint="eastAsia"/>
                <w:color w:val="auto"/>
                <w:highlight w:val="none"/>
              </w:rPr>
            </w:pPr>
            <w:r>
              <w:rPr>
                <w:rFonts w:hint="eastAsia"/>
                <w:color w:val="auto"/>
                <w:highlight w:val="none"/>
                <w:lang w:val="en-US" w:eastAsia="zh-CN"/>
              </w:rPr>
              <w:t>④</w:t>
            </w:r>
            <w:r>
              <w:rPr>
                <w:rFonts w:hint="eastAsia"/>
                <w:color w:val="auto"/>
                <w:highlight w:val="none"/>
              </w:rPr>
              <w:t>投入使用：施工完成，投入使用。</w:t>
            </w:r>
          </w:p>
          <w:p w14:paraId="6B47EE53">
            <w:pPr>
              <w:bidi w:val="0"/>
              <w:rPr>
                <w:rFonts w:hint="default"/>
                <w:b/>
                <w:bCs/>
                <w:color w:val="auto"/>
                <w:highlight w:val="none"/>
              </w:rPr>
            </w:pPr>
            <w:r>
              <w:rPr>
                <w:b/>
                <w:bCs/>
                <w:color w:val="auto"/>
                <w:highlight w:val="none"/>
              </w:rPr>
              <w:t>2运营期</w:t>
            </w:r>
          </w:p>
          <w:p w14:paraId="418EC3AA">
            <w:pPr>
              <w:bidi w:val="0"/>
              <w:rPr>
                <w:rFonts w:hint="eastAsia"/>
                <w:b/>
                <w:bCs/>
                <w:color w:val="auto"/>
                <w:highlight w:val="none"/>
              </w:rPr>
            </w:pPr>
            <w:r>
              <w:rPr>
                <w:rFonts w:hint="eastAsia"/>
                <w:b/>
                <w:bCs/>
                <w:color w:val="auto"/>
                <w:highlight w:val="none"/>
              </w:rPr>
              <w:t>2.1危险废物收集贮存工艺</w:t>
            </w:r>
          </w:p>
          <w:p w14:paraId="1CF51E9C">
            <w:pPr>
              <w:bidi w:val="0"/>
              <w:ind w:left="0" w:leftChars="0" w:firstLine="0" w:firstLineChars="0"/>
              <w:rPr>
                <w:color w:val="auto"/>
                <w:highlight w:val="none"/>
              </w:rPr>
            </w:pPr>
            <w:r>
              <w:rPr>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3521075</wp:posOffset>
                      </wp:positionH>
                      <wp:positionV relativeFrom="paragraph">
                        <wp:posOffset>631190</wp:posOffset>
                      </wp:positionV>
                      <wp:extent cx="283845" cy="1905"/>
                      <wp:effectExtent l="0" t="36830" r="1905" b="37465"/>
                      <wp:wrapNone/>
                      <wp:docPr id="110" name="直接箭头连接符 312"/>
                      <wp:cNvGraphicFramePr/>
                      <a:graphic xmlns:a="http://schemas.openxmlformats.org/drawingml/2006/main">
                        <a:graphicData uri="http://schemas.microsoft.com/office/word/2010/wordprocessingShape">
                          <wps:wsp>
                            <wps:cNvCnPr/>
                            <wps:spPr>
                              <a:xfrm>
                                <a:off x="0" y="0"/>
                                <a:ext cx="283845" cy="1905"/>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312" o:spid="_x0000_s1026" o:spt="32" type="#_x0000_t32" style="position:absolute;left:0pt;margin-left:277.25pt;margin-top:49.7pt;height:0.15pt;width:22.35pt;z-index:251662336;mso-width-relative:page;mso-height-relative:page;" filled="f" stroked="t" coordsize="21600,21600" o:gfxdata="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miCjDXAAAACQEAAA8AAAAAAAAAAQAgAAAAIgAAAGRycy9kb3du&#10;cmV2LnhtbFBLAQIUABQAAAAIAIdO4kD8T06/AAIAANIDAAAOAAAAAAAAAAEAIAAAACYBAABkcnMv&#10;ZTJvRG9jLnhtbFBLBQYAAAAABgAGAFkBAACYBQAAAAA=&#10;">
                      <v:fill on="f" focussize="0,0"/>
                      <v:stroke color="#000000 [3213]" joinstyle="round" dashstyle="3 1" endarrow="block"/>
                      <v:imagedata o:title=""/>
                      <o:lock v:ext="edit" aspectratio="f"/>
                    </v:shape>
                  </w:pict>
                </mc:Fallback>
              </mc:AlternateContent>
            </w:r>
            <w:r>
              <w:rPr>
                <w:rFonts w:hint="default"/>
                <w:color w:val="auto"/>
                <w:highlight w:val="none"/>
              </w:rPr>
              <mc:AlternateContent>
                <mc:Choice Requires="wpc">
                  <w:drawing>
                    <wp:inline distT="0" distB="0" distL="114300" distR="114300">
                      <wp:extent cx="5139690" cy="810895"/>
                      <wp:effectExtent l="0" t="0" r="0" b="5080"/>
                      <wp:docPr id="95" name="画布 95"/>
                      <wp:cNvGraphicFramePr/>
                      <a:graphic xmlns:a="http://schemas.openxmlformats.org/drawingml/2006/main">
                        <a:graphicData uri="http://schemas.microsoft.com/office/word/2010/wordprocessingCanvas">
                          <wpc:wpc>
                            <wpc:bg/>
                            <wpc:whole/>
                            <wps:wsp>
                              <wps:cNvPr id="96" name="文本框 48"/>
                              <wps:cNvSpPr txBox="1"/>
                              <wps:spPr>
                                <a:xfrm>
                                  <a:off x="905510" y="499745"/>
                                  <a:ext cx="647065" cy="2501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0837D5E">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厂内运输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7" name="文本框 49"/>
                              <wps:cNvSpPr txBox="1"/>
                              <wps:spPr>
                                <a:xfrm>
                                  <a:off x="1876425" y="504825"/>
                                  <a:ext cx="717550" cy="2501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B8D04C1">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称重、入库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8" name="文本框 50"/>
                              <wps:cNvSpPr txBox="1"/>
                              <wps:spPr>
                                <a:xfrm>
                                  <a:off x="99695" y="495300"/>
                                  <a:ext cx="455930" cy="2565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A84CBC6">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收集</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9" name="文本框 107"/>
                              <wps:cNvSpPr txBox="1"/>
                              <wps:spPr>
                                <a:xfrm>
                                  <a:off x="2023110" y="74295"/>
                                  <a:ext cx="429260" cy="236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311514">
                                    <w:pPr>
                                      <w:ind w:left="0" w:leftChars="0"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0" name="文本框 109"/>
                              <wps:cNvSpPr txBox="1"/>
                              <wps:spPr>
                                <a:xfrm>
                                  <a:off x="1047115" y="60325"/>
                                  <a:ext cx="47180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64447D">
                                    <w:pPr>
                                      <w:ind w:left="0" w:leftChars="0" w:firstLine="0" w:firstLineChars="0"/>
                                      <w:rPr>
                                        <w:sz w:val="18"/>
                                        <w:szCs w:val="18"/>
                                      </w:rPr>
                                    </w:pPr>
                                    <w:r>
                                      <w:rPr>
                                        <w:rFonts w:hint="eastAsia"/>
                                        <w:sz w:val="18"/>
                                        <w:szCs w:val="18"/>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1" name="文本框 65"/>
                              <wps:cNvSpPr txBox="1"/>
                              <wps:spPr>
                                <a:xfrm>
                                  <a:off x="142875" y="62865"/>
                                  <a:ext cx="440690" cy="2343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278B9A">
                                    <w:pPr>
                                      <w:adjustRightInd w:val="0"/>
                                      <w:snapToGrid w:val="0"/>
                                      <w:ind w:left="0" w:leftChars="0" w:firstLine="0" w:firstLineChars="0"/>
                                      <w:rPr>
                                        <w:rFonts w:hint="default" w:eastAsia="宋体"/>
                                        <w:sz w:val="18"/>
                                        <w:szCs w:val="18"/>
                                        <w:lang w:val="en-US" w:eastAsia="zh-CN"/>
                                      </w:rPr>
                                    </w:pPr>
                                    <w:r>
                                      <w:rPr>
                                        <w:rFonts w:hint="eastAsia"/>
                                        <w:sz w:val="18"/>
                                        <w:szCs w:val="18"/>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2" name="直接箭头连接符 312"/>
                              <wps:cNvCnPr/>
                              <wps:spPr>
                                <a:xfrm>
                                  <a:off x="2606040" y="626110"/>
                                  <a:ext cx="258445" cy="635"/>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03" name="文本框 314"/>
                              <wps:cNvSpPr txBox="1"/>
                              <wps:spPr>
                                <a:xfrm>
                                  <a:off x="2856230" y="509270"/>
                                  <a:ext cx="655955" cy="2508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210DA4A">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分类贮存</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4" name="直接箭头连接符 274"/>
                              <wps:cNvCnPr/>
                              <wps:spPr>
                                <a:xfrm>
                                  <a:off x="1551305" y="635635"/>
                                  <a:ext cx="314960" cy="2540"/>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05" name="直接箭头连接符 92"/>
                              <wps:cNvCnPr/>
                              <wps:spPr>
                                <a:xfrm flipV="1">
                                  <a:off x="337185" y="295910"/>
                                  <a:ext cx="3175" cy="203835"/>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06" name="直接箭头连接符 108"/>
                              <wps:cNvCnPr/>
                              <wps:spPr>
                                <a:xfrm flipV="1">
                                  <a:off x="562610" y="613410"/>
                                  <a:ext cx="349250" cy="6985"/>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07" name="直接箭头连接符 92"/>
                              <wps:cNvCnPr/>
                              <wps:spPr>
                                <a:xfrm flipV="1">
                                  <a:off x="1250315" y="293370"/>
                                  <a:ext cx="0" cy="202565"/>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08" name="直接箭头连接符 92"/>
                              <wps:cNvCnPr/>
                              <wps:spPr>
                                <a:xfrm flipH="1" flipV="1">
                                  <a:off x="2239010" y="302260"/>
                                  <a:ext cx="1905" cy="202565"/>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09" name="文本框 314"/>
                              <wps:cNvSpPr txBox="1"/>
                              <wps:spPr>
                                <a:xfrm>
                                  <a:off x="3801110" y="502920"/>
                                  <a:ext cx="1238250" cy="2508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9871799">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委托有资质单位处理</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1" name="文本框 107"/>
                              <wps:cNvSpPr txBox="1"/>
                              <wps:spPr>
                                <a:xfrm>
                                  <a:off x="2718435" y="62865"/>
                                  <a:ext cx="2110740" cy="236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4C908B">
                                    <w:pPr>
                                      <w:ind w:left="0" w:leftChars="0" w:firstLine="0" w:firstLineChars="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噪声、贮存废气、废劳保用品</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2" name="直接箭头连接符 92"/>
                              <wps:cNvCnPr/>
                              <wps:spPr>
                                <a:xfrm flipH="1" flipV="1">
                                  <a:off x="3209290" y="304165"/>
                                  <a:ext cx="1905" cy="202565"/>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63.85pt;width:404.7pt;" coordsize="5139690,810895" editas="canvas" o:gfxdata="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">
                      <o:lock v:ext="edit" aspectratio="f"/>
                      <v:shape id="_x0000_s1026" o:spid="_x0000_s1026" style="position:absolute;left:0;top:0;height:810895;width:5139690;" filled="f" stroked="f" coordsize="21600,21600" o:gfxdata="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">
                        <v:fill on="f" focussize="0,0"/>
                        <v:stroke on="f"/>
                        <v:imagedata o:title=""/>
                        <o:lock v:ext="edit" aspectratio="f"/>
                      </v:shape>
                      <v:shape id="文本框 48" o:spid="_x0000_s1026" o:spt="202" type="#_x0000_t202" style="position:absolute;left:905510;top:499745;height:250190;width:647065;" fillcolor="#FFFFFF [3201]" filled="t" stroked="t" coordsize="21600,21600" o:gfxdata="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9oRaZdMAAAAFAQAADwAAAAAAAAABACAAAAAiAAAAZHJzL2Rvd25yZXYueG1sUEsBAhQAFAAA&#10;AAgAh07iQMoXcGZmAgAAwgQAAA4AAAAAAAAAAQAgAAAAIgEAAGRycy9lMm9Eb2MueG1sUEsFBgAA&#10;AAAGAAYAWQEAAPoFAAAAAA==&#10;">
                        <v:fill on="t" focussize="0,0"/>
                        <v:stroke weight="0.5pt" color="#000000 [3204]" joinstyle="round"/>
                        <v:imagedata o:title=""/>
                        <o:lock v:ext="edit" aspectratio="f"/>
                        <v:textbox>
                          <w:txbxContent>
                            <w:p w14:paraId="40837D5E">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厂内运输</w:t>
                              </w:r>
                            </w:p>
                          </w:txbxContent>
                        </v:textbox>
                      </v:shape>
                      <v:shape id="文本框 49" o:spid="_x0000_s1026" o:spt="202" type="#_x0000_t202" style="position:absolute;left:1876425;top:504825;height:250190;width:717550;" fillcolor="#FFFFFF [3201]" filled="t" stroked="t" coordsize="21600,21600" o:gfxdata="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aEWmXTAAAABQEAAA8AAAAAAAAAAQAgAAAAIgAAAGRycy9kb3ducmV2LnhtbFBLAQIUABQAAAAI&#10;AIdO4kAJtcGhZAIAAMMEAAAOAAAAAAAAAAEAIAAAACIBAABkcnMvZTJvRG9jLnhtbFBLBQYAAAAA&#10;BgAGAFkBAAD4BQAAAAA=&#10;">
                        <v:fill on="t" focussize="0,0"/>
                        <v:stroke weight="0.5pt" color="#000000 [3204]" joinstyle="round"/>
                        <v:imagedata o:title=""/>
                        <o:lock v:ext="edit" aspectratio="f"/>
                        <v:textbox>
                          <w:txbxContent>
                            <w:p w14:paraId="0B8D04C1">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称重、入库</w:t>
                              </w:r>
                            </w:p>
                          </w:txbxContent>
                        </v:textbox>
                      </v:shape>
                      <v:shape id="文本框 50" o:spid="_x0000_s1026" o:spt="202" type="#_x0000_t202" style="position:absolute;left:99695;top:495300;height:256540;width:455930;" fillcolor="#FFFFFF [3201]" filled="t" stroked="t" coordsize="21600,21600" o:gfxdata="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aE&#10;WmXTAAAABQEAAA8AAAAAAAAAAQAgAAAAIgAAAGRycy9kb3ducmV2LnhtbFBLAQIUABQAAAAIAIdO&#10;4kAKUq7+YQIAAMEEAAAOAAAAAAAAAAEAIAAAACIBAABkcnMvZTJvRG9jLnhtbFBLBQYAAAAABgAG&#10;AFkBAAD1BQAAAAA=&#10;">
                        <v:fill on="t" focussize="0,0"/>
                        <v:stroke weight="0.5pt" color="#000000 [3204]" joinstyle="round"/>
                        <v:imagedata o:title=""/>
                        <o:lock v:ext="edit" aspectratio="f"/>
                        <v:textbox>
                          <w:txbxContent>
                            <w:p w14:paraId="7A84CBC6">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收集</w:t>
                              </w:r>
                            </w:p>
                          </w:txbxContent>
                        </v:textbox>
                      </v:shape>
                      <v:shape id="文本框 107" o:spid="_x0000_s1026" o:spt="202" type="#_x0000_t202" style="position:absolute;left:2023110;top:74295;height:236220;width:429260;" filled="f" stroked="f" coordsize="21600,21600" o:gfxdata="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WSs3PXAAAABQEAAA8AAAAAAAAAAQAg&#10;AAAAIgAAAGRycy9kb3ducmV2LnhtbFBLAQIUABQAAAAIAIdO4kC81ifJSAIAAHIEAAAOAAAAAAAA&#10;AAEAIAAAACYBAABkcnMvZTJvRG9jLnhtbFBLBQYAAAAABgAGAFkBAADgBQAAAAA=&#10;">
                        <v:fill on="f" focussize="0,0"/>
                        <v:stroke on="f" weight="0.5pt"/>
                        <v:imagedata o:title=""/>
                        <o:lock v:ext="edit" aspectratio="f"/>
                        <v:textbox>
                          <w:txbxContent>
                            <w:p w14:paraId="67311514">
                              <w:pPr>
                                <w:ind w:left="0" w:leftChars="0"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噪声</w:t>
                              </w:r>
                            </w:p>
                          </w:txbxContent>
                        </v:textbox>
                      </v:shape>
                      <v:shape id="文本框 109" o:spid="_x0000_s1026" o:spt="202" type="#_x0000_t202" style="position:absolute;left:1047115;top:60325;height:228600;width:471805;" filled="f" stroked="f" coordsize="21600,21600" o:gfxdata="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WSs3PXAAAABQEAAA8AAAAAAAAAAQAgAAAA&#10;IgAAAGRycy9kb3ducmV2LnhtbFBLAQIUABQAAAAIAIdO4kAtbJ/QRQIAAHMEAAAOAAAAAAAAAAEA&#10;IAAAACYBAABkcnMvZTJvRG9jLnhtbFBLBQYAAAAABgAGAFkBAADdBQAAAAA=&#10;">
                        <v:fill on="f" focussize="0,0"/>
                        <v:stroke on="f" weight="0.5pt"/>
                        <v:imagedata o:title=""/>
                        <o:lock v:ext="edit" aspectratio="f"/>
                        <v:textbox>
                          <w:txbxContent>
                            <w:p w14:paraId="3A64447D">
                              <w:pPr>
                                <w:ind w:left="0" w:leftChars="0" w:firstLine="0" w:firstLineChars="0"/>
                                <w:rPr>
                                  <w:sz w:val="18"/>
                                  <w:szCs w:val="18"/>
                                </w:rPr>
                              </w:pPr>
                              <w:r>
                                <w:rPr>
                                  <w:rFonts w:hint="eastAsia"/>
                                  <w:sz w:val="18"/>
                                  <w:szCs w:val="18"/>
                                </w:rPr>
                                <w:t>噪声</w:t>
                              </w:r>
                            </w:p>
                          </w:txbxContent>
                        </v:textbox>
                      </v:shape>
                      <v:shape id="文本框 65" o:spid="_x0000_s1026" o:spt="202" type="#_x0000_t202" style="position:absolute;left:142875;top:62865;height:234315;width:440690;" filled="f" stroked="f" coordsize="21600,21600" o:gfxdata="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lkrNz1wAAAAUBAAAPAAAAAAAAAAEAIAAA&#10;ACIAAABkcnMvZG93bnJldi54bWxQSwECFAAUAAAACACHTuJAZYx7/UYCAABxBAAADgAAAAAAAAAB&#10;ACAAAAAmAQAAZHJzL2Uyb0RvYy54bWxQSwUGAAAAAAYABgBZAQAA3gUAAAAA&#10;">
                        <v:fill on="f" focussize="0,0"/>
                        <v:stroke on="f" weight="0.5pt"/>
                        <v:imagedata o:title=""/>
                        <o:lock v:ext="edit" aspectratio="f"/>
                        <v:textbox>
                          <w:txbxContent>
                            <w:p w14:paraId="5A278B9A">
                              <w:pPr>
                                <w:adjustRightInd w:val="0"/>
                                <w:snapToGrid w:val="0"/>
                                <w:ind w:left="0" w:leftChars="0" w:firstLine="0" w:firstLineChars="0"/>
                                <w:rPr>
                                  <w:rFonts w:hint="default" w:eastAsia="宋体"/>
                                  <w:sz w:val="18"/>
                                  <w:szCs w:val="18"/>
                                  <w:lang w:val="en-US" w:eastAsia="zh-CN"/>
                                </w:rPr>
                              </w:pPr>
                              <w:r>
                                <w:rPr>
                                  <w:rFonts w:hint="eastAsia"/>
                                  <w:sz w:val="18"/>
                                  <w:szCs w:val="18"/>
                                </w:rPr>
                                <w:t>噪声</w:t>
                              </w:r>
                            </w:p>
                          </w:txbxContent>
                        </v:textbox>
                      </v:shape>
                      <v:shape id="直接箭头连接符 312" o:spid="_x0000_s1026" o:spt="32" type="#_x0000_t32" style="position:absolute;left:2606040;top:626110;height:635;width:258445;" filled="f" stroked="t" coordsize="21600,21600" o:gfxdata="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SlogNQAAAAFAQAADwAAAAAAAAABACAAAAAiAAAA&#10;ZHJzL2Rvd25yZXYueG1sUEsBAhQAFAAAAAgAh07iQLJi8zMLAgAA3AMAAA4AAAAAAAAAAQAgAAAA&#10;IwEAAGRycy9lMm9Eb2MueG1sUEsFBgAAAAAGAAYAWQEAAKAFAAAAAA==&#10;">
                        <v:fill on="f" focussize="0,0"/>
                        <v:stroke color="#000000 [3213]" joinstyle="round" dashstyle="3 1" endarrow="block"/>
                        <v:imagedata o:title=""/>
                        <o:lock v:ext="edit" aspectratio="f"/>
                      </v:shape>
                      <v:shape id="文本框 314" o:spid="_x0000_s1026" o:spt="202" type="#_x0000_t202" style="position:absolute;left:2856230;top:509270;height:250825;width:655955;" fillcolor="#FFFFFF [3201]" filled="t" stroked="t" coordsize="21600,21600" o:gfxdata="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2hFpl0wAAAAUBAAAPAAAAAAAAAAEAIAAAACIAAABkcnMvZG93bnJldi54bWxQSwECFAAUAAAA&#10;CACHTuJAhNYjN2UCAADFBAAADgAAAAAAAAABACAAAAAiAQAAZHJzL2Uyb0RvYy54bWxQSwUGAAAA&#10;AAYABgBZAQAA+QUAAAAA&#10;">
                        <v:fill on="t" focussize="0,0"/>
                        <v:stroke weight="0.5pt" color="#000000 [3204]" joinstyle="round"/>
                        <v:imagedata o:title=""/>
                        <o:lock v:ext="edit" aspectratio="f"/>
                        <v:textbox>
                          <w:txbxContent>
                            <w:p w14:paraId="4210DA4A">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分类贮存</w:t>
                              </w:r>
                            </w:p>
                          </w:txbxContent>
                        </v:textbox>
                      </v:shape>
                      <v:shape id="直接箭头连接符 274" o:spid="_x0000_s1026" o:spt="32" type="#_x0000_t32" style="position:absolute;left:1551305;top:635635;height:2540;width:314960;" filled="f" stroked="t" coordsize="21600,21600" o:gfxdata="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ZSlogNQAAAAFAQAADwAAAAAAAAABACAAAAAi&#10;AAAAZHJzL2Rvd25yZXYueG1sUEsBAhQAFAAAAAgAh07iQBl57pAOAgAA3QMAAA4AAAAAAAAAAQAg&#10;AAAAIwEAAGRycy9lMm9Eb2MueG1sUEsFBgAAAAAGAAYAWQEAAKMFAAAAAA==&#10;">
                        <v:fill on="f" focussize="0,0"/>
                        <v:stroke color="#000000 [3213]" joinstyle="round" dashstyle="3 1" endarrow="block"/>
                        <v:imagedata o:title=""/>
                        <o:lock v:ext="edit" aspectratio="f"/>
                      </v:shape>
                      <v:shape id="直接箭头连接符 92" o:spid="_x0000_s1026" o:spt="32" type="#_x0000_t32" style="position:absolute;left:337185;top:295910;flip:y;height:203835;width:3175;" filled="f" stroked="t" coordsize="21600,21600" o:gfxdata="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T4888tUAAAAFAQAADwAAAAAAAAABACAA&#10;AAAiAAAAZHJzL2Rvd25yZXYueG1sUEsBAhQAFAAAAAgAh07iQFconZcQAgAA5QMAAA4AAAAAAAAA&#10;AQAgAAAAJAEAAGRycy9lMm9Eb2MueG1sUEsFBgAAAAAGAAYAWQEAAKYFAAAAAA==&#10;">
                        <v:fill on="f" focussize="0,0"/>
                        <v:stroke color="#000000 [3213]" joinstyle="round" dashstyle="3 1" endarrow="block"/>
                        <v:imagedata o:title=""/>
                        <o:lock v:ext="edit" aspectratio="f"/>
                      </v:shape>
                      <v:shape id="直接箭头连接符 108" o:spid="_x0000_s1026" o:spt="32" type="#_x0000_t32" style="position:absolute;left:562610;top:613410;flip:y;height:6985;width:349250;" filled="f" stroked="t" coordsize="21600,21600" o:gfxdata="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T4888tUAAAAFAQAADwAAAAAAAAABACAA&#10;AAAiAAAAZHJzL2Rvd25yZXYueG1sUEsBAhQAFAAAAAgAh07iQKmoDRkQAgAA5gMAAA4AAAAAAAAA&#10;AQAgAAAAJAEAAGRycy9lMm9Eb2MueG1sUEsFBgAAAAAGAAYAWQEAAKYFAAAAAA==&#10;">
                        <v:fill on="f" focussize="0,0"/>
                        <v:stroke color="#000000 [3213]" joinstyle="round" dashstyle="3 1" endarrow="block"/>
                        <v:imagedata o:title=""/>
                        <o:lock v:ext="edit" aspectratio="f"/>
                      </v:shape>
                      <v:shape id="直接箭头连接符 92" o:spid="_x0000_s1026" o:spt="32" type="#_x0000_t32" style="position:absolute;left:1250315;top:293370;flip:y;height:202565;width:0;" filled="f" stroked="t" coordsize="21600,21600" o:gfxdata="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Pjzzy1QAAAAUBAAAPAAAAAAAAAAEAIAAA&#10;ACIAAABkcnMvZG93bnJldi54bWxQSwECFAAUAAAACACHTuJA+3S3Rw8CAADjAwAADgAAAAAAAAAB&#10;ACAAAAAkAQAAZHJzL2Uyb0RvYy54bWxQSwUGAAAAAAYABgBZAQAApQUAAAAA&#10;">
                        <v:fill on="f" focussize="0,0"/>
                        <v:stroke color="#000000 [3213]" joinstyle="round" dashstyle="3 1" endarrow="block"/>
                        <v:imagedata o:title=""/>
                        <o:lock v:ext="edit" aspectratio="f"/>
                      </v:shape>
                      <v:shape id="直接箭头连接符 92" o:spid="_x0000_s1026" o:spt="32" type="#_x0000_t32" style="position:absolute;left:2239010;top:302260;flip:x y;height:202565;width:1905;" filled="f" stroked="t" coordsize="21600,21600" o:gfxdata="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guvWzXAAAABQEAAA8AAAAA&#10;AAAAAQAgAAAAIgAAAGRycy9kb3ducmV2LnhtbFBLAQIUABQAAAAIAIdO4kA8N0PJFQIAAPADAAAO&#10;AAAAAAAAAAEAIAAAACYBAABkcnMvZTJvRG9jLnhtbFBLBQYAAAAABgAGAFkBAACtBQAAAAA=&#10;">
                        <v:fill on="f" focussize="0,0"/>
                        <v:stroke color="#000000 [3213]" joinstyle="round" dashstyle="3 1" endarrow="block"/>
                        <v:imagedata o:title=""/>
                        <o:lock v:ext="edit" aspectratio="f"/>
                      </v:shape>
                      <v:shape id="文本框 314" o:spid="_x0000_s1026" o:spt="202" type="#_x0000_t202" style="position:absolute;left:3801110;top:502920;height:250825;width:1238250;" fillcolor="#FFFFFF [3201]" filled="t" stroked="t" coordsize="21600,21600" o:gfxdata="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aE&#10;WmXTAAAABQEAAA8AAAAAAAAAAQAgAAAAIgAAAGRycy9kb3ducmV2LnhtbFBLAQIUABQAAAAIAIdO&#10;4kCJ2AGZYQIAAMYEAAAOAAAAAAAAAAEAIAAAACIBAABkcnMvZTJvRG9jLnhtbFBLBQYAAAAABgAG&#10;AFkBAAD1BQAAAAA=&#10;">
                        <v:fill on="t" focussize="0,0"/>
                        <v:stroke weight="0.5pt" color="#000000 [3204]" joinstyle="round"/>
                        <v:imagedata o:title=""/>
                        <o:lock v:ext="edit" aspectratio="f"/>
                        <v:textbox>
                          <w:txbxContent>
                            <w:p w14:paraId="19871799">
                              <w:pPr>
                                <w:adjustRightInd w:val="0"/>
                                <w:snapToGrid w:val="0"/>
                                <w:ind w:left="0" w:leftChars="0" w:firstLine="0" w:firstLineChars="0"/>
                                <w:jc w:val="both"/>
                                <w:rPr>
                                  <w:rFonts w:hint="default" w:eastAsia="宋体"/>
                                  <w:sz w:val="18"/>
                                  <w:szCs w:val="18"/>
                                  <w:lang w:val="en-US" w:eastAsia="zh-CN"/>
                                </w:rPr>
                              </w:pPr>
                              <w:r>
                                <w:rPr>
                                  <w:rFonts w:hint="eastAsia"/>
                                  <w:sz w:val="18"/>
                                  <w:szCs w:val="18"/>
                                  <w:lang w:val="en-US" w:eastAsia="zh-CN"/>
                                </w:rPr>
                                <w:t>委托有资质单位处理</w:t>
                              </w:r>
                            </w:p>
                          </w:txbxContent>
                        </v:textbox>
                      </v:shape>
                      <v:shape id="文本框 107" o:spid="_x0000_s1026" o:spt="202" type="#_x0000_t202" style="position:absolute;left:2718435;top:62865;height:236220;width:2110740;" filled="f" stroked="f" coordsize="21600,21600" o:gfxdata="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WSs3PXAAAABQEAAA8AAAAAAAAAAQAg&#10;AAAAIgAAAGRycy9kb3ducmV2LnhtbFBLAQIUABQAAAAIAIdO4kDayrUaSAIAAHQEAAAOAAAAAAAA&#10;AAEAIAAAACYBAABkcnMvZTJvRG9jLnhtbFBLBQYAAAAABgAGAFkBAADgBQAAAAA=&#10;">
                        <v:fill on="f" focussize="0,0"/>
                        <v:stroke on="f" weight="0.5pt"/>
                        <v:imagedata o:title=""/>
                        <o:lock v:ext="edit" aspectratio="f"/>
                        <v:textbox>
                          <w:txbxContent>
                            <w:p w14:paraId="4B4C908B">
                              <w:pPr>
                                <w:ind w:left="0" w:leftChars="0" w:firstLine="0" w:firstLineChars="0"/>
                                <w:rPr>
                                  <w:rFonts w:hint="default"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噪声、贮存废气、废劳保用品</w:t>
                              </w:r>
                            </w:p>
                          </w:txbxContent>
                        </v:textbox>
                      </v:shape>
                      <v:shape id="直接箭头连接符 92" o:spid="_x0000_s1026" o:spt="32" type="#_x0000_t32" style="position:absolute;left:3209290;top:304165;flip:x y;height:202565;width:1905;" filled="f" stroked="t" coordsize="21600,21600" o:gfxdata="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guvWzXAAAABQEAAA8AAAAA&#10;AAAAAQAgAAAAIgAAAGRycy9kb3ducmV2LnhtbFBLAQIUABQAAAAIAIdO4kAihHiSFQIAAPADAAAO&#10;AAAAAAAAAAEAIAAAACYBAABkcnMvZTJvRG9jLnhtbFBLBQYAAAAABgAGAFkBAACtBQAAAAA=&#10;">
                        <v:fill on="f" focussize="0,0"/>
                        <v:stroke color="#000000 [3213]" joinstyle="round" dashstyle="3 1" endarrow="block"/>
                        <v:imagedata o:title=""/>
                        <o:lock v:ext="edit" aspectratio="f"/>
                      </v:shape>
                      <w10:wrap type="none"/>
                      <w10:anchorlock/>
                    </v:group>
                  </w:pict>
                </mc:Fallback>
              </mc:AlternateContent>
            </w:r>
          </w:p>
          <w:p w14:paraId="02A415F3">
            <w:pPr>
              <w:bidi w:val="0"/>
              <w:ind w:left="0" w:leftChars="0" w:firstLine="0" w:firstLineChars="0"/>
              <w:jc w:val="center"/>
              <w:rPr>
                <w:rFonts w:cs="Times New Roman"/>
                <w:b/>
                <w:bCs/>
                <w:color w:val="auto"/>
                <w:sz w:val="24"/>
                <w:szCs w:val="24"/>
                <w:highlight w:val="none"/>
              </w:rPr>
            </w:pPr>
            <w:r>
              <w:rPr>
                <w:rFonts w:hint="eastAsia" w:cs="Times New Roman"/>
                <w:b/>
                <w:bCs/>
                <w:color w:val="auto"/>
                <w:sz w:val="24"/>
                <w:szCs w:val="24"/>
                <w:highlight w:val="none"/>
              </w:rPr>
              <w:t>图</w:t>
            </w:r>
            <w:r>
              <w:rPr>
                <w:rFonts w:hint="eastAsia" w:cs="Times New Roman"/>
                <w:b/>
                <w:bCs/>
                <w:color w:val="auto"/>
                <w:sz w:val="24"/>
                <w:szCs w:val="24"/>
                <w:highlight w:val="none"/>
                <w:lang w:val="en-US" w:eastAsia="zh-CN"/>
              </w:rPr>
              <w:t xml:space="preserve">3  </w:t>
            </w:r>
            <w:r>
              <w:rPr>
                <w:rFonts w:hint="eastAsia" w:cs="Times New Roman"/>
                <w:b/>
                <w:bCs/>
                <w:color w:val="auto"/>
                <w:sz w:val="24"/>
                <w:szCs w:val="24"/>
                <w:highlight w:val="none"/>
              </w:rPr>
              <w:t>危险废物收集贮存工艺流程</w:t>
            </w:r>
            <w:r>
              <w:rPr>
                <w:rFonts w:hint="eastAsia" w:cs="Times New Roman"/>
                <w:b/>
                <w:bCs/>
                <w:color w:val="auto"/>
                <w:sz w:val="24"/>
                <w:szCs w:val="24"/>
                <w:highlight w:val="none"/>
                <w:lang w:eastAsia="zh-CN"/>
              </w:rPr>
              <w:t>及产排污环节</w:t>
            </w:r>
            <w:r>
              <w:rPr>
                <w:rFonts w:hint="eastAsia" w:cs="Times New Roman"/>
                <w:b/>
                <w:bCs/>
                <w:color w:val="auto"/>
                <w:sz w:val="24"/>
                <w:szCs w:val="24"/>
                <w:highlight w:val="none"/>
              </w:rPr>
              <w:t>图</w:t>
            </w:r>
          </w:p>
          <w:p w14:paraId="6BEAC57F">
            <w:pPr>
              <w:bidi w:val="0"/>
              <w:rPr>
                <w:b/>
                <w:bCs/>
                <w:color w:val="auto"/>
                <w:highlight w:val="none"/>
              </w:rPr>
            </w:pPr>
            <w:r>
              <w:rPr>
                <w:rFonts w:hint="eastAsia"/>
                <w:b/>
                <w:bCs/>
                <w:color w:val="auto"/>
                <w:highlight w:val="none"/>
              </w:rPr>
              <w:t>危险废物收集贮存工艺描述：</w:t>
            </w:r>
          </w:p>
          <w:p w14:paraId="28A77826">
            <w:pPr>
              <w:bidi w:val="0"/>
              <w:rPr>
                <w:b/>
                <w:bCs/>
                <w:color w:val="auto"/>
                <w:highlight w:val="none"/>
              </w:rPr>
            </w:pPr>
            <w:r>
              <w:rPr>
                <w:rFonts w:hint="eastAsia"/>
                <w:b/>
                <w:bCs/>
                <w:color w:val="auto"/>
                <w:highlight w:val="none"/>
              </w:rPr>
              <w:t>（1）收集、厂内运输</w:t>
            </w:r>
          </w:p>
          <w:p w14:paraId="56FB5D44">
            <w:pPr>
              <w:bidi w:val="0"/>
              <w:rPr>
                <w:rFonts w:hint="eastAsia"/>
                <w:color w:val="auto"/>
                <w:highlight w:val="none"/>
                <w:lang w:eastAsia="zh-CN"/>
              </w:rPr>
            </w:pPr>
            <w:r>
              <w:rPr>
                <w:rFonts w:hint="eastAsia"/>
                <w:color w:val="auto"/>
                <w:highlight w:val="none"/>
              </w:rPr>
              <w:t>各产废点产生危险废物后，由专门人员负责收集</w:t>
            </w:r>
            <w:r>
              <w:rPr>
                <w:rFonts w:hint="eastAsia"/>
                <w:color w:val="auto"/>
                <w:highlight w:val="none"/>
                <w:lang w:eastAsia="zh-CN"/>
              </w:rPr>
              <w:t>。</w:t>
            </w:r>
          </w:p>
          <w:p w14:paraId="5117FFFE">
            <w:pPr>
              <w:bidi w:val="0"/>
              <w:rPr>
                <w:rFonts w:hint="eastAsia"/>
                <w:color w:val="auto"/>
                <w:highlight w:val="none"/>
              </w:rPr>
            </w:pPr>
            <w:r>
              <w:rPr>
                <w:rFonts w:hint="eastAsia"/>
                <w:color w:val="auto"/>
                <w:highlight w:val="none"/>
              </w:rPr>
              <w:t>本项目废液压油、废空压机油、废汽轮机油、废变压器油、废润滑油装入桶内加盖收集运输。废油漆桶、废油桶经密封收集，放置于防腐防渗漏托盘上运输。本项目废蓄电池放入耐酸耐腐蚀箱内收集运输，事故状态下遇破损的废铅蓄电池采用覆膜缠绕密封后置于耐酸耐腐蚀箱内，耐酸耐腐蚀箱加盖密闭，并放置于防腐防渗漏托盘上运输。</w:t>
            </w:r>
            <w:r>
              <w:rPr>
                <w:rFonts w:hint="eastAsia"/>
                <w:color w:val="auto"/>
                <w:highlight w:val="none"/>
                <w:lang w:eastAsia="zh-CN"/>
              </w:rPr>
              <w:t>本项目实验室废液及废试剂瓶经瓶装密封后，</w:t>
            </w:r>
            <w:r>
              <w:rPr>
                <w:rFonts w:hint="eastAsia"/>
                <w:color w:val="auto"/>
                <w:highlight w:val="none"/>
              </w:rPr>
              <w:t>收集至耐酸耐腐蚀箱内加盖密闭贮存，并放置于防腐防渗漏托盘上运输。</w:t>
            </w:r>
          </w:p>
          <w:p w14:paraId="482647C9">
            <w:pPr>
              <w:bidi w:val="0"/>
              <w:rPr>
                <w:color w:val="auto"/>
                <w:highlight w:val="none"/>
              </w:rPr>
            </w:pPr>
            <w:r>
              <w:rPr>
                <w:rFonts w:hint="eastAsia"/>
                <w:color w:val="auto"/>
                <w:highlight w:val="none"/>
              </w:rPr>
              <w:t>废蓄电池、废液压油、废空压机油、废汽轮机油、废变压器油、废润滑油、废油漆桶、废油桶、</w:t>
            </w:r>
            <w:r>
              <w:rPr>
                <w:rFonts w:hint="eastAsia"/>
                <w:color w:val="auto"/>
                <w:highlight w:val="none"/>
                <w:lang w:eastAsia="zh-CN"/>
              </w:rPr>
              <w:t>实验室废液及废试剂瓶</w:t>
            </w:r>
            <w:r>
              <w:rPr>
                <w:rFonts w:hint="eastAsia"/>
                <w:color w:val="auto"/>
                <w:highlight w:val="none"/>
              </w:rPr>
              <w:t>通过</w:t>
            </w:r>
            <w:r>
              <w:rPr>
                <w:rFonts w:hint="eastAsia"/>
                <w:color w:val="auto"/>
                <w:highlight w:val="none"/>
                <w:lang w:eastAsia="zh-CN"/>
              </w:rPr>
              <w:t>厂内搬运倾倒车</w:t>
            </w:r>
            <w:r>
              <w:rPr>
                <w:rFonts w:hint="eastAsia"/>
                <w:color w:val="auto"/>
                <w:highlight w:val="none"/>
              </w:rPr>
              <w:t>转运至本项目</w:t>
            </w:r>
            <w:r>
              <w:rPr>
                <w:rFonts w:hint="eastAsia"/>
                <w:color w:val="auto"/>
                <w:highlight w:val="none"/>
                <w:lang w:eastAsia="zh-CN"/>
              </w:rPr>
              <w:t>危险废物贮存点</w:t>
            </w:r>
            <w:r>
              <w:rPr>
                <w:rFonts w:hint="eastAsia"/>
                <w:color w:val="auto"/>
                <w:highlight w:val="none"/>
              </w:rPr>
              <w:t>。</w:t>
            </w:r>
          </w:p>
          <w:p w14:paraId="7F9CCECB">
            <w:pPr>
              <w:bidi w:val="0"/>
              <w:rPr>
                <w:color w:val="auto"/>
                <w:highlight w:val="none"/>
              </w:rPr>
            </w:pPr>
            <w:r>
              <w:rPr>
                <w:rFonts w:hint="eastAsia"/>
                <w:color w:val="auto"/>
                <w:highlight w:val="none"/>
              </w:rPr>
              <w:t>此工序产生的污染物为噪声。</w:t>
            </w:r>
          </w:p>
          <w:p w14:paraId="3DB64DB6">
            <w:pPr>
              <w:bidi w:val="0"/>
              <w:rPr>
                <w:b/>
                <w:bCs/>
                <w:color w:val="auto"/>
                <w:highlight w:val="none"/>
              </w:rPr>
            </w:pPr>
            <w:r>
              <w:rPr>
                <w:rFonts w:hint="eastAsia"/>
                <w:b/>
                <w:bCs/>
                <w:color w:val="auto"/>
                <w:highlight w:val="none"/>
              </w:rPr>
              <w:t>（2）称重、入库</w:t>
            </w:r>
          </w:p>
          <w:p w14:paraId="15D024A6">
            <w:pPr>
              <w:bidi w:val="0"/>
              <w:rPr>
                <w:color w:val="auto"/>
                <w:highlight w:val="none"/>
              </w:rPr>
            </w:pPr>
            <w:r>
              <w:rPr>
                <w:rFonts w:hint="eastAsia"/>
                <w:color w:val="auto"/>
                <w:highlight w:val="none"/>
              </w:rPr>
              <w:t>项目收集的危险废物卸车，将危险废物用</w:t>
            </w:r>
            <w:r>
              <w:rPr>
                <w:rFonts w:hint="eastAsia"/>
                <w:color w:val="auto"/>
                <w:highlight w:val="none"/>
                <w:lang w:eastAsia="zh-CN"/>
              </w:rPr>
              <w:t>公司原有</w:t>
            </w:r>
            <w:r>
              <w:rPr>
                <w:rFonts w:hint="eastAsia"/>
                <w:color w:val="auto"/>
                <w:highlight w:val="none"/>
              </w:rPr>
              <w:t>地磅计量称重，建立台账、入库交接记录。</w:t>
            </w:r>
          </w:p>
          <w:p w14:paraId="6D1AAC80">
            <w:pPr>
              <w:bidi w:val="0"/>
              <w:rPr>
                <w:color w:val="auto"/>
                <w:highlight w:val="none"/>
              </w:rPr>
            </w:pPr>
            <w:r>
              <w:rPr>
                <w:rFonts w:hint="eastAsia"/>
                <w:color w:val="auto"/>
                <w:highlight w:val="none"/>
              </w:rPr>
              <w:t>此工序产生污染物为噪声。</w:t>
            </w:r>
          </w:p>
          <w:p w14:paraId="33588D2F">
            <w:pPr>
              <w:bidi w:val="0"/>
              <w:rPr>
                <w:b/>
                <w:bCs/>
                <w:color w:val="auto"/>
                <w:highlight w:val="none"/>
              </w:rPr>
            </w:pPr>
            <w:r>
              <w:rPr>
                <w:rFonts w:hint="eastAsia"/>
                <w:b/>
                <w:bCs/>
                <w:color w:val="auto"/>
                <w:highlight w:val="none"/>
              </w:rPr>
              <w:t>（</w:t>
            </w:r>
            <w:r>
              <w:rPr>
                <w:rFonts w:hint="eastAsia"/>
                <w:b/>
                <w:bCs/>
                <w:color w:val="auto"/>
                <w:highlight w:val="none"/>
                <w:lang w:val="en-US" w:eastAsia="zh-CN"/>
              </w:rPr>
              <w:t>3</w:t>
            </w:r>
            <w:r>
              <w:rPr>
                <w:rFonts w:hint="eastAsia"/>
                <w:b/>
                <w:bCs/>
                <w:color w:val="auto"/>
                <w:highlight w:val="none"/>
              </w:rPr>
              <w:t>）分类贮存</w:t>
            </w:r>
          </w:p>
          <w:p w14:paraId="672D0017">
            <w:pPr>
              <w:bidi w:val="0"/>
              <w:rPr>
                <w:color w:val="auto"/>
                <w:highlight w:val="none"/>
              </w:rPr>
            </w:pPr>
            <w:r>
              <w:rPr>
                <w:rFonts w:hint="eastAsia"/>
                <w:color w:val="auto"/>
                <w:highlight w:val="none"/>
              </w:rPr>
              <w:t>本项目根据危险废物的种类进行分类贮存。</w:t>
            </w:r>
          </w:p>
          <w:p w14:paraId="0DF9D1E7">
            <w:pPr>
              <w:bidi w:val="0"/>
              <w:rPr>
                <w:rFonts w:hint="default" w:eastAsia="宋体"/>
                <w:color w:val="auto"/>
                <w:highlight w:val="none"/>
                <w:lang w:val="en-US" w:eastAsia="zh-CN"/>
              </w:rPr>
            </w:pPr>
            <w:r>
              <w:rPr>
                <w:rFonts w:hint="eastAsia"/>
                <w:color w:val="auto"/>
                <w:highlight w:val="none"/>
                <w:lang w:eastAsia="zh-CN"/>
              </w:rPr>
              <w:t>本项目</w:t>
            </w:r>
            <w:r>
              <w:rPr>
                <w:rFonts w:hint="eastAsia"/>
                <w:color w:val="auto"/>
                <w:highlight w:val="none"/>
              </w:rPr>
              <w:t>废液压油、废空压机油</w:t>
            </w:r>
            <w:r>
              <w:rPr>
                <w:rFonts w:hint="eastAsia"/>
                <w:color w:val="auto"/>
                <w:highlight w:val="none"/>
                <w:lang w:eastAsia="zh-CN"/>
              </w:rPr>
              <w:t>和</w:t>
            </w:r>
            <w:r>
              <w:rPr>
                <w:rFonts w:hint="eastAsia"/>
                <w:color w:val="auto"/>
                <w:highlight w:val="none"/>
              </w:rPr>
              <w:t>废汽轮机油、废变压器油、废润滑油</w:t>
            </w:r>
            <w:r>
              <w:rPr>
                <w:rFonts w:hint="eastAsia"/>
                <w:color w:val="auto"/>
                <w:highlight w:val="none"/>
                <w:lang w:eastAsia="zh-CN"/>
              </w:rPr>
              <w:t>采用</w:t>
            </w:r>
            <w:r>
              <w:rPr>
                <w:rFonts w:hint="eastAsia"/>
                <w:color w:val="auto"/>
                <w:highlight w:val="none"/>
                <w:lang w:val="en-US" w:eastAsia="zh-CN"/>
              </w:rPr>
              <w:t>桶装</w:t>
            </w:r>
            <w:r>
              <w:rPr>
                <w:rFonts w:hint="eastAsia"/>
                <w:color w:val="auto"/>
                <w:highlight w:val="none"/>
              </w:rPr>
              <w:t>加盖收集</w:t>
            </w:r>
            <w:r>
              <w:rPr>
                <w:rFonts w:hint="eastAsia"/>
                <w:color w:val="auto"/>
                <w:highlight w:val="none"/>
                <w:lang w:val="en-US" w:eastAsia="zh-CN"/>
              </w:rPr>
              <w:t>和贮存，废油漆桶、废油桶加盖密封贮存，废蓄电池、实验室废液及废试剂瓶收集至耐酸耐腐蚀箱内加盖密闭贮存。</w:t>
            </w:r>
          </w:p>
          <w:p w14:paraId="57640BE0">
            <w:pPr>
              <w:bidi w:val="0"/>
              <w:rPr>
                <w:color w:val="auto"/>
                <w:highlight w:val="none"/>
              </w:rPr>
            </w:pPr>
            <w:r>
              <w:rPr>
                <w:rFonts w:hint="eastAsia"/>
                <w:color w:val="auto"/>
                <w:highlight w:val="none"/>
              </w:rPr>
              <w:t>此工序产生污染物主要为噪声、贮存废气</w:t>
            </w:r>
            <w:r>
              <w:rPr>
                <w:rFonts w:hint="eastAsia"/>
                <w:color w:val="auto"/>
                <w:highlight w:val="none"/>
                <w:lang w:eastAsia="zh-CN"/>
              </w:rPr>
              <w:t>、废劳保用品</w:t>
            </w:r>
            <w:r>
              <w:rPr>
                <w:rFonts w:hint="eastAsia"/>
                <w:color w:val="auto"/>
                <w:highlight w:val="none"/>
              </w:rPr>
              <w:t>。</w:t>
            </w:r>
          </w:p>
          <w:p w14:paraId="342879E0">
            <w:pPr>
              <w:bidi w:val="0"/>
              <w:rPr>
                <w:b/>
                <w:bCs/>
                <w:color w:val="auto"/>
                <w:highlight w:val="none"/>
              </w:rPr>
            </w:pPr>
            <w:r>
              <w:rPr>
                <w:rFonts w:hint="eastAsia"/>
                <w:b/>
                <w:bCs/>
                <w:color w:val="auto"/>
                <w:highlight w:val="none"/>
              </w:rPr>
              <w:t>（</w:t>
            </w:r>
            <w:r>
              <w:rPr>
                <w:rFonts w:hint="eastAsia"/>
                <w:b/>
                <w:bCs/>
                <w:color w:val="auto"/>
                <w:highlight w:val="none"/>
                <w:lang w:val="en-US" w:eastAsia="zh-CN"/>
              </w:rPr>
              <w:t>4</w:t>
            </w:r>
            <w:r>
              <w:rPr>
                <w:rFonts w:hint="eastAsia"/>
                <w:b/>
                <w:bCs/>
                <w:color w:val="auto"/>
                <w:highlight w:val="none"/>
              </w:rPr>
              <w:t>）委托处置</w:t>
            </w:r>
          </w:p>
          <w:p w14:paraId="38A4FCD4">
            <w:pPr>
              <w:bidi w:val="0"/>
              <w:rPr>
                <w:rFonts w:hint="eastAsia"/>
                <w:color w:val="auto"/>
                <w:highlight w:val="none"/>
              </w:rPr>
            </w:pPr>
            <w:r>
              <w:rPr>
                <w:rFonts w:hint="eastAsia"/>
                <w:color w:val="auto"/>
                <w:highlight w:val="none"/>
              </w:rPr>
              <w:t>本项目危险废物贮存后，定期委托有资质单位处置，由有资质单位委托有相关运输单位转移。</w:t>
            </w:r>
          </w:p>
          <w:p w14:paraId="79800034">
            <w:pPr>
              <w:pStyle w:val="25"/>
              <w:bidi w:val="0"/>
              <w:rPr>
                <w:color w:val="auto"/>
                <w:highlight w:val="none"/>
              </w:rPr>
            </w:pPr>
            <w:r>
              <w:rPr>
                <w:color w:val="auto"/>
                <w:highlight w:val="none"/>
              </w:rPr>
              <w:t>主要污染工序一览表</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1"/>
              <w:gridCol w:w="690"/>
              <w:gridCol w:w="1966"/>
              <w:gridCol w:w="2219"/>
              <w:gridCol w:w="2470"/>
            </w:tblGrid>
            <w:tr w14:paraId="55AB6C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57" w:type="pct"/>
                  <w:tcBorders>
                    <w:tl2br w:val="nil"/>
                    <w:tr2bl w:val="nil"/>
                  </w:tcBorders>
                  <w:vAlign w:val="center"/>
                </w:tcPr>
                <w:p w14:paraId="3E94C10E">
                  <w:pPr>
                    <w:pStyle w:val="27"/>
                    <w:spacing w:line="240" w:lineRule="auto"/>
                    <w:rPr>
                      <w:rFonts w:hint="default"/>
                      <w:color w:val="auto"/>
                      <w:highlight w:val="none"/>
                    </w:rPr>
                  </w:pPr>
                  <w:r>
                    <w:rPr>
                      <w:rFonts w:hint="default" w:eastAsia="宋体"/>
                      <w:b/>
                      <w:color w:val="auto"/>
                      <w:sz w:val="21"/>
                      <w:highlight w:val="none"/>
                    </w:rPr>
                    <w:t>时段</w:t>
                  </w:r>
                </w:p>
              </w:tc>
              <w:tc>
                <w:tcPr>
                  <w:tcW w:w="417" w:type="pct"/>
                  <w:tcBorders>
                    <w:tl2br w:val="nil"/>
                    <w:tr2bl w:val="nil"/>
                  </w:tcBorders>
                  <w:vAlign w:val="center"/>
                </w:tcPr>
                <w:p w14:paraId="6BBEFACB">
                  <w:pPr>
                    <w:pStyle w:val="27"/>
                    <w:spacing w:line="240" w:lineRule="auto"/>
                    <w:rPr>
                      <w:rFonts w:hint="default"/>
                      <w:color w:val="auto"/>
                      <w:highlight w:val="none"/>
                    </w:rPr>
                  </w:pPr>
                  <w:r>
                    <w:rPr>
                      <w:rFonts w:hint="default" w:eastAsia="宋体"/>
                      <w:b/>
                      <w:color w:val="auto"/>
                      <w:sz w:val="21"/>
                      <w:highlight w:val="none"/>
                    </w:rPr>
                    <w:t>类别</w:t>
                  </w:r>
                </w:p>
              </w:tc>
              <w:tc>
                <w:tcPr>
                  <w:tcW w:w="1189" w:type="pct"/>
                  <w:tcBorders>
                    <w:tl2br w:val="nil"/>
                    <w:tr2bl w:val="nil"/>
                  </w:tcBorders>
                  <w:vAlign w:val="center"/>
                </w:tcPr>
                <w:p w14:paraId="18A82D3E">
                  <w:pPr>
                    <w:pStyle w:val="27"/>
                    <w:spacing w:line="240" w:lineRule="auto"/>
                    <w:rPr>
                      <w:rFonts w:hint="default"/>
                      <w:color w:val="auto"/>
                      <w:highlight w:val="none"/>
                    </w:rPr>
                  </w:pPr>
                  <w:r>
                    <w:rPr>
                      <w:rFonts w:hint="default" w:eastAsia="宋体"/>
                      <w:b/>
                      <w:color w:val="auto"/>
                      <w:sz w:val="21"/>
                      <w:highlight w:val="none"/>
                    </w:rPr>
                    <w:t>主要污染工序</w:t>
                  </w:r>
                </w:p>
              </w:tc>
              <w:tc>
                <w:tcPr>
                  <w:tcW w:w="1342" w:type="pct"/>
                  <w:tcBorders>
                    <w:tl2br w:val="nil"/>
                    <w:tr2bl w:val="nil"/>
                  </w:tcBorders>
                  <w:vAlign w:val="center"/>
                </w:tcPr>
                <w:p w14:paraId="06DC61CB">
                  <w:pPr>
                    <w:pStyle w:val="27"/>
                    <w:spacing w:line="240" w:lineRule="auto"/>
                    <w:rPr>
                      <w:rFonts w:hint="default"/>
                      <w:color w:val="auto"/>
                      <w:highlight w:val="none"/>
                    </w:rPr>
                  </w:pPr>
                  <w:r>
                    <w:rPr>
                      <w:rFonts w:hint="default" w:eastAsia="宋体"/>
                      <w:b/>
                      <w:color w:val="auto"/>
                      <w:sz w:val="21"/>
                      <w:highlight w:val="none"/>
                    </w:rPr>
                    <w:t>主要污染因子</w:t>
                  </w:r>
                </w:p>
              </w:tc>
              <w:tc>
                <w:tcPr>
                  <w:tcW w:w="1494" w:type="pct"/>
                  <w:tcBorders>
                    <w:tl2br w:val="nil"/>
                    <w:tr2bl w:val="nil"/>
                  </w:tcBorders>
                  <w:vAlign w:val="center"/>
                </w:tcPr>
                <w:p w14:paraId="4FA05A0C">
                  <w:pPr>
                    <w:pStyle w:val="27"/>
                    <w:spacing w:line="240" w:lineRule="auto"/>
                    <w:rPr>
                      <w:rFonts w:hint="default"/>
                      <w:color w:val="auto"/>
                      <w:highlight w:val="none"/>
                    </w:rPr>
                  </w:pPr>
                  <w:r>
                    <w:rPr>
                      <w:rFonts w:hint="default" w:eastAsia="宋体"/>
                      <w:b/>
                      <w:color w:val="auto"/>
                      <w:sz w:val="21"/>
                      <w:highlight w:val="none"/>
                    </w:rPr>
                    <w:t>评价因子</w:t>
                  </w:r>
                </w:p>
              </w:tc>
            </w:tr>
            <w:tr w14:paraId="77D392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7" w:type="pct"/>
                  <w:vMerge w:val="restart"/>
                  <w:tcBorders>
                    <w:tl2br w:val="nil"/>
                    <w:tr2bl w:val="nil"/>
                  </w:tcBorders>
                  <w:vAlign w:val="center"/>
                </w:tcPr>
                <w:p w14:paraId="2C600BCD">
                  <w:pPr>
                    <w:pStyle w:val="24"/>
                    <w:spacing w:line="240" w:lineRule="auto"/>
                    <w:rPr>
                      <w:color w:val="auto"/>
                      <w:highlight w:val="none"/>
                    </w:rPr>
                  </w:pPr>
                  <w:r>
                    <w:rPr>
                      <w:rFonts w:hint="eastAsia"/>
                      <w:color w:val="auto"/>
                      <w:highlight w:val="none"/>
                    </w:rPr>
                    <w:t>施工期</w:t>
                  </w:r>
                </w:p>
              </w:tc>
              <w:tc>
                <w:tcPr>
                  <w:tcW w:w="417" w:type="pct"/>
                  <w:tcBorders>
                    <w:tl2br w:val="nil"/>
                    <w:tr2bl w:val="nil"/>
                  </w:tcBorders>
                  <w:shd w:val="clear" w:color="auto" w:fill="auto"/>
                  <w:vAlign w:val="center"/>
                </w:tcPr>
                <w:p w14:paraId="7BB17AD4">
                  <w:pPr>
                    <w:pStyle w:val="24"/>
                    <w:spacing w:line="240" w:lineRule="auto"/>
                    <w:rPr>
                      <w:color w:val="auto"/>
                      <w:highlight w:val="none"/>
                    </w:rPr>
                  </w:pPr>
                  <w:r>
                    <w:rPr>
                      <w:color w:val="auto"/>
                      <w:highlight w:val="none"/>
                    </w:rPr>
                    <w:t>废气</w:t>
                  </w:r>
                </w:p>
              </w:tc>
              <w:tc>
                <w:tcPr>
                  <w:tcW w:w="1189" w:type="pct"/>
                  <w:tcBorders>
                    <w:tl2br w:val="nil"/>
                    <w:tr2bl w:val="nil"/>
                  </w:tcBorders>
                  <w:vAlign w:val="center"/>
                </w:tcPr>
                <w:p w14:paraId="62C22288">
                  <w:pPr>
                    <w:pStyle w:val="24"/>
                    <w:spacing w:line="240" w:lineRule="auto"/>
                    <w:rPr>
                      <w:rFonts w:hint="eastAsia" w:eastAsiaTheme="minorEastAsia"/>
                      <w:color w:val="auto"/>
                      <w:highlight w:val="none"/>
                      <w:lang w:eastAsia="zh-CN"/>
                    </w:rPr>
                  </w:pPr>
                  <w:r>
                    <w:rPr>
                      <w:rFonts w:hint="eastAsia"/>
                      <w:color w:val="auto"/>
                      <w:highlight w:val="none"/>
                      <w:lang w:eastAsia="zh-CN"/>
                    </w:rPr>
                    <w:t>施工过程</w:t>
                  </w:r>
                </w:p>
              </w:tc>
              <w:tc>
                <w:tcPr>
                  <w:tcW w:w="1342" w:type="pct"/>
                  <w:tcBorders>
                    <w:tl2br w:val="nil"/>
                    <w:tr2bl w:val="nil"/>
                  </w:tcBorders>
                  <w:vAlign w:val="center"/>
                </w:tcPr>
                <w:p w14:paraId="4CB39DA3">
                  <w:pPr>
                    <w:pStyle w:val="24"/>
                    <w:spacing w:line="240" w:lineRule="auto"/>
                    <w:rPr>
                      <w:color w:val="auto"/>
                      <w:highlight w:val="none"/>
                    </w:rPr>
                  </w:pPr>
                  <w:r>
                    <w:rPr>
                      <w:rFonts w:hint="eastAsia"/>
                      <w:color w:val="auto"/>
                      <w:highlight w:val="none"/>
                    </w:rPr>
                    <w:t>TSP</w:t>
                  </w:r>
                </w:p>
              </w:tc>
              <w:tc>
                <w:tcPr>
                  <w:tcW w:w="1494" w:type="pct"/>
                  <w:tcBorders>
                    <w:tl2br w:val="nil"/>
                    <w:tr2bl w:val="nil"/>
                  </w:tcBorders>
                  <w:vAlign w:val="center"/>
                </w:tcPr>
                <w:p w14:paraId="21B35514">
                  <w:pPr>
                    <w:pStyle w:val="24"/>
                    <w:spacing w:line="240" w:lineRule="auto"/>
                    <w:rPr>
                      <w:color w:val="auto"/>
                      <w:highlight w:val="none"/>
                    </w:rPr>
                  </w:pPr>
                  <w:r>
                    <w:rPr>
                      <w:rFonts w:hint="eastAsia"/>
                      <w:color w:val="auto"/>
                      <w:highlight w:val="none"/>
                    </w:rPr>
                    <w:t>TSP</w:t>
                  </w:r>
                </w:p>
              </w:tc>
            </w:tr>
            <w:tr w14:paraId="5D7452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7" w:type="pct"/>
                  <w:vMerge w:val="continue"/>
                  <w:tcBorders>
                    <w:tl2br w:val="nil"/>
                    <w:tr2bl w:val="nil"/>
                  </w:tcBorders>
                  <w:vAlign w:val="center"/>
                </w:tcPr>
                <w:p w14:paraId="0A98748B">
                  <w:pPr>
                    <w:pStyle w:val="24"/>
                    <w:spacing w:line="240" w:lineRule="auto"/>
                    <w:rPr>
                      <w:color w:val="auto"/>
                      <w:highlight w:val="none"/>
                    </w:rPr>
                  </w:pPr>
                </w:p>
              </w:tc>
              <w:tc>
                <w:tcPr>
                  <w:tcW w:w="417" w:type="pct"/>
                  <w:tcBorders>
                    <w:tl2br w:val="nil"/>
                    <w:tr2bl w:val="nil"/>
                  </w:tcBorders>
                  <w:shd w:val="clear" w:color="auto" w:fill="auto"/>
                  <w:vAlign w:val="center"/>
                </w:tcPr>
                <w:p w14:paraId="15BBB976">
                  <w:pPr>
                    <w:pStyle w:val="24"/>
                    <w:spacing w:line="240" w:lineRule="auto"/>
                    <w:rPr>
                      <w:color w:val="auto"/>
                      <w:highlight w:val="none"/>
                    </w:rPr>
                  </w:pPr>
                  <w:r>
                    <w:rPr>
                      <w:color w:val="auto"/>
                      <w:highlight w:val="none"/>
                    </w:rPr>
                    <w:t>废水</w:t>
                  </w:r>
                </w:p>
              </w:tc>
              <w:tc>
                <w:tcPr>
                  <w:tcW w:w="1189" w:type="pct"/>
                  <w:tcBorders>
                    <w:tl2br w:val="nil"/>
                    <w:tr2bl w:val="nil"/>
                  </w:tcBorders>
                  <w:vAlign w:val="center"/>
                </w:tcPr>
                <w:p w14:paraId="5DC6A9D9">
                  <w:pPr>
                    <w:pStyle w:val="24"/>
                    <w:spacing w:line="240" w:lineRule="auto"/>
                    <w:rPr>
                      <w:color w:val="auto"/>
                      <w:highlight w:val="none"/>
                    </w:rPr>
                  </w:pPr>
                  <w:r>
                    <w:rPr>
                      <w:rFonts w:hint="eastAsia"/>
                      <w:color w:val="auto"/>
                      <w:highlight w:val="none"/>
                    </w:rPr>
                    <w:t>施工人员生活污水</w:t>
                  </w:r>
                </w:p>
              </w:tc>
              <w:tc>
                <w:tcPr>
                  <w:tcW w:w="1342" w:type="pct"/>
                  <w:tcBorders>
                    <w:tl2br w:val="nil"/>
                    <w:tr2bl w:val="nil"/>
                  </w:tcBorders>
                  <w:shd w:val="clear" w:color="auto" w:fill="auto"/>
                  <w:vAlign w:val="center"/>
                </w:tcPr>
                <w:p w14:paraId="296EDCB3">
                  <w:pPr>
                    <w:pStyle w:val="24"/>
                    <w:spacing w:line="240" w:lineRule="auto"/>
                    <w:rPr>
                      <w:color w:val="auto"/>
                      <w:highlight w:val="none"/>
                    </w:rPr>
                  </w:pPr>
                  <w:r>
                    <w:rPr>
                      <w:color w:val="auto"/>
                      <w:highlight w:val="none"/>
                    </w:rPr>
                    <w:t>COD、NH</w:t>
                  </w:r>
                  <w:r>
                    <w:rPr>
                      <w:color w:val="auto"/>
                      <w:highlight w:val="none"/>
                      <w:vertAlign w:val="subscript"/>
                    </w:rPr>
                    <w:t>3</w:t>
                  </w:r>
                  <w:r>
                    <w:rPr>
                      <w:color w:val="auto"/>
                      <w:highlight w:val="none"/>
                    </w:rPr>
                    <w:t>-N</w:t>
                  </w:r>
                </w:p>
              </w:tc>
              <w:tc>
                <w:tcPr>
                  <w:tcW w:w="1494" w:type="pct"/>
                  <w:tcBorders>
                    <w:tl2br w:val="nil"/>
                    <w:tr2bl w:val="nil"/>
                  </w:tcBorders>
                  <w:shd w:val="clear" w:color="auto" w:fill="auto"/>
                  <w:vAlign w:val="center"/>
                </w:tcPr>
                <w:p w14:paraId="1D1583F7">
                  <w:pPr>
                    <w:pStyle w:val="24"/>
                    <w:spacing w:line="240" w:lineRule="auto"/>
                    <w:rPr>
                      <w:color w:val="auto"/>
                      <w:highlight w:val="none"/>
                    </w:rPr>
                  </w:pPr>
                  <w:r>
                    <w:rPr>
                      <w:color w:val="auto"/>
                      <w:highlight w:val="none"/>
                    </w:rPr>
                    <w:t>COD、NH</w:t>
                  </w:r>
                  <w:r>
                    <w:rPr>
                      <w:color w:val="auto"/>
                      <w:highlight w:val="none"/>
                      <w:vertAlign w:val="subscript"/>
                    </w:rPr>
                    <w:t>3</w:t>
                  </w:r>
                  <w:r>
                    <w:rPr>
                      <w:color w:val="auto"/>
                      <w:highlight w:val="none"/>
                    </w:rPr>
                    <w:t>-N</w:t>
                  </w:r>
                </w:p>
              </w:tc>
            </w:tr>
            <w:tr w14:paraId="20ACC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7" w:type="pct"/>
                  <w:vMerge w:val="continue"/>
                  <w:tcBorders>
                    <w:tl2br w:val="nil"/>
                    <w:tr2bl w:val="nil"/>
                  </w:tcBorders>
                  <w:vAlign w:val="center"/>
                </w:tcPr>
                <w:p w14:paraId="6B8AC672">
                  <w:pPr>
                    <w:pStyle w:val="24"/>
                    <w:spacing w:line="240" w:lineRule="auto"/>
                    <w:rPr>
                      <w:color w:val="auto"/>
                      <w:highlight w:val="none"/>
                    </w:rPr>
                  </w:pPr>
                </w:p>
              </w:tc>
              <w:tc>
                <w:tcPr>
                  <w:tcW w:w="417" w:type="pct"/>
                  <w:tcBorders>
                    <w:tl2br w:val="nil"/>
                    <w:tr2bl w:val="nil"/>
                  </w:tcBorders>
                  <w:shd w:val="clear" w:color="auto" w:fill="auto"/>
                  <w:vAlign w:val="center"/>
                </w:tcPr>
                <w:p w14:paraId="45EBF06F">
                  <w:pPr>
                    <w:pStyle w:val="24"/>
                    <w:spacing w:line="240" w:lineRule="auto"/>
                    <w:rPr>
                      <w:color w:val="auto"/>
                      <w:highlight w:val="none"/>
                    </w:rPr>
                  </w:pPr>
                  <w:r>
                    <w:rPr>
                      <w:color w:val="auto"/>
                      <w:highlight w:val="none"/>
                    </w:rPr>
                    <w:t>噪声</w:t>
                  </w:r>
                </w:p>
              </w:tc>
              <w:tc>
                <w:tcPr>
                  <w:tcW w:w="1189" w:type="pct"/>
                  <w:tcBorders>
                    <w:tl2br w:val="nil"/>
                    <w:tr2bl w:val="nil"/>
                  </w:tcBorders>
                  <w:vAlign w:val="center"/>
                </w:tcPr>
                <w:p w14:paraId="0773B742">
                  <w:pPr>
                    <w:pStyle w:val="24"/>
                    <w:spacing w:line="240" w:lineRule="auto"/>
                    <w:rPr>
                      <w:color w:val="auto"/>
                      <w:highlight w:val="none"/>
                    </w:rPr>
                  </w:pPr>
                  <w:r>
                    <w:rPr>
                      <w:rFonts w:hint="eastAsia"/>
                      <w:color w:val="auto"/>
                      <w:highlight w:val="none"/>
                    </w:rPr>
                    <w:t>施工</w:t>
                  </w:r>
                  <w:r>
                    <w:rPr>
                      <w:rFonts w:hint="eastAsia"/>
                      <w:color w:val="auto"/>
                      <w:highlight w:val="none"/>
                      <w:lang w:eastAsia="zh-CN"/>
                    </w:rPr>
                    <w:t>机械</w:t>
                  </w:r>
                </w:p>
              </w:tc>
              <w:tc>
                <w:tcPr>
                  <w:tcW w:w="1342" w:type="pct"/>
                  <w:tcBorders>
                    <w:tl2br w:val="nil"/>
                    <w:tr2bl w:val="nil"/>
                  </w:tcBorders>
                  <w:shd w:val="clear" w:color="auto" w:fill="auto"/>
                  <w:vAlign w:val="center"/>
                </w:tcPr>
                <w:p w14:paraId="7D4A05C9">
                  <w:pPr>
                    <w:pStyle w:val="24"/>
                    <w:spacing w:line="240" w:lineRule="auto"/>
                    <w:rPr>
                      <w:color w:val="auto"/>
                      <w:highlight w:val="none"/>
                    </w:rPr>
                  </w:pPr>
                  <w:r>
                    <w:rPr>
                      <w:color w:val="auto"/>
                      <w:highlight w:val="none"/>
                    </w:rPr>
                    <w:t>机械噪声</w:t>
                  </w:r>
                  <w:r>
                    <w:rPr>
                      <w:rFonts w:hint="eastAsia"/>
                      <w:color w:val="auto"/>
                      <w:highlight w:val="none"/>
                    </w:rPr>
                    <w:t>、操作噪声</w:t>
                  </w:r>
                </w:p>
              </w:tc>
              <w:tc>
                <w:tcPr>
                  <w:tcW w:w="1494" w:type="pct"/>
                  <w:tcBorders>
                    <w:tl2br w:val="nil"/>
                    <w:tr2bl w:val="nil"/>
                  </w:tcBorders>
                  <w:shd w:val="clear" w:color="auto" w:fill="auto"/>
                  <w:vAlign w:val="center"/>
                </w:tcPr>
                <w:p w14:paraId="1BCCF3AC">
                  <w:pPr>
                    <w:pStyle w:val="24"/>
                    <w:spacing w:line="240" w:lineRule="auto"/>
                    <w:rPr>
                      <w:color w:val="auto"/>
                      <w:highlight w:val="none"/>
                    </w:rPr>
                  </w:pPr>
                  <w:r>
                    <w:rPr>
                      <w:color w:val="auto"/>
                      <w:highlight w:val="none"/>
                    </w:rPr>
                    <w:t>Leq</w:t>
                  </w:r>
                  <w:r>
                    <w:rPr>
                      <w:rFonts w:hint="eastAsia"/>
                      <w:color w:val="auto"/>
                      <w:highlight w:val="none"/>
                    </w:rPr>
                    <w:t>(</w:t>
                  </w:r>
                  <w:r>
                    <w:rPr>
                      <w:color w:val="auto"/>
                      <w:highlight w:val="none"/>
                    </w:rPr>
                    <w:t>A</w:t>
                  </w:r>
                  <w:r>
                    <w:rPr>
                      <w:rFonts w:hint="eastAsia"/>
                      <w:color w:val="auto"/>
                      <w:highlight w:val="none"/>
                    </w:rPr>
                    <w:t>)</w:t>
                  </w:r>
                </w:p>
              </w:tc>
            </w:tr>
            <w:tr w14:paraId="154A2B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7" w:type="pct"/>
                  <w:vMerge w:val="continue"/>
                  <w:tcBorders>
                    <w:tl2br w:val="nil"/>
                    <w:tr2bl w:val="nil"/>
                  </w:tcBorders>
                  <w:vAlign w:val="center"/>
                </w:tcPr>
                <w:p w14:paraId="1F482579">
                  <w:pPr>
                    <w:pStyle w:val="24"/>
                    <w:spacing w:line="240" w:lineRule="auto"/>
                    <w:rPr>
                      <w:color w:val="auto"/>
                      <w:highlight w:val="none"/>
                    </w:rPr>
                  </w:pPr>
                </w:p>
              </w:tc>
              <w:tc>
                <w:tcPr>
                  <w:tcW w:w="417" w:type="pct"/>
                  <w:vMerge w:val="restart"/>
                  <w:tcBorders>
                    <w:tl2br w:val="nil"/>
                    <w:tr2bl w:val="nil"/>
                  </w:tcBorders>
                  <w:shd w:val="clear" w:color="auto" w:fill="auto"/>
                  <w:vAlign w:val="center"/>
                </w:tcPr>
                <w:p w14:paraId="2DD247EF">
                  <w:pPr>
                    <w:pStyle w:val="24"/>
                    <w:spacing w:line="240" w:lineRule="auto"/>
                    <w:rPr>
                      <w:color w:val="auto"/>
                      <w:highlight w:val="none"/>
                    </w:rPr>
                  </w:pPr>
                  <w:r>
                    <w:rPr>
                      <w:rFonts w:hint="eastAsia"/>
                      <w:color w:val="auto"/>
                      <w:highlight w:val="none"/>
                    </w:rPr>
                    <w:t>固废</w:t>
                  </w:r>
                </w:p>
              </w:tc>
              <w:tc>
                <w:tcPr>
                  <w:tcW w:w="1189" w:type="pct"/>
                  <w:tcBorders>
                    <w:tl2br w:val="nil"/>
                    <w:tr2bl w:val="nil"/>
                  </w:tcBorders>
                  <w:vAlign w:val="center"/>
                </w:tcPr>
                <w:p w14:paraId="771E5F68">
                  <w:pPr>
                    <w:pStyle w:val="24"/>
                    <w:spacing w:line="240" w:lineRule="auto"/>
                    <w:rPr>
                      <w:color w:val="auto"/>
                      <w:highlight w:val="none"/>
                    </w:rPr>
                  </w:pPr>
                  <w:r>
                    <w:rPr>
                      <w:rFonts w:hint="eastAsia"/>
                      <w:color w:val="auto"/>
                      <w:highlight w:val="none"/>
                    </w:rPr>
                    <w:t>施工人员生活</w:t>
                  </w:r>
                </w:p>
              </w:tc>
              <w:tc>
                <w:tcPr>
                  <w:tcW w:w="1342" w:type="pct"/>
                  <w:tcBorders>
                    <w:tl2br w:val="nil"/>
                    <w:tr2bl w:val="nil"/>
                  </w:tcBorders>
                  <w:shd w:val="clear" w:color="auto" w:fill="auto"/>
                  <w:vAlign w:val="center"/>
                </w:tcPr>
                <w:p w14:paraId="633F12D6">
                  <w:pPr>
                    <w:pStyle w:val="24"/>
                    <w:spacing w:line="240" w:lineRule="auto"/>
                    <w:rPr>
                      <w:color w:val="auto"/>
                      <w:highlight w:val="none"/>
                    </w:rPr>
                  </w:pPr>
                  <w:r>
                    <w:rPr>
                      <w:rFonts w:hint="eastAsia"/>
                      <w:color w:val="auto"/>
                      <w:highlight w:val="none"/>
                    </w:rPr>
                    <w:t>生活垃圾</w:t>
                  </w:r>
                </w:p>
              </w:tc>
              <w:tc>
                <w:tcPr>
                  <w:tcW w:w="1494" w:type="pct"/>
                  <w:tcBorders>
                    <w:tl2br w:val="nil"/>
                    <w:tr2bl w:val="nil"/>
                  </w:tcBorders>
                  <w:shd w:val="clear" w:color="auto" w:fill="auto"/>
                  <w:vAlign w:val="center"/>
                </w:tcPr>
                <w:p w14:paraId="05C297E7">
                  <w:pPr>
                    <w:pStyle w:val="24"/>
                    <w:spacing w:line="240" w:lineRule="auto"/>
                    <w:rPr>
                      <w:color w:val="auto"/>
                      <w:highlight w:val="none"/>
                    </w:rPr>
                  </w:pPr>
                  <w:r>
                    <w:rPr>
                      <w:rFonts w:hint="eastAsia"/>
                      <w:color w:val="auto"/>
                      <w:highlight w:val="none"/>
                    </w:rPr>
                    <w:t>生活垃圾</w:t>
                  </w:r>
                </w:p>
              </w:tc>
            </w:tr>
            <w:tr w14:paraId="46B82C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7" w:type="pct"/>
                  <w:vMerge w:val="continue"/>
                  <w:tcBorders>
                    <w:tl2br w:val="nil"/>
                    <w:tr2bl w:val="nil"/>
                  </w:tcBorders>
                  <w:vAlign w:val="center"/>
                </w:tcPr>
                <w:p w14:paraId="597651C9">
                  <w:pPr>
                    <w:pStyle w:val="24"/>
                    <w:spacing w:line="240" w:lineRule="auto"/>
                    <w:rPr>
                      <w:color w:val="auto"/>
                      <w:highlight w:val="none"/>
                    </w:rPr>
                  </w:pPr>
                </w:p>
              </w:tc>
              <w:tc>
                <w:tcPr>
                  <w:tcW w:w="417" w:type="pct"/>
                  <w:vMerge w:val="continue"/>
                  <w:tcBorders>
                    <w:tl2br w:val="nil"/>
                    <w:tr2bl w:val="nil"/>
                  </w:tcBorders>
                  <w:shd w:val="clear" w:color="auto" w:fill="auto"/>
                  <w:vAlign w:val="center"/>
                </w:tcPr>
                <w:p w14:paraId="2B2C6C61">
                  <w:pPr>
                    <w:pStyle w:val="24"/>
                    <w:spacing w:line="240" w:lineRule="auto"/>
                    <w:rPr>
                      <w:color w:val="auto"/>
                      <w:highlight w:val="none"/>
                    </w:rPr>
                  </w:pPr>
                </w:p>
              </w:tc>
              <w:tc>
                <w:tcPr>
                  <w:tcW w:w="1189" w:type="pct"/>
                  <w:tcBorders>
                    <w:tl2br w:val="nil"/>
                    <w:tr2bl w:val="nil"/>
                  </w:tcBorders>
                  <w:vAlign w:val="center"/>
                </w:tcPr>
                <w:p w14:paraId="62468F57">
                  <w:pPr>
                    <w:pStyle w:val="24"/>
                    <w:spacing w:line="240" w:lineRule="auto"/>
                    <w:rPr>
                      <w:rFonts w:hint="eastAsia" w:eastAsiaTheme="minorEastAsia"/>
                      <w:color w:val="auto"/>
                      <w:highlight w:val="none"/>
                      <w:lang w:eastAsia="zh-CN"/>
                    </w:rPr>
                  </w:pPr>
                  <w:r>
                    <w:rPr>
                      <w:rFonts w:hint="eastAsia"/>
                      <w:color w:val="auto"/>
                      <w:highlight w:val="none"/>
                      <w:lang w:eastAsia="zh-CN"/>
                    </w:rPr>
                    <w:t>施工过程</w:t>
                  </w:r>
                </w:p>
              </w:tc>
              <w:tc>
                <w:tcPr>
                  <w:tcW w:w="1342" w:type="pct"/>
                  <w:tcBorders>
                    <w:tl2br w:val="nil"/>
                    <w:tr2bl w:val="nil"/>
                  </w:tcBorders>
                  <w:shd w:val="clear" w:color="auto" w:fill="auto"/>
                  <w:vAlign w:val="center"/>
                </w:tcPr>
                <w:p w14:paraId="47F5EF19">
                  <w:pPr>
                    <w:pStyle w:val="24"/>
                    <w:spacing w:line="240" w:lineRule="auto"/>
                    <w:rPr>
                      <w:color w:val="auto"/>
                      <w:highlight w:val="none"/>
                    </w:rPr>
                  </w:pPr>
                  <w:r>
                    <w:rPr>
                      <w:rFonts w:hint="eastAsia"/>
                      <w:color w:val="auto"/>
                      <w:highlight w:val="none"/>
                    </w:rPr>
                    <w:t>建筑垃圾</w:t>
                  </w:r>
                </w:p>
              </w:tc>
              <w:tc>
                <w:tcPr>
                  <w:tcW w:w="1494" w:type="pct"/>
                  <w:tcBorders>
                    <w:tl2br w:val="nil"/>
                    <w:tr2bl w:val="nil"/>
                  </w:tcBorders>
                  <w:shd w:val="clear" w:color="auto" w:fill="auto"/>
                  <w:vAlign w:val="center"/>
                </w:tcPr>
                <w:p w14:paraId="40E25A8A">
                  <w:pPr>
                    <w:pStyle w:val="24"/>
                    <w:spacing w:line="240" w:lineRule="auto"/>
                    <w:rPr>
                      <w:color w:val="auto"/>
                      <w:highlight w:val="none"/>
                    </w:rPr>
                  </w:pPr>
                  <w:r>
                    <w:rPr>
                      <w:rFonts w:hint="eastAsia"/>
                      <w:color w:val="auto"/>
                      <w:highlight w:val="none"/>
                    </w:rPr>
                    <w:t>建筑垃圾</w:t>
                  </w:r>
                </w:p>
              </w:tc>
            </w:tr>
            <w:tr w14:paraId="6DB3D8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7" w:type="pct"/>
                  <w:vMerge w:val="restart"/>
                  <w:tcBorders>
                    <w:tl2br w:val="nil"/>
                    <w:tr2bl w:val="nil"/>
                  </w:tcBorders>
                  <w:vAlign w:val="center"/>
                </w:tcPr>
                <w:p w14:paraId="445730C3">
                  <w:pPr>
                    <w:pStyle w:val="24"/>
                    <w:spacing w:line="240" w:lineRule="auto"/>
                    <w:rPr>
                      <w:color w:val="auto"/>
                      <w:highlight w:val="none"/>
                    </w:rPr>
                  </w:pPr>
                  <w:r>
                    <w:rPr>
                      <w:color w:val="auto"/>
                      <w:highlight w:val="none"/>
                    </w:rPr>
                    <w:t>运营期</w:t>
                  </w:r>
                </w:p>
              </w:tc>
              <w:tc>
                <w:tcPr>
                  <w:tcW w:w="417" w:type="pct"/>
                  <w:tcBorders>
                    <w:tl2br w:val="nil"/>
                    <w:tr2bl w:val="nil"/>
                  </w:tcBorders>
                  <w:vAlign w:val="center"/>
                </w:tcPr>
                <w:p w14:paraId="5FF68C31">
                  <w:pPr>
                    <w:pStyle w:val="24"/>
                    <w:spacing w:line="240" w:lineRule="auto"/>
                    <w:rPr>
                      <w:color w:val="auto"/>
                      <w:highlight w:val="none"/>
                    </w:rPr>
                  </w:pPr>
                  <w:r>
                    <w:rPr>
                      <w:color w:val="auto"/>
                      <w:highlight w:val="none"/>
                    </w:rPr>
                    <w:t>废气</w:t>
                  </w:r>
                </w:p>
              </w:tc>
              <w:tc>
                <w:tcPr>
                  <w:tcW w:w="1189" w:type="pct"/>
                  <w:tcBorders>
                    <w:tl2br w:val="nil"/>
                    <w:tr2bl w:val="nil"/>
                  </w:tcBorders>
                  <w:vAlign w:val="center"/>
                </w:tcPr>
                <w:p w14:paraId="106D2E76">
                  <w:pPr>
                    <w:pStyle w:val="24"/>
                    <w:spacing w:line="240" w:lineRule="auto"/>
                    <w:rPr>
                      <w:color w:val="auto"/>
                      <w:highlight w:val="none"/>
                    </w:rPr>
                  </w:pPr>
                  <w:r>
                    <w:rPr>
                      <w:rFonts w:hint="eastAsia"/>
                      <w:color w:val="auto"/>
                      <w:highlight w:val="none"/>
                    </w:rPr>
                    <w:t>贮存废气</w:t>
                  </w:r>
                </w:p>
              </w:tc>
              <w:tc>
                <w:tcPr>
                  <w:tcW w:w="1342" w:type="pct"/>
                  <w:tcBorders>
                    <w:tl2br w:val="nil"/>
                    <w:tr2bl w:val="nil"/>
                  </w:tcBorders>
                  <w:vAlign w:val="center"/>
                </w:tcPr>
                <w:p w14:paraId="479C259B">
                  <w:pPr>
                    <w:pStyle w:val="24"/>
                    <w:spacing w:line="240" w:lineRule="auto"/>
                    <w:rPr>
                      <w:rFonts w:hint="eastAsia" w:eastAsiaTheme="minorEastAsia"/>
                      <w:color w:val="auto"/>
                      <w:highlight w:val="none"/>
                      <w:lang w:eastAsia="zh-CN"/>
                    </w:rPr>
                  </w:pPr>
                  <w:r>
                    <w:rPr>
                      <w:rFonts w:hint="eastAsia"/>
                      <w:color w:val="auto"/>
                      <w:highlight w:val="none"/>
                    </w:rPr>
                    <w:t>非甲烷总烃</w:t>
                  </w:r>
                </w:p>
              </w:tc>
              <w:tc>
                <w:tcPr>
                  <w:tcW w:w="1494" w:type="pct"/>
                  <w:tcBorders>
                    <w:tl2br w:val="nil"/>
                    <w:tr2bl w:val="nil"/>
                  </w:tcBorders>
                  <w:vAlign w:val="center"/>
                </w:tcPr>
                <w:p w14:paraId="4C5B82C0">
                  <w:pPr>
                    <w:pStyle w:val="24"/>
                    <w:spacing w:line="240" w:lineRule="auto"/>
                    <w:rPr>
                      <w:rFonts w:hint="eastAsia" w:eastAsiaTheme="minorEastAsia"/>
                      <w:color w:val="auto"/>
                      <w:highlight w:val="none"/>
                      <w:lang w:eastAsia="zh-CN"/>
                    </w:rPr>
                  </w:pPr>
                  <w:r>
                    <w:rPr>
                      <w:rFonts w:hint="eastAsia"/>
                      <w:color w:val="auto"/>
                      <w:highlight w:val="none"/>
                    </w:rPr>
                    <w:t>非甲烷总烃</w:t>
                  </w:r>
                </w:p>
              </w:tc>
            </w:tr>
            <w:tr w14:paraId="6CE7F9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7" w:type="pct"/>
                  <w:vMerge w:val="continue"/>
                  <w:tcBorders>
                    <w:tl2br w:val="nil"/>
                    <w:tr2bl w:val="nil"/>
                  </w:tcBorders>
                  <w:vAlign w:val="center"/>
                </w:tcPr>
                <w:p w14:paraId="6A68E182">
                  <w:pPr>
                    <w:pStyle w:val="24"/>
                    <w:spacing w:line="240" w:lineRule="auto"/>
                    <w:rPr>
                      <w:color w:val="auto"/>
                      <w:highlight w:val="none"/>
                    </w:rPr>
                  </w:pPr>
                </w:p>
              </w:tc>
              <w:tc>
                <w:tcPr>
                  <w:tcW w:w="417" w:type="pct"/>
                  <w:tcBorders>
                    <w:tl2br w:val="nil"/>
                    <w:tr2bl w:val="nil"/>
                  </w:tcBorders>
                  <w:vAlign w:val="center"/>
                </w:tcPr>
                <w:p w14:paraId="6C800B0C">
                  <w:pPr>
                    <w:pStyle w:val="24"/>
                    <w:spacing w:line="240" w:lineRule="auto"/>
                    <w:rPr>
                      <w:rFonts w:hint="eastAsia" w:eastAsiaTheme="minorEastAsia"/>
                      <w:color w:val="auto"/>
                      <w:highlight w:val="none"/>
                      <w:lang w:eastAsia="zh-CN"/>
                    </w:rPr>
                  </w:pPr>
                  <w:r>
                    <w:rPr>
                      <w:rFonts w:hint="eastAsia"/>
                      <w:color w:val="auto"/>
                      <w:highlight w:val="none"/>
                      <w:lang w:eastAsia="zh-CN"/>
                    </w:rPr>
                    <w:t>废水</w:t>
                  </w:r>
                </w:p>
              </w:tc>
              <w:tc>
                <w:tcPr>
                  <w:tcW w:w="1189" w:type="pct"/>
                  <w:tcBorders>
                    <w:tl2br w:val="nil"/>
                    <w:tr2bl w:val="nil"/>
                  </w:tcBorders>
                  <w:vAlign w:val="center"/>
                </w:tcPr>
                <w:p w14:paraId="710653F7">
                  <w:pPr>
                    <w:pStyle w:val="24"/>
                    <w:spacing w:line="240" w:lineRule="auto"/>
                    <w:rPr>
                      <w:rFonts w:hint="eastAsia" w:eastAsiaTheme="minorEastAsia"/>
                      <w:color w:val="auto"/>
                      <w:highlight w:val="none"/>
                      <w:lang w:eastAsia="zh-CN"/>
                    </w:rPr>
                  </w:pPr>
                  <w:r>
                    <w:rPr>
                      <w:rFonts w:hint="eastAsia"/>
                      <w:color w:val="auto"/>
                      <w:highlight w:val="none"/>
                      <w:lang w:eastAsia="zh-CN"/>
                    </w:rPr>
                    <w:t>生活污水</w:t>
                  </w:r>
                </w:p>
              </w:tc>
              <w:tc>
                <w:tcPr>
                  <w:tcW w:w="1342" w:type="pct"/>
                  <w:tcBorders>
                    <w:tl2br w:val="nil"/>
                    <w:tr2bl w:val="nil"/>
                  </w:tcBorders>
                  <w:vAlign w:val="center"/>
                </w:tcPr>
                <w:p w14:paraId="6C0724B8">
                  <w:pPr>
                    <w:pStyle w:val="24"/>
                    <w:spacing w:line="240" w:lineRule="auto"/>
                    <w:rPr>
                      <w:rFonts w:hint="eastAsia"/>
                      <w:color w:val="auto"/>
                      <w:highlight w:val="none"/>
                    </w:rPr>
                  </w:pPr>
                  <w:r>
                    <w:rPr>
                      <w:color w:val="auto"/>
                      <w:highlight w:val="none"/>
                    </w:rPr>
                    <w:t>COD、NH</w:t>
                  </w:r>
                  <w:r>
                    <w:rPr>
                      <w:color w:val="auto"/>
                      <w:highlight w:val="none"/>
                      <w:vertAlign w:val="subscript"/>
                    </w:rPr>
                    <w:t>3</w:t>
                  </w:r>
                  <w:r>
                    <w:rPr>
                      <w:color w:val="auto"/>
                      <w:highlight w:val="none"/>
                    </w:rPr>
                    <w:t>-N</w:t>
                  </w:r>
                </w:p>
              </w:tc>
              <w:tc>
                <w:tcPr>
                  <w:tcW w:w="1494" w:type="pct"/>
                  <w:tcBorders>
                    <w:tl2br w:val="nil"/>
                    <w:tr2bl w:val="nil"/>
                  </w:tcBorders>
                  <w:vAlign w:val="center"/>
                </w:tcPr>
                <w:p w14:paraId="41DE9002">
                  <w:pPr>
                    <w:pStyle w:val="24"/>
                    <w:spacing w:line="240" w:lineRule="auto"/>
                    <w:rPr>
                      <w:rFonts w:hint="eastAsia"/>
                      <w:color w:val="auto"/>
                      <w:highlight w:val="none"/>
                    </w:rPr>
                  </w:pPr>
                  <w:r>
                    <w:rPr>
                      <w:color w:val="auto"/>
                      <w:highlight w:val="none"/>
                    </w:rPr>
                    <w:t>COD、NH</w:t>
                  </w:r>
                  <w:r>
                    <w:rPr>
                      <w:color w:val="auto"/>
                      <w:highlight w:val="none"/>
                      <w:vertAlign w:val="subscript"/>
                    </w:rPr>
                    <w:t>3</w:t>
                  </w:r>
                  <w:r>
                    <w:rPr>
                      <w:color w:val="auto"/>
                      <w:highlight w:val="none"/>
                    </w:rPr>
                    <w:t>-N</w:t>
                  </w:r>
                </w:p>
              </w:tc>
            </w:tr>
            <w:tr w14:paraId="1B92E3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7" w:type="pct"/>
                  <w:vMerge w:val="continue"/>
                  <w:tcBorders>
                    <w:tl2br w:val="nil"/>
                    <w:tr2bl w:val="nil"/>
                  </w:tcBorders>
                  <w:vAlign w:val="center"/>
                </w:tcPr>
                <w:p w14:paraId="7B27A410">
                  <w:pPr>
                    <w:pStyle w:val="24"/>
                    <w:spacing w:line="240" w:lineRule="auto"/>
                    <w:rPr>
                      <w:color w:val="auto"/>
                      <w:highlight w:val="none"/>
                    </w:rPr>
                  </w:pPr>
                </w:p>
              </w:tc>
              <w:tc>
                <w:tcPr>
                  <w:tcW w:w="417" w:type="pct"/>
                  <w:tcBorders>
                    <w:tl2br w:val="nil"/>
                    <w:tr2bl w:val="nil"/>
                  </w:tcBorders>
                  <w:vAlign w:val="center"/>
                </w:tcPr>
                <w:p w14:paraId="589A192C">
                  <w:pPr>
                    <w:pStyle w:val="24"/>
                    <w:spacing w:line="240" w:lineRule="auto"/>
                    <w:rPr>
                      <w:color w:val="auto"/>
                      <w:highlight w:val="none"/>
                    </w:rPr>
                  </w:pPr>
                  <w:r>
                    <w:rPr>
                      <w:color w:val="auto"/>
                      <w:highlight w:val="none"/>
                    </w:rPr>
                    <w:t>噪声</w:t>
                  </w:r>
                </w:p>
              </w:tc>
              <w:tc>
                <w:tcPr>
                  <w:tcW w:w="1189" w:type="pct"/>
                  <w:tcBorders>
                    <w:tl2br w:val="nil"/>
                    <w:tr2bl w:val="nil"/>
                  </w:tcBorders>
                  <w:vAlign w:val="center"/>
                </w:tcPr>
                <w:p w14:paraId="2AC48627">
                  <w:pPr>
                    <w:pStyle w:val="24"/>
                    <w:spacing w:line="240" w:lineRule="auto"/>
                    <w:ind w:firstLine="0" w:firstLineChars="0"/>
                    <w:rPr>
                      <w:rFonts w:hint="eastAsia" w:eastAsiaTheme="minorEastAsia"/>
                      <w:color w:val="auto"/>
                      <w:highlight w:val="none"/>
                      <w:lang w:eastAsia="zh-CN"/>
                    </w:rPr>
                  </w:pPr>
                  <w:r>
                    <w:rPr>
                      <w:rFonts w:hint="eastAsia"/>
                      <w:color w:val="auto"/>
                      <w:highlight w:val="none"/>
                      <w:lang w:eastAsia="zh-CN"/>
                    </w:rPr>
                    <w:t>风机等设备</w:t>
                  </w:r>
                </w:p>
              </w:tc>
              <w:tc>
                <w:tcPr>
                  <w:tcW w:w="1342" w:type="pct"/>
                  <w:tcBorders>
                    <w:tl2br w:val="nil"/>
                    <w:tr2bl w:val="nil"/>
                  </w:tcBorders>
                  <w:vAlign w:val="center"/>
                </w:tcPr>
                <w:p w14:paraId="505B3F7D">
                  <w:pPr>
                    <w:pStyle w:val="24"/>
                    <w:spacing w:line="240" w:lineRule="auto"/>
                    <w:ind w:firstLine="0" w:firstLineChars="0"/>
                    <w:rPr>
                      <w:rFonts w:hint="eastAsia" w:eastAsiaTheme="minorEastAsia"/>
                      <w:color w:val="auto"/>
                      <w:highlight w:val="none"/>
                      <w:lang w:eastAsia="zh-CN"/>
                    </w:rPr>
                  </w:pPr>
                  <w:r>
                    <w:rPr>
                      <w:color w:val="auto"/>
                      <w:highlight w:val="none"/>
                    </w:rPr>
                    <w:t>Leq</w:t>
                  </w:r>
                  <w:r>
                    <w:rPr>
                      <w:rFonts w:hint="eastAsia"/>
                      <w:color w:val="auto"/>
                      <w:highlight w:val="none"/>
                    </w:rPr>
                    <w:t>(</w:t>
                  </w:r>
                  <w:r>
                    <w:rPr>
                      <w:color w:val="auto"/>
                      <w:highlight w:val="none"/>
                    </w:rPr>
                    <w:t>A</w:t>
                  </w:r>
                  <w:r>
                    <w:rPr>
                      <w:rFonts w:hint="eastAsia"/>
                      <w:color w:val="auto"/>
                      <w:highlight w:val="none"/>
                    </w:rPr>
                    <w:t>)</w:t>
                  </w:r>
                </w:p>
              </w:tc>
              <w:tc>
                <w:tcPr>
                  <w:tcW w:w="1494" w:type="pct"/>
                  <w:tcBorders>
                    <w:tl2br w:val="nil"/>
                    <w:tr2bl w:val="nil"/>
                  </w:tcBorders>
                  <w:vAlign w:val="center"/>
                </w:tcPr>
                <w:p w14:paraId="579F7686">
                  <w:pPr>
                    <w:pStyle w:val="24"/>
                    <w:spacing w:line="240" w:lineRule="auto"/>
                    <w:rPr>
                      <w:color w:val="auto"/>
                      <w:highlight w:val="none"/>
                    </w:rPr>
                  </w:pPr>
                  <w:r>
                    <w:rPr>
                      <w:color w:val="auto"/>
                      <w:highlight w:val="none"/>
                    </w:rPr>
                    <w:t>Leq</w:t>
                  </w:r>
                  <w:r>
                    <w:rPr>
                      <w:rFonts w:hint="eastAsia"/>
                      <w:color w:val="auto"/>
                      <w:highlight w:val="none"/>
                    </w:rPr>
                    <w:t>(</w:t>
                  </w:r>
                  <w:r>
                    <w:rPr>
                      <w:color w:val="auto"/>
                      <w:highlight w:val="none"/>
                    </w:rPr>
                    <w:t>A</w:t>
                  </w:r>
                  <w:r>
                    <w:rPr>
                      <w:rFonts w:hint="eastAsia"/>
                      <w:color w:val="auto"/>
                      <w:highlight w:val="none"/>
                    </w:rPr>
                    <w:t>)</w:t>
                  </w:r>
                </w:p>
              </w:tc>
            </w:tr>
            <w:tr w14:paraId="1CE9ED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7" w:type="pct"/>
                  <w:vMerge w:val="continue"/>
                  <w:tcBorders>
                    <w:tl2br w:val="nil"/>
                    <w:tr2bl w:val="nil"/>
                  </w:tcBorders>
                  <w:vAlign w:val="center"/>
                </w:tcPr>
                <w:p w14:paraId="67D8FA7A">
                  <w:pPr>
                    <w:pStyle w:val="24"/>
                    <w:spacing w:line="240" w:lineRule="auto"/>
                    <w:rPr>
                      <w:color w:val="auto"/>
                      <w:highlight w:val="none"/>
                    </w:rPr>
                  </w:pPr>
                </w:p>
              </w:tc>
              <w:tc>
                <w:tcPr>
                  <w:tcW w:w="417" w:type="pct"/>
                  <w:tcBorders>
                    <w:tl2br w:val="nil"/>
                    <w:tr2bl w:val="nil"/>
                  </w:tcBorders>
                  <w:vAlign w:val="center"/>
                </w:tcPr>
                <w:p w14:paraId="2CDB415D">
                  <w:pPr>
                    <w:pStyle w:val="24"/>
                    <w:spacing w:line="240" w:lineRule="auto"/>
                    <w:rPr>
                      <w:rFonts w:hint="eastAsia" w:eastAsiaTheme="minorEastAsia"/>
                      <w:color w:val="auto"/>
                      <w:highlight w:val="none"/>
                      <w:lang w:eastAsia="zh-CN"/>
                    </w:rPr>
                  </w:pPr>
                  <w:r>
                    <w:rPr>
                      <w:rFonts w:hint="eastAsia"/>
                      <w:color w:val="auto"/>
                      <w:highlight w:val="none"/>
                      <w:lang w:eastAsia="zh-CN"/>
                    </w:rPr>
                    <w:t>固废</w:t>
                  </w:r>
                </w:p>
              </w:tc>
              <w:tc>
                <w:tcPr>
                  <w:tcW w:w="1189" w:type="pct"/>
                  <w:tcBorders>
                    <w:tl2br w:val="nil"/>
                    <w:tr2bl w:val="nil"/>
                  </w:tcBorders>
                  <w:vAlign w:val="center"/>
                </w:tcPr>
                <w:p w14:paraId="700E1F6B">
                  <w:pPr>
                    <w:pStyle w:val="24"/>
                    <w:spacing w:line="240" w:lineRule="auto"/>
                    <w:ind w:firstLine="0" w:firstLineChars="0"/>
                    <w:rPr>
                      <w:rFonts w:hint="eastAsia"/>
                      <w:color w:val="auto"/>
                      <w:highlight w:val="none"/>
                      <w:lang w:eastAsia="zh-CN"/>
                    </w:rPr>
                  </w:pPr>
                  <w:r>
                    <w:rPr>
                      <w:rFonts w:hint="eastAsia"/>
                      <w:color w:val="auto"/>
                      <w:highlight w:val="none"/>
                      <w:lang w:eastAsia="zh-CN"/>
                    </w:rPr>
                    <w:t>生产操作</w:t>
                  </w:r>
                </w:p>
              </w:tc>
              <w:tc>
                <w:tcPr>
                  <w:tcW w:w="1342" w:type="pct"/>
                  <w:tcBorders>
                    <w:tl2br w:val="nil"/>
                    <w:tr2bl w:val="nil"/>
                  </w:tcBorders>
                  <w:vAlign w:val="center"/>
                </w:tcPr>
                <w:p w14:paraId="5DF624A6">
                  <w:pPr>
                    <w:pStyle w:val="24"/>
                    <w:spacing w:line="240" w:lineRule="auto"/>
                    <w:ind w:firstLine="0" w:firstLineChars="0"/>
                    <w:rPr>
                      <w:rFonts w:hint="eastAsia"/>
                      <w:color w:val="auto"/>
                      <w:highlight w:val="none"/>
                      <w:lang w:eastAsia="zh-CN"/>
                    </w:rPr>
                  </w:pPr>
                  <w:r>
                    <w:rPr>
                      <w:rFonts w:hint="eastAsia"/>
                      <w:color w:val="auto"/>
                      <w:highlight w:val="none"/>
                      <w:lang w:eastAsia="zh-CN"/>
                    </w:rPr>
                    <w:t>废劳保用品</w:t>
                  </w:r>
                </w:p>
              </w:tc>
              <w:tc>
                <w:tcPr>
                  <w:tcW w:w="1494" w:type="pct"/>
                  <w:tcBorders>
                    <w:tl2br w:val="nil"/>
                    <w:tr2bl w:val="nil"/>
                  </w:tcBorders>
                  <w:vAlign w:val="center"/>
                </w:tcPr>
                <w:p w14:paraId="5538E198">
                  <w:pPr>
                    <w:pStyle w:val="24"/>
                    <w:spacing w:line="240" w:lineRule="auto"/>
                    <w:rPr>
                      <w:rFonts w:hint="eastAsia" w:eastAsiaTheme="minorEastAsia"/>
                      <w:color w:val="auto"/>
                      <w:highlight w:val="none"/>
                      <w:lang w:eastAsia="zh-CN"/>
                    </w:rPr>
                  </w:pPr>
                  <w:r>
                    <w:rPr>
                      <w:rFonts w:hint="eastAsia"/>
                      <w:color w:val="auto"/>
                      <w:highlight w:val="none"/>
                      <w:lang w:eastAsia="zh-CN"/>
                    </w:rPr>
                    <w:t>废劳保用品</w:t>
                  </w:r>
                </w:p>
              </w:tc>
            </w:tr>
          </w:tbl>
          <w:p w14:paraId="746E6EA0">
            <w:pPr>
              <w:ind w:left="0" w:leftChars="0" w:firstLine="0" w:firstLineChars="0"/>
              <w:rPr>
                <w:color w:val="auto"/>
                <w:highlight w:val="none"/>
              </w:rPr>
            </w:pPr>
          </w:p>
          <w:p w14:paraId="08A6C2DD">
            <w:pPr>
              <w:ind w:left="0" w:leftChars="0" w:firstLine="0" w:firstLineChars="0"/>
              <w:rPr>
                <w:color w:val="auto"/>
                <w:highlight w:val="none"/>
              </w:rPr>
            </w:pPr>
          </w:p>
          <w:p w14:paraId="38D45479">
            <w:pPr>
              <w:ind w:left="0" w:leftChars="0" w:firstLine="0" w:firstLineChars="0"/>
              <w:rPr>
                <w:color w:val="auto"/>
                <w:highlight w:val="none"/>
              </w:rPr>
            </w:pPr>
          </w:p>
          <w:p w14:paraId="65CEC655">
            <w:pPr>
              <w:ind w:left="0" w:leftChars="0" w:firstLine="0" w:firstLineChars="0"/>
              <w:rPr>
                <w:color w:val="auto"/>
                <w:highlight w:val="none"/>
              </w:rPr>
            </w:pPr>
          </w:p>
          <w:p w14:paraId="5BF7E17C">
            <w:pPr>
              <w:ind w:left="0" w:leftChars="0" w:firstLine="0" w:firstLineChars="0"/>
              <w:rPr>
                <w:color w:val="auto"/>
                <w:highlight w:val="none"/>
              </w:rPr>
            </w:pPr>
          </w:p>
          <w:p w14:paraId="4F8A298E">
            <w:pPr>
              <w:ind w:left="0" w:leftChars="0" w:firstLine="0" w:firstLineChars="0"/>
              <w:rPr>
                <w:color w:val="auto"/>
                <w:highlight w:val="none"/>
              </w:rPr>
            </w:pPr>
          </w:p>
        </w:tc>
      </w:tr>
      <w:tr w14:paraId="3D3268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76" w:hRule="atLeast"/>
          <w:jc w:val="center"/>
        </w:trPr>
        <w:tc>
          <w:tcPr>
            <w:tcW w:w="354" w:type="dxa"/>
            <w:vAlign w:val="center"/>
          </w:tcPr>
          <w:p w14:paraId="339D7EAF">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b/>
                <w:bCs/>
                <w:color w:val="auto"/>
                <w:szCs w:val="22"/>
                <w:highlight w:val="none"/>
              </w:rPr>
            </w:pPr>
            <w:r>
              <w:rPr>
                <w:rFonts w:hint="eastAsia"/>
                <w:b/>
                <w:bCs/>
                <w:color w:val="auto"/>
                <w:szCs w:val="22"/>
                <w:highlight w:val="none"/>
              </w:rPr>
              <w:t>与项目有关的原有环境污染问题</w:t>
            </w:r>
          </w:p>
        </w:tc>
        <w:tc>
          <w:tcPr>
            <w:tcW w:w="8490" w:type="dxa"/>
          </w:tcPr>
          <w:p w14:paraId="0927FB96">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default" w:ascii="Times New Roman" w:hAnsi="Times New Roman" w:eastAsia="Times New Roman" w:cs="Times New Roman"/>
                <w:color w:val="auto"/>
                <w:sz w:val="24"/>
                <w:szCs w:val="24"/>
                <w:highlight w:val="none"/>
                <w:lang w:val="en-US" w:eastAsia="zh-CN"/>
              </w:rPr>
            </w:pPr>
            <w:r>
              <w:rPr>
                <w:rFonts w:hint="eastAsia" w:ascii="Times New Roman" w:hAnsi="Times New Roman" w:eastAsia="Times New Roman" w:cs="Times New Roman"/>
                <w:color w:val="auto"/>
                <w:sz w:val="24"/>
                <w:szCs w:val="24"/>
                <w:highlight w:val="none"/>
              </w:rPr>
              <w:t>北票发电有限责任公司位于辽宁省朝阳市北票市</w:t>
            </w:r>
            <w:r>
              <w:rPr>
                <w:rFonts w:hint="eastAsia" w:eastAsia="宋体" w:cs="Times New Roman"/>
                <w:color w:val="auto"/>
                <w:sz w:val="24"/>
                <w:szCs w:val="24"/>
                <w:highlight w:val="none"/>
                <w:lang w:eastAsia="zh-CN"/>
              </w:rPr>
              <w:t>建设路</w:t>
            </w:r>
            <w:r>
              <w:rPr>
                <w:rFonts w:hint="eastAsia" w:ascii="Times New Roman" w:hAnsi="Times New Roman" w:eastAsia="Times New Roman" w:cs="Times New Roman"/>
                <w:color w:val="auto"/>
                <w:sz w:val="24"/>
                <w:szCs w:val="24"/>
                <w:highlight w:val="none"/>
              </w:rPr>
              <w:t>北票发电有限责任公司</w:t>
            </w:r>
            <w:r>
              <w:rPr>
                <w:rFonts w:hint="eastAsia" w:ascii="Times New Roman" w:hAnsi="Times New Roman" w:eastAsia="Times New Roman" w:cs="Times New Roman"/>
                <w:color w:val="auto"/>
                <w:sz w:val="24"/>
                <w:szCs w:val="24"/>
                <w:highlight w:val="none"/>
                <w:lang w:val="en-US" w:eastAsia="zh-CN"/>
              </w:rPr>
              <w:t>厂区</w:t>
            </w:r>
            <w:r>
              <w:rPr>
                <w:rFonts w:hint="eastAsia" w:ascii="Times New Roman" w:hAnsi="Times New Roman" w:eastAsia="Times New Roman" w:cs="Times New Roman"/>
                <w:color w:val="auto"/>
                <w:sz w:val="24"/>
                <w:szCs w:val="24"/>
                <w:highlight w:val="none"/>
              </w:rPr>
              <w:t>内。北票发电有限责任公司</w:t>
            </w:r>
            <w:r>
              <w:rPr>
                <w:rFonts w:hint="eastAsia" w:ascii="Times New Roman" w:hAnsi="Times New Roman" w:eastAsia="Times New Roman" w:cs="Times New Roman"/>
                <w:color w:val="auto"/>
                <w:sz w:val="24"/>
                <w:szCs w:val="24"/>
                <w:highlight w:val="none"/>
                <w:lang w:val="en-US" w:eastAsia="zh-CN"/>
              </w:rPr>
              <w:t>有完整的环评和验收手续。</w:t>
            </w:r>
          </w:p>
          <w:p w14:paraId="3D7A1CAD">
            <w:pPr>
              <w:pStyle w:val="13"/>
              <w:keepNext w:val="0"/>
              <w:keepLines w:val="0"/>
              <w:pageBreakBefore w:val="0"/>
              <w:widowControl w:val="0"/>
              <w:numPr>
                <w:ilvl w:val="0"/>
                <w:numId w:val="0"/>
              </w:numPr>
              <w:kinsoku/>
              <w:wordWrap/>
              <w:overflowPunct/>
              <w:topLinePunct w:val="0"/>
              <w:autoSpaceDE w:val="0"/>
              <w:autoSpaceDN w:val="0"/>
              <w:bidi w:val="0"/>
              <w:spacing w:line="360" w:lineRule="auto"/>
              <w:ind w:firstLine="480" w:firstLineChars="200"/>
              <w:jc w:val="both"/>
              <w:textAlignment w:val="auto"/>
              <w:rPr>
                <w:rFonts w:hint="default" w:ascii="Times New Roman" w:hAnsi="Times New Roman" w:eastAsia="Times New Roman" w:cs="Times New Roman"/>
                <w:b/>
                <w:color w:val="auto"/>
                <w:kern w:val="2"/>
                <w:sz w:val="24"/>
                <w:szCs w:val="24"/>
                <w:highlight w:val="none"/>
                <w:lang w:val="en-US" w:eastAsia="zh-CN" w:bidi="ar-SA"/>
              </w:rPr>
            </w:pPr>
            <w:r>
              <w:rPr>
                <w:rFonts w:hint="eastAsia" w:ascii="Times New Roman" w:hAnsi="Times New Roman" w:eastAsia="Times New Roman" w:cs="Times New Roman"/>
                <w:b/>
                <w:bCs/>
                <w:color w:val="auto"/>
                <w:kern w:val="2"/>
                <w:sz w:val="24"/>
                <w:szCs w:val="24"/>
                <w:highlight w:val="none"/>
                <w:lang w:val="en-US" w:eastAsia="zh-CN" w:bidi="ar-SA"/>
              </w:rPr>
              <w:t>1</w:t>
            </w:r>
            <w:r>
              <w:rPr>
                <w:rFonts w:hint="eastAsia" w:ascii="Times New Roman" w:hAnsi="Times New Roman" w:eastAsia="Times New Roman" w:cs="Times New Roman"/>
                <w:b/>
                <w:bCs/>
                <w:color w:val="auto"/>
                <w:sz w:val="24"/>
                <w:szCs w:val="24"/>
                <w:highlight w:val="none"/>
              </w:rPr>
              <w:t>现有环评及验收手续情况</w:t>
            </w:r>
          </w:p>
          <w:p w14:paraId="71196982">
            <w:pPr>
              <w:pStyle w:val="25"/>
              <w:bidi w:val="0"/>
              <w:rPr>
                <w:rFonts w:cs="Times New Roman"/>
                <w:color w:val="auto"/>
                <w:sz w:val="24"/>
                <w:szCs w:val="24"/>
                <w:highlight w:val="none"/>
              </w:rPr>
            </w:pPr>
            <w:r>
              <w:rPr>
                <w:rFonts w:hint="eastAsia" w:cs="Times New Roman"/>
                <w:color w:val="auto"/>
                <w:sz w:val="24"/>
                <w:szCs w:val="24"/>
                <w:highlight w:val="none"/>
                <w:lang w:eastAsia="zh-CN"/>
              </w:rPr>
              <w:t>现有环评及验收</w:t>
            </w:r>
            <w:r>
              <w:rPr>
                <w:rFonts w:cs="Times New Roman"/>
                <w:color w:val="auto"/>
                <w:sz w:val="24"/>
                <w:szCs w:val="24"/>
                <w:highlight w:val="none"/>
              </w:rPr>
              <w:t>手续情况</w:t>
            </w:r>
          </w:p>
          <w:tbl>
            <w:tblPr>
              <w:tblStyle w:val="17"/>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1"/>
              <w:gridCol w:w="4099"/>
              <w:gridCol w:w="1934"/>
              <w:gridCol w:w="1891"/>
            </w:tblGrid>
            <w:tr w14:paraId="491681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1" w:type="dxa"/>
                  <w:tcBorders>
                    <w:tl2br w:val="nil"/>
                    <w:tr2bl w:val="nil"/>
                  </w:tcBorders>
                  <w:vAlign w:val="center"/>
                </w:tcPr>
                <w:p w14:paraId="0586D8B4">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序号</w:t>
                  </w:r>
                </w:p>
              </w:tc>
              <w:tc>
                <w:tcPr>
                  <w:tcW w:w="4099" w:type="dxa"/>
                  <w:tcBorders>
                    <w:tl2br w:val="nil"/>
                    <w:tr2bl w:val="nil"/>
                  </w:tcBorders>
                  <w:vAlign w:val="center"/>
                </w:tcPr>
                <w:p w14:paraId="60D6421F">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建设</w:t>
                  </w:r>
                  <w:r>
                    <w:rPr>
                      <w:rFonts w:ascii="Times New Roman" w:hAnsi="Times New Roman" w:eastAsia="宋体" w:cs="Times New Roman"/>
                      <w:color w:val="auto"/>
                      <w:sz w:val="21"/>
                      <w:szCs w:val="21"/>
                      <w:highlight w:val="none"/>
                    </w:rPr>
                    <w:t>项目名称</w:t>
                  </w:r>
                </w:p>
              </w:tc>
              <w:tc>
                <w:tcPr>
                  <w:tcW w:w="1934" w:type="dxa"/>
                  <w:tcBorders>
                    <w:tl2br w:val="nil"/>
                    <w:tr2bl w:val="nil"/>
                  </w:tcBorders>
                  <w:vAlign w:val="center"/>
                </w:tcPr>
                <w:p w14:paraId="244629E9">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环评批复</w:t>
                  </w:r>
                  <w:r>
                    <w:rPr>
                      <w:rFonts w:hint="eastAsia" w:ascii="Times New Roman" w:hAnsi="Times New Roman" w:eastAsia="宋体" w:cs="Times New Roman"/>
                      <w:color w:val="auto"/>
                      <w:sz w:val="21"/>
                      <w:szCs w:val="21"/>
                      <w:highlight w:val="none"/>
                    </w:rPr>
                    <w:t>文号</w:t>
                  </w:r>
                  <w:r>
                    <w:rPr>
                      <w:rFonts w:hint="eastAsia" w:ascii="Times New Roman" w:hAnsi="Times New Roman" w:eastAsia="宋体" w:cs="Times New Roman"/>
                      <w:color w:val="auto"/>
                      <w:sz w:val="21"/>
                      <w:szCs w:val="21"/>
                      <w:highlight w:val="none"/>
                      <w:lang w:eastAsia="zh-CN"/>
                    </w:rPr>
                    <w:t>及时间</w:t>
                  </w:r>
                </w:p>
              </w:tc>
              <w:tc>
                <w:tcPr>
                  <w:tcW w:w="1891" w:type="dxa"/>
                  <w:tcBorders>
                    <w:tl2br w:val="nil"/>
                    <w:tr2bl w:val="nil"/>
                  </w:tcBorders>
                  <w:vAlign w:val="center"/>
                </w:tcPr>
                <w:p w14:paraId="7D63F8C2">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验收</w:t>
                  </w:r>
                  <w:r>
                    <w:rPr>
                      <w:rFonts w:hint="eastAsia" w:ascii="Times New Roman" w:hAnsi="Times New Roman" w:eastAsia="宋体" w:cs="Times New Roman"/>
                      <w:color w:val="auto"/>
                      <w:sz w:val="21"/>
                      <w:szCs w:val="21"/>
                      <w:highlight w:val="none"/>
                      <w:lang w:eastAsia="zh-CN"/>
                    </w:rPr>
                    <w:t>批复文号及时间</w:t>
                  </w:r>
                </w:p>
              </w:tc>
            </w:tr>
            <w:tr w14:paraId="6F4F19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1" w:type="dxa"/>
                  <w:tcBorders>
                    <w:tl2br w:val="nil"/>
                    <w:tr2bl w:val="nil"/>
                  </w:tcBorders>
                  <w:vAlign w:val="center"/>
                </w:tcPr>
                <w:p w14:paraId="2D459376">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1</w:t>
                  </w:r>
                </w:p>
              </w:tc>
              <w:tc>
                <w:tcPr>
                  <w:tcW w:w="4099" w:type="dxa"/>
                  <w:tcBorders>
                    <w:tl2br w:val="nil"/>
                    <w:tr2bl w:val="nil"/>
                  </w:tcBorders>
                  <w:vAlign w:val="center"/>
                </w:tcPr>
                <w:p w14:paraId="5D6B90AC">
                  <w:pPr>
                    <w:pStyle w:val="2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eastAsia="zh-CN"/>
                    </w:rPr>
                    <w:t>北票热电厂扩建机组环境影响报告书</w:t>
                  </w:r>
                </w:p>
              </w:tc>
              <w:tc>
                <w:tcPr>
                  <w:tcW w:w="1934" w:type="dxa"/>
                  <w:tcBorders>
                    <w:tl2br w:val="nil"/>
                    <w:tr2bl w:val="nil"/>
                  </w:tcBorders>
                  <w:vAlign w:val="center"/>
                </w:tcPr>
                <w:p w14:paraId="0A26FD8D">
                  <w:pPr>
                    <w:pStyle w:val="2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lang w:val="en-US" w:eastAsia="zh-CN"/>
                    </w:rPr>
                    <w:t>1986.12.9，</w:t>
                  </w:r>
                  <w:r>
                    <w:rPr>
                      <w:rFonts w:hint="eastAsia" w:ascii="Times New Roman" w:hAnsi="Times New Roman" w:eastAsia="宋体" w:cs="Times New Roman"/>
                      <w:b w:val="0"/>
                      <w:bCs/>
                      <w:color w:val="auto"/>
                      <w:sz w:val="21"/>
                      <w:szCs w:val="21"/>
                      <w:highlight w:val="none"/>
                      <w:lang w:eastAsia="zh-CN"/>
                    </w:rPr>
                    <w:t>朝环发</w:t>
                  </w:r>
                  <w:r>
                    <w:rPr>
                      <w:rFonts w:hint="eastAsia" w:eastAsia="宋体" w:cs="Times New Roman"/>
                      <w:b w:val="0"/>
                      <w:bCs/>
                      <w:color w:val="auto"/>
                      <w:sz w:val="21"/>
                      <w:szCs w:val="21"/>
                      <w:highlight w:val="none"/>
                      <w:lang w:eastAsia="zh-CN"/>
                    </w:rPr>
                    <w:t>〔1986〕49号</w:t>
                  </w:r>
                </w:p>
              </w:tc>
              <w:tc>
                <w:tcPr>
                  <w:tcW w:w="1891" w:type="dxa"/>
                  <w:tcBorders>
                    <w:tl2br w:val="nil"/>
                    <w:tr2bl w:val="nil"/>
                  </w:tcBorders>
                  <w:vAlign w:val="center"/>
                </w:tcPr>
                <w:p w14:paraId="5F8F8CAE">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eastAsia="宋体" w:cs="Times New Roman"/>
                      <w:b w:val="0"/>
                      <w:bCs/>
                      <w:color w:val="auto"/>
                      <w:sz w:val="21"/>
                      <w:szCs w:val="21"/>
                      <w:highlight w:val="none"/>
                      <w:lang w:val="en-US" w:eastAsia="zh-CN"/>
                    </w:rPr>
                    <w:t>2004.4.16，辽环验</w:t>
                  </w:r>
                  <w:r>
                    <w:rPr>
                      <w:rFonts w:hint="eastAsia" w:eastAsia="宋体" w:cs="Times New Roman"/>
                      <w:b w:val="0"/>
                      <w:bCs/>
                      <w:color w:val="auto"/>
                      <w:sz w:val="21"/>
                      <w:szCs w:val="21"/>
                      <w:highlight w:val="none"/>
                      <w:lang w:val="en-US" w:eastAsia="zh-CN"/>
                    </w:rPr>
                    <w:t>〔2004〕7号</w:t>
                  </w:r>
                </w:p>
              </w:tc>
            </w:tr>
            <w:tr w14:paraId="217A74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1" w:type="dxa"/>
                  <w:tcBorders>
                    <w:tl2br w:val="nil"/>
                    <w:tr2bl w:val="nil"/>
                  </w:tcBorders>
                  <w:vAlign w:val="center"/>
                </w:tcPr>
                <w:p w14:paraId="7CD14C1B">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2</w:t>
                  </w:r>
                </w:p>
              </w:tc>
              <w:tc>
                <w:tcPr>
                  <w:tcW w:w="4099" w:type="dxa"/>
                  <w:tcBorders>
                    <w:tl2br w:val="nil"/>
                    <w:tr2bl w:val="nil"/>
                  </w:tcBorders>
                  <w:vAlign w:val="center"/>
                </w:tcPr>
                <w:p w14:paraId="71BC57B0">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北票发电厂扩建工程环境影响报告书</w:t>
                  </w:r>
                </w:p>
              </w:tc>
              <w:tc>
                <w:tcPr>
                  <w:tcW w:w="1934" w:type="dxa"/>
                  <w:tcBorders>
                    <w:tl2br w:val="nil"/>
                    <w:tr2bl w:val="nil"/>
                  </w:tcBorders>
                  <w:vAlign w:val="center"/>
                </w:tcPr>
                <w:p w14:paraId="6A392018">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2002.8.6，辽环函</w:t>
                  </w:r>
                  <w:r>
                    <w:rPr>
                      <w:rFonts w:hint="eastAsia" w:eastAsia="宋体" w:cs="Times New Roman"/>
                      <w:b w:val="0"/>
                      <w:bCs/>
                      <w:color w:val="auto"/>
                      <w:sz w:val="21"/>
                      <w:szCs w:val="21"/>
                      <w:highlight w:val="none"/>
                      <w:lang w:val="en-US" w:eastAsia="zh-CN"/>
                    </w:rPr>
                    <w:t>〔2002〕197号</w:t>
                  </w:r>
                </w:p>
              </w:tc>
              <w:tc>
                <w:tcPr>
                  <w:tcW w:w="1891" w:type="dxa"/>
                  <w:tcBorders>
                    <w:tl2br w:val="nil"/>
                    <w:tr2bl w:val="nil"/>
                  </w:tcBorders>
                  <w:vAlign w:val="center"/>
                </w:tcPr>
                <w:p w14:paraId="7358C7B8">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2015.12.31，辽环验</w:t>
                  </w:r>
                  <w:r>
                    <w:rPr>
                      <w:rFonts w:hint="eastAsia" w:eastAsia="宋体" w:cs="Times New Roman"/>
                      <w:b w:val="0"/>
                      <w:bCs/>
                      <w:color w:val="auto"/>
                      <w:sz w:val="21"/>
                      <w:szCs w:val="21"/>
                      <w:highlight w:val="none"/>
                      <w:lang w:val="en-US" w:eastAsia="zh-CN"/>
                    </w:rPr>
                    <w:t>〔2015〕391号</w:t>
                  </w:r>
                </w:p>
              </w:tc>
            </w:tr>
            <w:tr w14:paraId="74A0DC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1" w:type="dxa"/>
                  <w:tcBorders>
                    <w:tl2br w:val="nil"/>
                    <w:tr2bl w:val="nil"/>
                  </w:tcBorders>
                  <w:vAlign w:val="center"/>
                </w:tcPr>
                <w:p w14:paraId="749EBC1B">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3</w:t>
                  </w:r>
                </w:p>
              </w:tc>
              <w:tc>
                <w:tcPr>
                  <w:tcW w:w="4099" w:type="dxa"/>
                  <w:tcBorders>
                    <w:tl2br w:val="nil"/>
                    <w:tr2bl w:val="nil"/>
                  </w:tcBorders>
                  <w:vAlign w:val="center"/>
                </w:tcPr>
                <w:p w14:paraId="7FBF5080">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val="en-US" w:eastAsia="zh-CN"/>
                    </w:rPr>
                    <w:t>北票发电有限责任公司烟气脱硫工程环境影响报告表</w:t>
                  </w:r>
                </w:p>
              </w:tc>
              <w:tc>
                <w:tcPr>
                  <w:tcW w:w="1934" w:type="dxa"/>
                  <w:tcBorders>
                    <w:tl2br w:val="nil"/>
                    <w:tr2bl w:val="nil"/>
                  </w:tcBorders>
                  <w:vAlign w:val="center"/>
                </w:tcPr>
                <w:p w14:paraId="7370C44A">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2010.12.27</w:t>
                  </w:r>
                  <w:r>
                    <w:rPr>
                      <w:rFonts w:hint="eastAsia" w:ascii="Times New Roman" w:hAnsi="Times New Roman" w:eastAsia="宋体" w:cs="Times New Roman"/>
                      <w:b w:val="0"/>
                      <w:bCs/>
                      <w:color w:val="auto"/>
                      <w:sz w:val="21"/>
                      <w:szCs w:val="21"/>
                      <w:highlight w:val="none"/>
                      <w:lang w:val="en-US" w:eastAsia="zh-CN"/>
                    </w:rPr>
                    <w:t>，</w:t>
                  </w:r>
                  <w:r>
                    <w:rPr>
                      <w:rFonts w:hint="default" w:ascii="Times New Roman" w:hAnsi="Times New Roman" w:eastAsia="宋体" w:cs="Times New Roman"/>
                      <w:b w:val="0"/>
                      <w:bCs/>
                      <w:color w:val="auto"/>
                      <w:sz w:val="21"/>
                      <w:szCs w:val="21"/>
                      <w:highlight w:val="none"/>
                      <w:lang w:val="en-US" w:eastAsia="zh-CN"/>
                    </w:rPr>
                    <w:t>朝环审</w:t>
                  </w:r>
                  <w:r>
                    <w:rPr>
                      <w:rFonts w:hint="eastAsia" w:eastAsia="宋体" w:cs="Times New Roman"/>
                      <w:b w:val="0"/>
                      <w:bCs/>
                      <w:color w:val="auto"/>
                      <w:sz w:val="21"/>
                      <w:szCs w:val="21"/>
                      <w:highlight w:val="none"/>
                      <w:lang w:val="en-US" w:eastAsia="zh-CN"/>
                    </w:rPr>
                    <w:t>〔2010〕196号</w:t>
                  </w:r>
                </w:p>
              </w:tc>
              <w:tc>
                <w:tcPr>
                  <w:tcW w:w="1891" w:type="dxa"/>
                  <w:tcBorders>
                    <w:tl2br w:val="nil"/>
                    <w:tr2bl w:val="nil"/>
                  </w:tcBorders>
                  <w:vAlign w:val="center"/>
                </w:tcPr>
                <w:p w14:paraId="796AF4F6">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2021.12.27，</w:t>
                  </w:r>
                  <w:r>
                    <w:rPr>
                      <w:rFonts w:hint="eastAsia" w:ascii="Times New Roman" w:hAnsi="Times New Roman" w:eastAsia="宋体" w:cs="Times New Roman"/>
                      <w:b w:val="0"/>
                      <w:bCs/>
                      <w:color w:val="auto"/>
                      <w:sz w:val="21"/>
                      <w:szCs w:val="21"/>
                      <w:highlight w:val="none"/>
                      <w:lang w:eastAsia="zh-CN"/>
                    </w:rPr>
                    <w:t>朝环验</w:t>
                  </w:r>
                  <w:r>
                    <w:rPr>
                      <w:rFonts w:hint="eastAsia" w:eastAsia="宋体" w:cs="Times New Roman"/>
                      <w:b w:val="0"/>
                      <w:bCs/>
                      <w:color w:val="auto"/>
                      <w:sz w:val="21"/>
                      <w:szCs w:val="21"/>
                      <w:highlight w:val="none"/>
                      <w:lang w:eastAsia="zh-CN"/>
                    </w:rPr>
                    <w:t>〔2010〕13号</w:t>
                  </w:r>
                </w:p>
              </w:tc>
            </w:tr>
            <w:tr w14:paraId="36408B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1" w:type="dxa"/>
                  <w:tcBorders>
                    <w:tl2br w:val="nil"/>
                    <w:tr2bl w:val="nil"/>
                  </w:tcBorders>
                  <w:vAlign w:val="center"/>
                </w:tcPr>
                <w:p w14:paraId="13BDAD09">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4</w:t>
                  </w:r>
                </w:p>
              </w:tc>
              <w:tc>
                <w:tcPr>
                  <w:tcW w:w="4099" w:type="dxa"/>
                  <w:tcBorders>
                    <w:tl2br w:val="nil"/>
                    <w:tr2bl w:val="nil"/>
                  </w:tcBorders>
                  <w:vAlign w:val="center"/>
                </w:tcPr>
                <w:p w14:paraId="4C20CF35">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val="en-US" w:eastAsia="zh-CN"/>
                    </w:rPr>
                    <w:t>北票发电有限责任公司5×75t/h循环流化床锅炉烟气脱硫改造工程环境影响报告表</w:t>
                  </w:r>
                </w:p>
              </w:tc>
              <w:tc>
                <w:tcPr>
                  <w:tcW w:w="1934" w:type="dxa"/>
                  <w:tcBorders>
                    <w:tl2br w:val="nil"/>
                    <w:tr2bl w:val="nil"/>
                  </w:tcBorders>
                  <w:vAlign w:val="center"/>
                </w:tcPr>
                <w:p w14:paraId="4BAD3AA3">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2014.12.22，</w:t>
                  </w:r>
                  <w:r>
                    <w:rPr>
                      <w:rFonts w:hint="default" w:ascii="Times New Roman" w:hAnsi="Times New Roman" w:eastAsia="宋体" w:cs="Times New Roman"/>
                      <w:b w:val="0"/>
                      <w:bCs/>
                      <w:color w:val="auto"/>
                      <w:sz w:val="21"/>
                      <w:szCs w:val="21"/>
                      <w:highlight w:val="none"/>
                      <w:lang w:val="en-US" w:eastAsia="zh-CN"/>
                    </w:rPr>
                    <w:t>朝环审</w:t>
                  </w:r>
                  <w:r>
                    <w:rPr>
                      <w:rFonts w:hint="eastAsia" w:eastAsia="宋体" w:cs="Times New Roman"/>
                      <w:b w:val="0"/>
                      <w:bCs/>
                      <w:color w:val="auto"/>
                      <w:sz w:val="21"/>
                      <w:szCs w:val="21"/>
                      <w:highlight w:val="none"/>
                      <w:lang w:val="en-US" w:eastAsia="zh-CN"/>
                    </w:rPr>
                    <w:t>〔2014〕76号</w:t>
                  </w:r>
                </w:p>
              </w:tc>
              <w:tc>
                <w:tcPr>
                  <w:tcW w:w="1891" w:type="dxa"/>
                  <w:tcBorders>
                    <w:tl2br w:val="nil"/>
                    <w:tr2bl w:val="nil"/>
                  </w:tcBorders>
                  <w:vAlign w:val="center"/>
                </w:tcPr>
                <w:p w14:paraId="67082CD9">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rPr>
                  </w:pPr>
                  <w:r>
                    <w:rPr>
                      <w:rFonts w:hint="eastAsia" w:ascii="Times New Roman" w:hAnsi="Times New Roman" w:eastAsia="宋体" w:cs="Times New Roman"/>
                      <w:b w:val="0"/>
                      <w:bCs/>
                      <w:color w:val="auto"/>
                      <w:sz w:val="21"/>
                      <w:szCs w:val="21"/>
                      <w:highlight w:val="none"/>
                      <w:lang w:val="en-US" w:eastAsia="zh-CN"/>
                    </w:rPr>
                    <w:t>2015.2.15，</w:t>
                  </w:r>
                  <w:r>
                    <w:rPr>
                      <w:rFonts w:hint="default" w:ascii="Times New Roman" w:hAnsi="Times New Roman" w:eastAsia="宋体" w:cs="Times New Roman"/>
                      <w:b w:val="0"/>
                      <w:bCs/>
                      <w:color w:val="auto"/>
                      <w:sz w:val="21"/>
                      <w:szCs w:val="21"/>
                      <w:highlight w:val="none"/>
                      <w:lang w:val="en-US" w:eastAsia="zh-CN"/>
                    </w:rPr>
                    <w:t>朝环验</w:t>
                  </w:r>
                  <w:r>
                    <w:rPr>
                      <w:rFonts w:hint="eastAsia" w:eastAsia="宋体" w:cs="Times New Roman"/>
                      <w:b w:val="0"/>
                      <w:bCs/>
                      <w:color w:val="auto"/>
                      <w:sz w:val="21"/>
                      <w:szCs w:val="21"/>
                      <w:highlight w:val="none"/>
                      <w:lang w:val="en-US" w:eastAsia="zh-CN"/>
                    </w:rPr>
                    <w:t>〔2015〕11号</w:t>
                  </w:r>
                </w:p>
              </w:tc>
            </w:tr>
            <w:tr w14:paraId="4EFEAE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1" w:type="dxa"/>
                  <w:tcBorders>
                    <w:tl2br w:val="nil"/>
                    <w:tr2bl w:val="nil"/>
                  </w:tcBorders>
                  <w:vAlign w:val="center"/>
                </w:tcPr>
                <w:p w14:paraId="173D246E">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5</w:t>
                  </w:r>
                </w:p>
              </w:tc>
              <w:tc>
                <w:tcPr>
                  <w:tcW w:w="4099" w:type="dxa"/>
                  <w:tcBorders>
                    <w:tl2br w:val="nil"/>
                    <w:tr2bl w:val="nil"/>
                  </w:tcBorders>
                  <w:vAlign w:val="center"/>
                </w:tcPr>
                <w:p w14:paraId="7736993B">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北票发电有限责任公司5×75t/h锅炉电除尘器改造工程环境影响报告表</w:t>
                  </w:r>
                </w:p>
              </w:tc>
              <w:tc>
                <w:tcPr>
                  <w:tcW w:w="1934" w:type="dxa"/>
                  <w:tcBorders>
                    <w:tl2br w:val="nil"/>
                    <w:tr2bl w:val="nil"/>
                  </w:tcBorders>
                  <w:vAlign w:val="center"/>
                </w:tcPr>
                <w:p w14:paraId="090D9958">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2014.12.22，</w:t>
                  </w:r>
                  <w:r>
                    <w:rPr>
                      <w:rFonts w:hint="default" w:ascii="Times New Roman" w:hAnsi="Times New Roman" w:eastAsia="宋体" w:cs="Times New Roman"/>
                      <w:b w:val="0"/>
                      <w:bCs/>
                      <w:color w:val="auto"/>
                      <w:sz w:val="21"/>
                      <w:szCs w:val="21"/>
                      <w:highlight w:val="none"/>
                      <w:lang w:val="en-US" w:eastAsia="zh-CN"/>
                    </w:rPr>
                    <w:t>朝环审</w:t>
                  </w:r>
                  <w:r>
                    <w:rPr>
                      <w:rFonts w:hint="eastAsia" w:eastAsia="宋体" w:cs="Times New Roman"/>
                      <w:b w:val="0"/>
                      <w:bCs/>
                      <w:color w:val="auto"/>
                      <w:sz w:val="21"/>
                      <w:szCs w:val="21"/>
                      <w:highlight w:val="none"/>
                      <w:lang w:val="en-US" w:eastAsia="zh-CN"/>
                    </w:rPr>
                    <w:t>〔2014〕77号</w:t>
                  </w:r>
                </w:p>
              </w:tc>
              <w:tc>
                <w:tcPr>
                  <w:tcW w:w="1891" w:type="dxa"/>
                  <w:tcBorders>
                    <w:tl2br w:val="nil"/>
                    <w:tr2bl w:val="nil"/>
                  </w:tcBorders>
                  <w:vAlign w:val="center"/>
                </w:tcPr>
                <w:p w14:paraId="41C4DDAA">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2015.2.15，</w:t>
                  </w:r>
                  <w:r>
                    <w:rPr>
                      <w:rFonts w:hint="default" w:ascii="Times New Roman" w:hAnsi="Times New Roman" w:eastAsia="宋体" w:cs="Times New Roman"/>
                      <w:b w:val="0"/>
                      <w:bCs/>
                      <w:color w:val="auto"/>
                      <w:sz w:val="21"/>
                      <w:szCs w:val="21"/>
                      <w:highlight w:val="none"/>
                      <w:lang w:val="en-US" w:eastAsia="zh-CN"/>
                    </w:rPr>
                    <w:t>朝环验</w:t>
                  </w:r>
                  <w:r>
                    <w:rPr>
                      <w:rFonts w:hint="eastAsia" w:eastAsia="宋体" w:cs="Times New Roman"/>
                      <w:b w:val="0"/>
                      <w:bCs/>
                      <w:color w:val="auto"/>
                      <w:sz w:val="21"/>
                      <w:szCs w:val="21"/>
                      <w:highlight w:val="none"/>
                      <w:lang w:val="en-US" w:eastAsia="zh-CN"/>
                    </w:rPr>
                    <w:t>〔2015〕12号</w:t>
                  </w:r>
                </w:p>
              </w:tc>
            </w:tr>
            <w:tr w14:paraId="0E2B2B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1" w:type="dxa"/>
                  <w:tcBorders>
                    <w:tl2br w:val="nil"/>
                    <w:tr2bl w:val="nil"/>
                  </w:tcBorders>
                  <w:vAlign w:val="center"/>
                </w:tcPr>
                <w:p w14:paraId="482FCDB4">
                  <w:pPr>
                    <w:pStyle w:val="2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6</w:t>
                  </w:r>
                </w:p>
              </w:tc>
              <w:tc>
                <w:tcPr>
                  <w:tcW w:w="4099" w:type="dxa"/>
                  <w:tcBorders>
                    <w:tl2br w:val="nil"/>
                    <w:tr2bl w:val="nil"/>
                  </w:tcBorders>
                  <w:vAlign w:val="center"/>
                </w:tcPr>
                <w:p w14:paraId="053A0942">
                  <w:pPr>
                    <w:pStyle w:val="2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eastAsia="zh-CN"/>
                    </w:rPr>
                    <w:t>北票发电有限责任公司</w:t>
                  </w:r>
                  <w:r>
                    <w:rPr>
                      <w:rFonts w:hint="eastAsia" w:ascii="Times New Roman" w:hAnsi="Times New Roman" w:eastAsia="宋体" w:cs="Times New Roman"/>
                      <w:b w:val="0"/>
                      <w:bCs/>
                      <w:color w:val="auto"/>
                      <w:sz w:val="21"/>
                      <w:szCs w:val="21"/>
                      <w:highlight w:val="none"/>
                      <w:lang w:val="en-US" w:eastAsia="zh-CN"/>
                    </w:rPr>
                    <w:t>2×58MW持续热水锅炉脱硫脱硝除尘改造项目环境影响报告表</w:t>
                  </w:r>
                </w:p>
              </w:tc>
              <w:tc>
                <w:tcPr>
                  <w:tcW w:w="1934" w:type="dxa"/>
                  <w:tcBorders>
                    <w:tl2br w:val="nil"/>
                    <w:tr2bl w:val="nil"/>
                  </w:tcBorders>
                  <w:vAlign w:val="center"/>
                </w:tcPr>
                <w:p w14:paraId="67B3D007">
                  <w:pPr>
                    <w:pStyle w:val="2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2016.2.1，朝环审</w:t>
                  </w:r>
                  <w:r>
                    <w:rPr>
                      <w:rFonts w:hint="eastAsia" w:eastAsia="宋体" w:cs="Times New Roman"/>
                      <w:b w:val="0"/>
                      <w:bCs/>
                      <w:color w:val="auto"/>
                      <w:sz w:val="21"/>
                      <w:szCs w:val="21"/>
                      <w:highlight w:val="none"/>
                      <w:lang w:val="en-US" w:eastAsia="zh-CN"/>
                    </w:rPr>
                    <w:t>〔2016〕8号</w:t>
                  </w:r>
                </w:p>
              </w:tc>
              <w:tc>
                <w:tcPr>
                  <w:tcW w:w="1891" w:type="dxa"/>
                  <w:tcBorders>
                    <w:tl2br w:val="nil"/>
                    <w:tr2bl w:val="nil"/>
                  </w:tcBorders>
                  <w:vAlign w:val="center"/>
                </w:tcPr>
                <w:p w14:paraId="6F98C475">
                  <w:pPr>
                    <w:pStyle w:val="2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2016.4.14，</w:t>
                  </w:r>
                  <w:r>
                    <w:rPr>
                      <w:rFonts w:hint="default" w:ascii="Times New Roman" w:hAnsi="Times New Roman" w:eastAsia="宋体" w:cs="Times New Roman"/>
                      <w:b w:val="0"/>
                      <w:bCs/>
                      <w:color w:val="auto"/>
                      <w:sz w:val="21"/>
                      <w:szCs w:val="21"/>
                      <w:highlight w:val="none"/>
                      <w:lang w:val="en-US" w:eastAsia="zh-CN"/>
                    </w:rPr>
                    <w:t>朝环验</w:t>
                  </w:r>
                  <w:r>
                    <w:rPr>
                      <w:rFonts w:hint="eastAsia" w:eastAsia="宋体" w:cs="Times New Roman"/>
                      <w:b w:val="0"/>
                      <w:bCs/>
                      <w:color w:val="auto"/>
                      <w:sz w:val="21"/>
                      <w:szCs w:val="21"/>
                      <w:highlight w:val="none"/>
                      <w:lang w:val="en-US" w:eastAsia="zh-CN"/>
                    </w:rPr>
                    <w:t>〔2016〕12号</w:t>
                  </w:r>
                </w:p>
              </w:tc>
            </w:tr>
            <w:tr w14:paraId="41FDBD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1" w:type="dxa"/>
                  <w:tcBorders>
                    <w:tl2br w:val="nil"/>
                    <w:tr2bl w:val="nil"/>
                  </w:tcBorders>
                  <w:vAlign w:val="center"/>
                </w:tcPr>
                <w:p w14:paraId="6FCE0489">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7</w:t>
                  </w:r>
                </w:p>
              </w:tc>
              <w:tc>
                <w:tcPr>
                  <w:tcW w:w="4099" w:type="dxa"/>
                  <w:tcBorders>
                    <w:tl2br w:val="nil"/>
                    <w:tr2bl w:val="nil"/>
                  </w:tcBorders>
                  <w:vAlign w:val="center"/>
                </w:tcPr>
                <w:p w14:paraId="466CDDDD">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北票发电有限责任公司5×75t/h锅炉SNCR烟气脱硝改造工程环境影响报告表</w:t>
                  </w:r>
                </w:p>
              </w:tc>
              <w:tc>
                <w:tcPr>
                  <w:tcW w:w="1934" w:type="dxa"/>
                  <w:tcBorders>
                    <w:tl2br w:val="nil"/>
                    <w:tr2bl w:val="nil"/>
                  </w:tcBorders>
                  <w:vAlign w:val="center"/>
                </w:tcPr>
                <w:p w14:paraId="35A8F5E6">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2016.2.1，</w:t>
                  </w:r>
                  <w:r>
                    <w:rPr>
                      <w:rFonts w:hint="default" w:ascii="Times New Roman" w:hAnsi="Times New Roman" w:eastAsia="宋体" w:cs="Times New Roman"/>
                      <w:b w:val="0"/>
                      <w:bCs/>
                      <w:color w:val="auto"/>
                      <w:sz w:val="21"/>
                      <w:szCs w:val="21"/>
                      <w:highlight w:val="none"/>
                      <w:lang w:val="en-US" w:eastAsia="zh-CN"/>
                    </w:rPr>
                    <w:t>朝环审</w:t>
                  </w:r>
                  <w:r>
                    <w:rPr>
                      <w:rFonts w:hint="eastAsia" w:eastAsia="宋体" w:cs="Times New Roman"/>
                      <w:b w:val="0"/>
                      <w:bCs/>
                      <w:color w:val="auto"/>
                      <w:sz w:val="21"/>
                      <w:szCs w:val="21"/>
                      <w:highlight w:val="none"/>
                      <w:lang w:val="en-US" w:eastAsia="zh-CN"/>
                    </w:rPr>
                    <w:t>〔2016〕9号</w:t>
                  </w:r>
                </w:p>
              </w:tc>
              <w:tc>
                <w:tcPr>
                  <w:tcW w:w="1891" w:type="dxa"/>
                  <w:tcBorders>
                    <w:tl2br w:val="nil"/>
                    <w:tr2bl w:val="nil"/>
                  </w:tcBorders>
                  <w:vAlign w:val="center"/>
                </w:tcPr>
                <w:p w14:paraId="04FF6884">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2016.4.14，</w:t>
                  </w:r>
                  <w:r>
                    <w:rPr>
                      <w:rFonts w:hint="default" w:ascii="Times New Roman" w:hAnsi="Times New Roman" w:eastAsia="宋体" w:cs="Times New Roman"/>
                      <w:b w:val="0"/>
                      <w:bCs/>
                      <w:color w:val="auto"/>
                      <w:sz w:val="21"/>
                      <w:szCs w:val="21"/>
                      <w:highlight w:val="none"/>
                      <w:lang w:val="en-US" w:eastAsia="zh-CN"/>
                    </w:rPr>
                    <w:t>朝环验</w:t>
                  </w:r>
                  <w:r>
                    <w:rPr>
                      <w:rFonts w:hint="eastAsia" w:eastAsia="宋体" w:cs="Times New Roman"/>
                      <w:b w:val="0"/>
                      <w:bCs/>
                      <w:color w:val="auto"/>
                      <w:sz w:val="21"/>
                      <w:szCs w:val="21"/>
                      <w:highlight w:val="none"/>
                      <w:lang w:val="en-US" w:eastAsia="zh-CN"/>
                    </w:rPr>
                    <w:t>〔2016〕11号</w:t>
                  </w:r>
                </w:p>
              </w:tc>
            </w:tr>
            <w:tr w14:paraId="5D94B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1" w:type="dxa"/>
                  <w:tcBorders>
                    <w:tl2br w:val="nil"/>
                    <w:tr2bl w:val="nil"/>
                  </w:tcBorders>
                  <w:vAlign w:val="center"/>
                </w:tcPr>
                <w:p w14:paraId="760C46C3">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8</w:t>
                  </w:r>
                </w:p>
              </w:tc>
              <w:tc>
                <w:tcPr>
                  <w:tcW w:w="4099" w:type="dxa"/>
                  <w:tcBorders>
                    <w:tl2br w:val="nil"/>
                    <w:tr2bl w:val="nil"/>
                  </w:tcBorders>
                  <w:vAlign w:val="center"/>
                </w:tcPr>
                <w:p w14:paraId="7D7B5A38">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北票发电有限责任公司超低排放工程</w:t>
                  </w:r>
                </w:p>
              </w:tc>
              <w:tc>
                <w:tcPr>
                  <w:tcW w:w="3825" w:type="dxa"/>
                  <w:gridSpan w:val="2"/>
                  <w:tcBorders>
                    <w:tl2br w:val="nil"/>
                    <w:tr2bl w:val="nil"/>
                  </w:tcBorders>
                  <w:vAlign w:val="center"/>
                </w:tcPr>
                <w:p w14:paraId="30AB5956">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该项目环境影响登记表已经完成备案，备案号：202021138100000526</w:t>
                  </w:r>
                </w:p>
              </w:tc>
            </w:tr>
          </w:tbl>
          <w:p w14:paraId="533F3FF7">
            <w:pPr>
              <w:pStyle w:val="25"/>
              <w:bidi w:val="0"/>
              <w:rPr>
                <w:color w:val="auto"/>
                <w:highlight w:val="none"/>
              </w:rPr>
            </w:pPr>
            <w:r>
              <w:rPr>
                <w:color w:val="auto"/>
                <w:highlight w:val="none"/>
              </w:rPr>
              <w:t>排污许可证情况</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2"/>
              <w:gridCol w:w="1317"/>
              <w:gridCol w:w="2193"/>
              <w:gridCol w:w="2599"/>
              <w:gridCol w:w="1625"/>
            </w:tblGrid>
            <w:tr w14:paraId="299C81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dxa"/>
                  <w:tcBorders>
                    <w:tl2br w:val="nil"/>
                    <w:tr2bl w:val="nil"/>
                  </w:tcBorders>
                  <w:vAlign w:val="center"/>
                </w:tcPr>
                <w:p w14:paraId="3A069BE4">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序号</w:t>
                  </w:r>
                </w:p>
              </w:tc>
              <w:tc>
                <w:tcPr>
                  <w:tcW w:w="1300" w:type="dxa"/>
                  <w:tcBorders>
                    <w:tl2br w:val="nil"/>
                    <w:tr2bl w:val="nil"/>
                  </w:tcBorders>
                  <w:vAlign w:val="center"/>
                </w:tcPr>
                <w:p w14:paraId="5D18E9D0">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公司名称</w:t>
                  </w:r>
                </w:p>
              </w:tc>
              <w:tc>
                <w:tcPr>
                  <w:tcW w:w="2165" w:type="dxa"/>
                  <w:tcBorders>
                    <w:tl2br w:val="nil"/>
                    <w:tr2bl w:val="nil"/>
                  </w:tcBorders>
                  <w:vAlign w:val="center"/>
                </w:tcPr>
                <w:p w14:paraId="7E49DBB6">
                  <w:pPr>
                    <w:pStyle w:val="27"/>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报送时间</w:t>
                  </w:r>
                </w:p>
              </w:tc>
              <w:tc>
                <w:tcPr>
                  <w:tcW w:w="2566" w:type="dxa"/>
                  <w:tcBorders>
                    <w:tl2br w:val="nil"/>
                    <w:tr2bl w:val="nil"/>
                  </w:tcBorders>
                  <w:vAlign w:val="center"/>
                </w:tcPr>
                <w:p w14:paraId="10BE0E2E">
                  <w:pPr>
                    <w:pStyle w:val="27"/>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b/>
                      <w:color w:val="auto"/>
                      <w:sz w:val="21"/>
                      <w:szCs w:val="21"/>
                      <w:highlight w:val="none"/>
                      <w:lang w:val="en-US" w:eastAsia="zh-CN"/>
                    </w:rPr>
                    <w:t>证书</w:t>
                  </w:r>
                  <w:r>
                    <w:rPr>
                      <w:rFonts w:hint="eastAsia" w:ascii="Times New Roman" w:hAnsi="Times New Roman" w:eastAsia="宋体" w:cs="Times New Roman"/>
                      <w:b/>
                      <w:color w:val="auto"/>
                      <w:sz w:val="21"/>
                      <w:szCs w:val="21"/>
                      <w:highlight w:val="none"/>
                      <w:lang w:val="en-US" w:eastAsia="zh-CN"/>
                    </w:rPr>
                    <w:t>编号</w:t>
                  </w:r>
                </w:p>
              </w:tc>
              <w:tc>
                <w:tcPr>
                  <w:tcW w:w="1607" w:type="dxa"/>
                  <w:tcBorders>
                    <w:tl2br w:val="nil"/>
                    <w:tr2bl w:val="nil"/>
                  </w:tcBorders>
                  <w:vAlign w:val="center"/>
                </w:tcPr>
                <w:p w14:paraId="3C53E27E">
                  <w:pPr>
                    <w:pStyle w:val="27"/>
                    <w:spacing w:line="240" w:lineRule="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行业类别</w:t>
                  </w:r>
                </w:p>
              </w:tc>
            </w:tr>
            <w:tr w14:paraId="6D476D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5" w:type="dxa"/>
                  <w:tcBorders>
                    <w:tl2br w:val="nil"/>
                    <w:tr2bl w:val="nil"/>
                  </w:tcBorders>
                  <w:vAlign w:val="center"/>
                </w:tcPr>
                <w:p w14:paraId="636A40FC">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1</w:t>
                  </w:r>
                </w:p>
              </w:tc>
              <w:tc>
                <w:tcPr>
                  <w:tcW w:w="1300" w:type="dxa"/>
                  <w:tcBorders>
                    <w:tl2br w:val="nil"/>
                    <w:tr2bl w:val="nil"/>
                  </w:tcBorders>
                  <w:vAlign w:val="center"/>
                </w:tcPr>
                <w:p w14:paraId="5A7FD437">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eastAsia="zh-CN"/>
                    </w:rPr>
                    <w:t>北票发电有限责任公司</w:t>
                  </w:r>
                </w:p>
              </w:tc>
              <w:tc>
                <w:tcPr>
                  <w:tcW w:w="2165" w:type="dxa"/>
                  <w:tcBorders>
                    <w:tl2br w:val="nil"/>
                    <w:tr2bl w:val="nil"/>
                  </w:tcBorders>
                  <w:vAlign w:val="center"/>
                </w:tcPr>
                <w:p w14:paraId="67DF88FD">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2024年0</w:t>
                  </w:r>
                  <w:r>
                    <w:rPr>
                      <w:rFonts w:hint="eastAsia" w:eastAsia="宋体" w:cs="Times New Roman"/>
                      <w:color w:val="auto"/>
                      <w:sz w:val="21"/>
                      <w:szCs w:val="21"/>
                      <w:highlight w:val="none"/>
                      <w:lang w:val="en-US" w:eastAsia="zh-CN"/>
                    </w:rPr>
                    <w:t>7</w:t>
                  </w:r>
                  <w:r>
                    <w:rPr>
                      <w:rFonts w:hint="eastAsia" w:ascii="Times New Roman" w:hAnsi="Times New Roman" w:eastAsia="宋体" w:cs="Times New Roman"/>
                      <w:color w:val="auto"/>
                      <w:sz w:val="21"/>
                      <w:szCs w:val="21"/>
                      <w:highlight w:val="none"/>
                    </w:rPr>
                    <w:t>月</w:t>
                  </w:r>
                  <w:r>
                    <w:rPr>
                      <w:rFonts w:hint="eastAsia" w:eastAsia="宋体" w:cs="Times New Roman"/>
                      <w:color w:val="auto"/>
                      <w:sz w:val="21"/>
                      <w:szCs w:val="21"/>
                      <w:highlight w:val="none"/>
                      <w:lang w:val="en-US" w:eastAsia="zh-CN"/>
                    </w:rPr>
                    <w:t>09</w:t>
                  </w:r>
                  <w:r>
                    <w:rPr>
                      <w:rFonts w:hint="eastAsia" w:ascii="Times New Roman" w:hAnsi="Times New Roman" w:eastAsia="宋体" w:cs="Times New Roman"/>
                      <w:color w:val="auto"/>
                      <w:sz w:val="21"/>
                      <w:szCs w:val="21"/>
                      <w:highlight w:val="none"/>
                    </w:rPr>
                    <w:t>日至2029年</w:t>
                  </w:r>
                  <w:r>
                    <w:rPr>
                      <w:rFonts w:hint="eastAsia" w:eastAsia="宋体" w:cs="Times New Roman"/>
                      <w:color w:val="auto"/>
                      <w:sz w:val="21"/>
                      <w:szCs w:val="21"/>
                      <w:highlight w:val="none"/>
                      <w:lang w:val="en-US" w:eastAsia="zh-CN"/>
                    </w:rPr>
                    <w:t>07</w:t>
                  </w:r>
                  <w:r>
                    <w:rPr>
                      <w:rFonts w:hint="eastAsia" w:ascii="Times New Roman" w:hAnsi="Times New Roman" w:eastAsia="宋体" w:cs="Times New Roman"/>
                      <w:color w:val="auto"/>
                      <w:sz w:val="21"/>
                      <w:szCs w:val="21"/>
                      <w:highlight w:val="none"/>
                    </w:rPr>
                    <w:t>月</w:t>
                  </w:r>
                  <w:r>
                    <w:rPr>
                      <w:rFonts w:hint="eastAsia" w:eastAsia="宋体" w:cs="Times New Roman"/>
                      <w:color w:val="auto"/>
                      <w:sz w:val="21"/>
                      <w:szCs w:val="21"/>
                      <w:highlight w:val="none"/>
                      <w:lang w:val="en-US" w:eastAsia="zh-CN"/>
                    </w:rPr>
                    <w:t>08</w:t>
                  </w:r>
                  <w:r>
                    <w:rPr>
                      <w:rFonts w:hint="eastAsia" w:ascii="Times New Roman" w:hAnsi="Times New Roman" w:eastAsia="宋体" w:cs="Times New Roman"/>
                      <w:color w:val="auto"/>
                      <w:sz w:val="21"/>
                      <w:szCs w:val="21"/>
                      <w:highlight w:val="none"/>
                    </w:rPr>
                    <w:t>日</w:t>
                  </w:r>
                </w:p>
              </w:tc>
              <w:tc>
                <w:tcPr>
                  <w:tcW w:w="2566" w:type="dxa"/>
                  <w:tcBorders>
                    <w:tl2br w:val="nil"/>
                    <w:tr2bl w:val="nil"/>
                  </w:tcBorders>
                  <w:vAlign w:val="center"/>
                </w:tcPr>
                <w:p w14:paraId="76F3E376">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91211381777765678B001P</w:t>
                  </w:r>
                </w:p>
              </w:tc>
              <w:tc>
                <w:tcPr>
                  <w:tcW w:w="1607" w:type="dxa"/>
                  <w:tcBorders>
                    <w:tl2br w:val="nil"/>
                    <w:tr2bl w:val="nil"/>
                  </w:tcBorders>
                  <w:vAlign w:val="center"/>
                </w:tcPr>
                <w:p w14:paraId="03FDD742">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eastAsia="zh-CN"/>
                    </w:rPr>
                    <w:t>热电联产，热力生产和供应</w:t>
                  </w:r>
                </w:p>
              </w:tc>
            </w:tr>
          </w:tbl>
          <w:p w14:paraId="11E8384F">
            <w:pPr>
              <w:pStyle w:val="25"/>
              <w:bidi w:val="0"/>
              <w:rPr>
                <w:rFonts w:cs="Times New Roman"/>
                <w:color w:val="auto"/>
                <w:sz w:val="24"/>
                <w:szCs w:val="24"/>
                <w:highlight w:val="none"/>
              </w:rPr>
            </w:pPr>
            <w:r>
              <w:rPr>
                <w:rFonts w:hint="eastAsia" w:cs="Times New Roman"/>
                <w:color w:val="auto"/>
                <w:sz w:val="24"/>
                <w:szCs w:val="24"/>
                <w:highlight w:val="none"/>
                <w:lang w:val="en-US" w:eastAsia="zh-CN"/>
              </w:rPr>
              <w:t>应急预案备案</w:t>
            </w:r>
            <w:r>
              <w:rPr>
                <w:rFonts w:cs="Times New Roman"/>
                <w:color w:val="auto"/>
                <w:sz w:val="24"/>
                <w:szCs w:val="24"/>
                <w:highlight w:val="none"/>
              </w:rPr>
              <w:t>情况</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0"/>
              <w:gridCol w:w="3796"/>
              <w:gridCol w:w="1400"/>
              <w:gridCol w:w="2300"/>
            </w:tblGrid>
            <w:tr w14:paraId="5D5F83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8" w:type="dxa"/>
                  <w:tcBorders>
                    <w:tl2br w:val="nil"/>
                    <w:tr2bl w:val="nil"/>
                  </w:tcBorders>
                  <w:vAlign w:val="center"/>
                </w:tcPr>
                <w:p w14:paraId="7729DCC3">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序号</w:t>
                  </w:r>
                </w:p>
              </w:tc>
              <w:tc>
                <w:tcPr>
                  <w:tcW w:w="3752" w:type="dxa"/>
                  <w:tcBorders>
                    <w:tl2br w:val="nil"/>
                    <w:tr2bl w:val="nil"/>
                  </w:tcBorders>
                  <w:vAlign w:val="center"/>
                </w:tcPr>
                <w:p w14:paraId="25604FD9">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公司名称</w:t>
                  </w:r>
                </w:p>
              </w:tc>
              <w:tc>
                <w:tcPr>
                  <w:tcW w:w="1380" w:type="dxa"/>
                  <w:tcBorders>
                    <w:tl2br w:val="nil"/>
                    <w:tr2bl w:val="nil"/>
                  </w:tcBorders>
                  <w:vAlign w:val="center"/>
                </w:tcPr>
                <w:p w14:paraId="7CA38676">
                  <w:pPr>
                    <w:pStyle w:val="27"/>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b/>
                      <w:color w:val="auto"/>
                      <w:sz w:val="21"/>
                      <w:szCs w:val="21"/>
                      <w:highlight w:val="none"/>
                      <w:lang w:val="en-US" w:eastAsia="zh-CN"/>
                    </w:rPr>
                    <w:t>报送时间</w:t>
                  </w:r>
                </w:p>
              </w:tc>
              <w:tc>
                <w:tcPr>
                  <w:tcW w:w="2273" w:type="dxa"/>
                  <w:tcBorders>
                    <w:tl2br w:val="nil"/>
                    <w:tr2bl w:val="nil"/>
                  </w:tcBorders>
                  <w:vAlign w:val="center"/>
                </w:tcPr>
                <w:p w14:paraId="7738AE20">
                  <w:pPr>
                    <w:pStyle w:val="27"/>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b/>
                      <w:color w:val="auto"/>
                      <w:sz w:val="21"/>
                      <w:szCs w:val="21"/>
                      <w:highlight w:val="none"/>
                      <w:lang w:val="en-US" w:eastAsia="zh-CN"/>
                    </w:rPr>
                    <w:t>备案</w:t>
                  </w:r>
                  <w:r>
                    <w:rPr>
                      <w:rFonts w:hint="eastAsia" w:ascii="Times New Roman" w:hAnsi="Times New Roman" w:eastAsia="宋体" w:cs="Times New Roman"/>
                      <w:b/>
                      <w:color w:val="auto"/>
                      <w:sz w:val="21"/>
                      <w:szCs w:val="21"/>
                      <w:highlight w:val="none"/>
                      <w:lang w:val="en-US" w:eastAsia="zh-CN"/>
                    </w:rPr>
                    <w:t>编号</w:t>
                  </w:r>
                </w:p>
              </w:tc>
            </w:tr>
            <w:tr w14:paraId="14F561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8" w:type="dxa"/>
                  <w:tcBorders>
                    <w:tl2br w:val="nil"/>
                    <w:tr2bl w:val="nil"/>
                  </w:tcBorders>
                  <w:vAlign w:val="center"/>
                </w:tcPr>
                <w:p w14:paraId="25A66E18">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1</w:t>
                  </w:r>
                </w:p>
              </w:tc>
              <w:tc>
                <w:tcPr>
                  <w:tcW w:w="3752" w:type="dxa"/>
                  <w:tcBorders>
                    <w:tl2br w:val="nil"/>
                    <w:tr2bl w:val="nil"/>
                  </w:tcBorders>
                  <w:vAlign w:val="center"/>
                </w:tcPr>
                <w:p w14:paraId="01A6F368">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eastAsia="zh-CN"/>
                    </w:rPr>
                    <w:t>北票发电有限责任公司</w:t>
                  </w:r>
                </w:p>
              </w:tc>
              <w:tc>
                <w:tcPr>
                  <w:tcW w:w="1380" w:type="dxa"/>
                  <w:tcBorders>
                    <w:tl2br w:val="nil"/>
                    <w:tr2bl w:val="nil"/>
                  </w:tcBorders>
                  <w:vAlign w:val="center"/>
                </w:tcPr>
                <w:p w14:paraId="6AF9F1BA">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2022.</w:t>
                  </w:r>
                  <w:r>
                    <w:rPr>
                      <w:rFonts w:hint="eastAsia" w:eastAsia="宋体" w:cs="Times New Roman"/>
                      <w:color w:val="auto"/>
                      <w:sz w:val="21"/>
                      <w:szCs w:val="21"/>
                      <w:highlight w:val="none"/>
                      <w:lang w:val="en-US" w:eastAsia="zh-CN"/>
                    </w:rPr>
                    <w:t>06</w:t>
                  </w:r>
                  <w:r>
                    <w:rPr>
                      <w:rFonts w:hint="eastAsia" w:ascii="Times New Roman" w:hAnsi="Times New Roman" w:eastAsia="宋体" w:cs="Times New Roman"/>
                      <w:color w:val="auto"/>
                      <w:sz w:val="21"/>
                      <w:szCs w:val="21"/>
                      <w:highlight w:val="none"/>
                    </w:rPr>
                    <w:t>.</w:t>
                  </w:r>
                  <w:r>
                    <w:rPr>
                      <w:rFonts w:hint="eastAsia" w:eastAsia="宋体" w:cs="Times New Roman"/>
                      <w:color w:val="auto"/>
                      <w:sz w:val="21"/>
                      <w:szCs w:val="21"/>
                      <w:highlight w:val="none"/>
                      <w:lang w:val="en-US" w:eastAsia="zh-CN"/>
                    </w:rPr>
                    <w:t>29</w:t>
                  </w:r>
                </w:p>
              </w:tc>
              <w:tc>
                <w:tcPr>
                  <w:tcW w:w="2273" w:type="dxa"/>
                  <w:tcBorders>
                    <w:tl2br w:val="nil"/>
                    <w:tr2bl w:val="nil"/>
                  </w:tcBorders>
                  <w:vAlign w:val="center"/>
                </w:tcPr>
                <w:p w14:paraId="435C2B4C">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211381-2022-</w:t>
                  </w:r>
                  <w:r>
                    <w:rPr>
                      <w:rFonts w:hint="eastAsia" w:eastAsia="宋体" w:cs="Times New Roman"/>
                      <w:color w:val="auto"/>
                      <w:sz w:val="21"/>
                      <w:szCs w:val="21"/>
                      <w:highlight w:val="none"/>
                      <w:lang w:val="en-US" w:eastAsia="zh-CN"/>
                    </w:rPr>
                    <w:t>008</w:t>
                  </w:r>
                  <w:r>
                    <w:rPr>
                      <w:rFonts w:hint="eastAsia" w:ascii="Times New Roman" w:hAnsi="Times New Roman" w:eastAsia="宋体" w:cs="Times New Roman"/>
                      <w:color w:val="auto"/>
                      <w:sz w:val="21"/>
                      <w:szCs w:val="21"/>
                      <w:highlight w:val="none"/>
                    </w:rPr>
                    <w:t>-</w:t>
                  </w:r>
                  <w:r>
                    <w:rPr>
                      <w:rFonts w:hint="eastAsia" w:eastAsia="宋体" w:cs="Times New Roman"/>
                      <w:color w:val="auto"/>
                      <w:sz w:val="21"/>
                      <w:szCs w:val="21"/>
                      <w:highlight w:val="none"/>
                      <w:lang w:val="en-US" w:eastAsia="zh-CN"/>
                    </w:rPr>
                    <w:t>M</w:t>
                  </w:r>
                </w:p>
              </w:tc>
            </w:tr>
          </w:tbl>
          <w:p w14:paraId="2E9B278B">
            <w:pPr>
              <w:pStyle w:val="13"/>
              <w:keepNext w:val="0"/>
              <w:keepLines w:val="0"/>
              <w:pageBreakBefore w:val="0"/>
              <w:widowControl w:val="0"/>
              <w:numPr>
                <w:ilvl w:val="0"/>
                <w:numId w:val="0"/>
              </w:numPr>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b/>
                <w:bCs/>
                <w:color w:val="auto"/>
                <w:kern w:val="2"/>
                <w:sz w:val="24"/>
                <w:szCs w:val="24"/>
                <w:highlight w:val="none"/>
                <w:lang w:val="en-US" w:eastAsia="zh-CN" w:bidi="ar-SA"/>
              </w:rPr>
            </w:pPr>
            <w:r>
              <w:rPr>
                <w:rFonts w:hint="eastAsia" w:ascii="Times New Roman" w:hAnsi="Times New Roman" w:eastAsia="Times New Roman" w:cs="Times New Roman"/>
                <w:b/>
                <w:bCs/>
                <w:color w:val="auto"/>
                <w:kern w:val="2"/>
                <w:sz w:val="24"/>
                <w:szCs w:val="24"/>
                <w:highlight w:val="none"/>
                <w:lang w:val="en-US" w:eastAsia="zh-CN" w:bidi="ar-SA"/>
              </w:rPr>
              <w:t>2现有工程污染物排放量汇总</w:t>
            </w:r>
          </w:p>
          <w:p w14:paraId="55DC3FA6">
            <w:pPr>
              <w:ind w:firstLine="480" w:firstLineChars="0"/>
              <w:rPr>
                <w:rFonts w:hint="eastAsia" w:eastAsia="Times New Roman" w:cs="Times New Roman"/>
                <w:b w:val="0"/>
                <w:bCs w:val="0"/>
                <w:color w:val="auto"/>
                <w:kern w:val="2"/>
                <w:sz w:val="24"/>
                <w:szCs w:val="24"/>
                <w:highlight w:val="none"/>
                <w:lang w:val="en-US" w:eastAsia="zh-CN" w:bidi="ar-SA"/>
              </w:rPr>
            </w:pPr>
            <w:r>
              <w:rPr>
                <w:rFonts w:hint="eastAsia" w:eastAsia="Times New Roman" w:cs="Times New Roman"/>
                <w:b w:val="0"/>
                <w:bCs w:val="0"/>
                <w:color w:val="auto"/>
                <w:kern w:val="2"/>
                <w:sz w:val="24"/>
                <w:szCs w:val="24"/>
                <w:highlight w:val="none"/>
                <w:lang w:val="en-US" w:eastAsia="zh-CN" w:bidi="ar-SA"/>
              </w:rPr>
              <w:t>依据《北票发电有限责任公司5×75t/h锅炉SNCR烟气脱硝改造工程环境影响报告表》及其环评批复和验收以及公司实际情况，现有工程污染物排放量如下。</w:t>
            </w:r>
          </w:p>
          <w:p w14:paraId="633E7DAD">
            <w:pPr>
              <w:ind w:firstLine="480" w:firstLineChars="0"/>
              <w:rPr>
                <w:rFonts w:hint="eastAsia" w:eastAsia="Times New Roman" w:cs="Times New Roman"/>
                <w:b w:val="0"/>
                <w:bCs w:val="0"/>
                <w:color w:val="auto"/>
                <w:kern w:val="2"/>
                <w:sz w:val="24"/>
                <w:szCs w:val="24"/>
                <w:highlight w:val="none"/>
                <w:lang w:val="en-US" w:eastAsia="zh-CN" w:bidi="ar-SA"/>
              </w:rPr>
            </w:pPr>
          </w:p>
          <w:p w14:paraId="5199F214">
            <w:pPr>
              <w:ind w:firstLine="480" w:firstLineChars="0"/>
              <w:rPr>
                <w:rFonts w:hint="eastAsia" w:eastAsia="Times New Roman" w:cs="Times New Roman"/>
                <w:b w:val="0"/>
                <w:bCs w:val="0"/>
                <w:color w:val="auto"/>
                <w:kern w:val="2"/>
                <w:sz w:val="24"/>
                <w:szCs w:val="24"/>
                <w:highlight w:val="none"/>
                <w:lang w:val="en-US" w:eastAsia="zh-CN" w:bidi="ar-SA"/>
              </w:rPr>
            </w:pPr>
          </w:p>
          <w:p w14:paraId="1C0D99F4">
            <w:pPr>
              <w:ind w:firstLine="480" w:firstLineChars="0"/>
              <w:rPr>
                <w:rFonts w:hint="eastAsia" w:eastAsia="Times New Roman" w:cs="Times New Roman"/>
                <w:b w:val="0"/>
                <w:bCs w:val="0"/>
                <w:color w:val="auto"/>
                <w:kern w:val="2"/>
                <w:sz w:val="24"/>
                <w:szCs w:val="24"/>
                <w:highlight w:val="none"/>
                <w:lang w:val="en-US" w:eastAsia="zh-CN" w:bidi="ar-SA"/>
              </w:rPr>
            </w:pPr>
          </w:p>
          <w:p w14:paraId="66415C80">
            <w:pPr>
              <w:pStyle w:val="25"/>
              <w:bidi w:val="0"/>
              <w:rPr>
                <w:rFonts w:hint="eastAsia"/>
                <w:color w:val="auto"/>
                <w:highlight w:val="none"/>
                <w:lang w:eastAsia="zh-CN"/>
              </w:rPr>
            </w:pPr>
            <w:r>
              <w:rPr>
                <w:rFonts w:hint="eastAsia"/>
                <w:color w:val="auto"/>
                <w:highlight w:val="none"/>
                <w:lang w:eastAsia="zh-CN"/>
              </w:rPr>
              <w:t>现有工程污染物排放量统计表</w:t>
            </w:r>
          </w:p>
          <w:tbl>
            <w:tblPr>
              <w:tblStyle w:val="17"/>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3"/>
              <w:gridCol w:w="3580"/>
              <w:gridCol w:w="3362"/>
            </w:tblGrid>
            <w:tr w14:paraId="2AF165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tcBorders>
                    <w:tl2br w:val="nil"/>
                    <w:tr2bl w:val="nil"/>
                  </w:tcBorders>
                  <w:vAlign w:val="center"/>
                </w:tcPr>
                <w:p w14:paraId="306DD8D2">
                  <w:pPr>
                    <w:pStyle w:val="27"/>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b/>
                      <w:color w:val="auto"/>
                      <w:sz w:val="21"/>
                      <w:szCs w:val="21"/>
                      <w:highlight w:val="none"/>
                      <w:lang w:eastAsia="zh-CN"/>
                    </w:rPr>
                    <w:t>类别</w:t>
                  </w:r>
                </w:p>
              </w:tc>
              <w:tc>
                <w:tcPr>
                  <w:tcW w:w="3580" w:type="dxa"/>
                  <w:tcBorders>
                    <w:tl2br w:val="nil"/>
                    <w:tr2bl w:val="nil"/>
                  </w:tcBorders>
                  <w:vAlign w:val="center"/>
                </w:tcPr>
                <w:p w14:paraId="4A2F1EC3">
                  <w:pPr>
                    <w:pStyle w:val="27"/>
                    <w:spacing w:line="240" w:lineRule="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color w:val="auto"/>
                      <w:sz w:val="21"/>
                      <w:szCs w:val="21"/>
                      <w:highlight w:val="none"/>
                      <w:lang w:val="en-US" w:eastAsia="zh-CN"/>
                    </w:rPr>
                    <w:t>污染物</w:t>
                  </w:r>
                </w:p>
              </w:tc>
              <w:tc>
                <w:tcPr>
                  <w:tcW w:w="3362" w:type="dxa"/>
                  <w:tcBorders>
                    <w:tl2br w:val="nil"/>
                    <w:tr2bl w:val="nil"/>
                  </w:tcBorders>
                  <w:vAlign w:val="center"/>
                </w:tcPr>
                <w:p w14:paraId="645E01CB">
                  <w:pPr>
                    <w:pStyle w:val="27"/>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现有工程排放量t/a</w:t>
                  </w:r>
                </w:p>
              </w:tc>
            </w:tr>
            <w:tr w14:paraId="7F7782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vMerge w:val="restart"/>
                  <w:tcBorders>
                    <w:tl2br w:val="nil"/>
                    <w:tr2bl w:val="nil"/>
                  </w:tcBorders>
                  <w:vAlign w:val="center"/>
                </w:tcPr>
                <w:p w14:paraId="6B82F4BD">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废气</w:t>
                  </w:r>
                </w:p>
              </w:tc>
              <w:tc>
                <w:tcPr>
                  <w:tcW w:w="3580" w:type="dxa"/>
                  <w:tcBorders>
                    <w:tl2br w:val="nil"/>
                    <w:tr2bl w:val="nil"/>
                  </w:tcBorders>
                  <w:vAlign w:val="center"/>
                </w:tcPr>
                <w:p w14:paraId="75CE23E2">
                  <w:pPr>
                    <w:pStyle w:val="24"/>
                    <w:spacing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烟尘</w:t>
                  </w:r>
                </w:p>
              </w:tc>
              <w:tc>
                <w:tcPr>
                  <w:tcW w:w="3362" w:type="dxa"/>
                  <w:tcBorders>
                    <w:tl2br w:val="nil"/>
                    <w:tr2bl w:val="nil"/>
                  </w:tcBorders>
                  <w:vAlign w:val="center"/>
                </w:tcPr>
                <w:p w14:paraId="59169FC4">
                  <w:pPr>
                    <w:pStyle w:val="24"/>
                    <w:spacing w:line="240" w:lineRule="auto"/>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pacing w:val="-1"/>
                      <w:sz w:val="21"/>
                      <w:szCs w:val="21"/>
                      <w:highlight w:val="none"/>
                    </w:rPr>
                    <w:t>48.2749</w:t>
                  </w:r>
                </w:p>
              </w:tc>
            </w:tr>
            <w:tr w14:paraId="2D454A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vMerge w:val="continue"/>
                  <w:tcBorders>
                    <w:tl2br w:val="nil"/>
                    <w:tr2bl w:val="nil"/>
                  </w:tcBorders>
                  <w:vAlign w:val="center"/>
                </w:tcPr>
                <w:p w14:paraId="68258D41">
                  <w:pPr>
                    <w:pStyle w:val="24"/>
                    <w:spacing w:line="240" w:lineRule="auto"/>
                    <w:rPr>
                      <w:rFonts w:hint="eastAsia" w:ascii="Times New Roman" w:hAnsi="Times New Roman" w:eastAsia="宋体" w:cs="Times New Roman"/>
                      <w:color w:val="auto"/>
                      <w:sz w:val="21"/>
                      <w:szCs w:val="21"/>
                      <w:highlight w:val="none"/>
                      <w:lang w:eastAsia="zh-CN"/>
                    </w:rPr>
                  </w:pPr>
                </w:p>
              </w:tc>
              <w:tc>
                <w:tcPr>
                  <w:tcW w:w="3580" w:type="dxa"/>
                  <w:tcBorders>
                    <w:tl2br w:val="nil"/>
                    <w:tr2bl w:val="nil"/>
                  </w:tcBorders>
                  <w:vAlign w:val="center"/>
                </w:tcPr>
                <w:p w14:paraId="2F999C63">
                  <w:pPr>
                    <w:pStyle w:val="24"/>
                    <w:spacing w:line="240" w:lineRule="auto"/>
                    <w:rPr>
                      <w:rFonts w:hint="eastAsia"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pacing w:val="-4"/>
                      <w:sz w:val="21"/>
                      <w:szCs w:val="21"/>
                      <w:highlight w:val="none"/>
                    </w:rPr>
                    <w:t>SO</w:t>
                  </w:r>
                  <w:r>
                    <w:rPr>
                      <w:rFonts w:hint="eastAsia" w:eastAsia="宋体" w:cs="Times New Roman"/>
                      <w:color w:val="auto"/>
                      <w:spacing w:val="-4"/>
                      <w:sz w:val="21"/>
                      <w:szCs w:val="21"/>
                      <w:highlight w:val="none"/>
                      <w:vertAlign w:val="subscript"/>
                      <w:lang w:val="en-US" w:eastAsia="zh-CN"/>
                    </w:rPr>
                    <w:t>2</w:t>
                  </w:r>
                </w:p>
              </w:tc>
              <w:tc>
                <w:tcPr>
                  <w:tcW w:w="3362" w:type="dxa"/>
                  <w:tcBorders>
                    <w:tl2br w:val="nil"/>
                    <w:tr2bl w:val="nil"/>
                  </w:tcBorders>
                  <w:vAlign w:val="center"/>
                </w:tcPr>
                <w:p w14:paraId="0DCA9ABE">
                  <w:pPr>
                    <w:pStyle w:val="24"/>
                    <w:spacing w:line="240" w:lineRule="auto"/>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pacing w:val="-3"/>
                      <w:sz w:val="21"/>
                      <w:szCs w:val="21"/>
                      <w:highlight w:val="none"/>
                    </w:rPr>
                    <w:t>169.6608</w:t>
                  </w:r>
                </w:p>
              </w:tc>
            </w:tr>
            <w:tr w14:paraId="6268A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vMerge w:val="continue"/>
                  <w:tcBorders>
                    <w:tl2br w:val="nil"/>
                    <w:tr2bl w:val="nil"/>
                  </w:tcBorders>
                  <w:vAlign w:val="center"/>
                </w:tcPr>
                <w:p w14:paraId="3E4DA3F7">
                  <w:pPr>
                    <w:pStyle w:val="24"/>
                    <w:spacing w:line="240" w:lineRule="auto"/>
                    <w:rPr>
                      <w:rFonts w:hint="eastAsia" w:ascii="Times New Roman" w:hAnsi="Times New Roman" w:eastAsia="宋体" w:cs="Times New Roman"/>
                      <w:color w:val="auto"/>
                      <w:sz w:val="21"/>
                      <w:szCs w:val="21"/>
                      <w:highlight w:val="none"/>
                      <w:lang w:eastAsia="zh-CN"/>
                    </w:rPr>
                  </w:pPr>
                </w:p>
              </w:tc>
              <w:tc>
                <w:tcPr>
                  <w:tcW w:w="3580" w:type="dxa"/>
                  <w:tcBorders>
                    <w:tl2br w:val="nil"/>
                    <w:tr2bl w:val="nil"/>
                  </w:tcBorders>
                  <w:vAlign w:val="center"/>
                </w:tcPr>
                <w:p w14:paraId="0B46FF68">
                  <w:pPr>
                    <w:pStyle w:val="24"/>
                    <w:spacing w:line="240" w:lineRule="auto"/>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pacing w:val="-1"/>
                      <w:sz w:val="21"/>
                      <w:szCs w:val="21"/>
                      <w:highlight w:val="none"/>
                    </w:rPr>
                    <w:t>NOx</w:t>
                  </w:r>
                </w:p>
              </w:tc>
              <w:tc>
                <w:tcPr>
                  <w:tcW w:w="3362" w:type="dxa"/>
                  <w:tcBorders>
                    <w:tl2br w:val="nil"/>
                    <w:tr2bl w:val="nil"/>
                  </w:tcBorders>
                  <w:vAlign w:val="center"/>
                </w:tcPr>
                <w:p w14:paraId="4D93676D">
                  <w:pPr>
                    <w:pStyle w:val="24"/>
                    <w:spacing w:line="240" w:lineRule="auto"/>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pacing w:val="-2"/>
                      <w:sz w:val="21"/>
                      <w:szCs w:val="21"/>
                      <w:highlight w:val="none"/>
                    </w:rPr>
                    <w:t>229.8088</w:t>
                  </w:r>
                </w:p>
              </w:tc>
            </w:tr>
            <w:tr w14:paraId="263B5E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vMerge w:val="restart"/>
                  <w:tcBorders>
                    <w:tl2br w:val="nil"/>
                    <w:tr2bl w:val="nil"/>
                  </w:tcBorders>
                  <w:vAlign w:val="center"/>
                </w:tcPr>
                <w:p w14:paraId="4DB823DC">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固体废物</w:t>
                  </w:r>
                </w:p>
              </w:tc>
              <w:tc>
                <w:tcPr>
                  <w:tcW w:w="3580" w:type="dxa"/>
                  <w:tcBorders>
                    <w:tl2br w:val="nil"/>
                    <w:tr2bl w:val="nil"/>
                  </w:tcBorders>
                  <w:vAlign w:val="center"/>
                </w:tcPr>
                <w:p w14:paraId="530CEB61">
                  <w:pPr>
                    <w:pStyle w:val="24"/>
                    <w:spacing w:line="240" w:lineRule="auto"/>
                    <w:rPr>
                      <w:rFonts w:hint="eastAsia"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pacing w:val="3"/>
                      <w:sz w:val="21"/>
                      <w:szCs w:val="21"/>
                      <w:highlight w:val="none"/>
                    </w:rPr>
                    <w:t>脱硫石膏</w:t>
                  </w:r>
                </w:p>
              </w:tc>
              <w:tc>
                <w:tcPr>
                  <w:tcW w:w="3362" w:type="dxa"/>
                  <w:tcBorders>
                    <w:tl2br w:val="nil"/>
                    <w:tr2bl w:val="nil"/>
                  </w:tcBorders>
                  <w:vAlign w:val="center"/>
                </w:tcPr>
                <w:p w14:paraId="2E6532AB">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pacing w:val="-4"/>
                      <w:sz w:val="21"/>
                      <w:szCs w:val="21"/>
                      <w:highlight w:val="none"/>
                      <w:lang w:val="en-US" w:eastAsia="zh-CN"/>
                    </w:rPr>
                    <w:t>6148.29</w:t>
                  </w:r>
                </w:p>
              </w:tc>
            </w:tr>
            <w:tr w14:paraId="3559BB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vMerge w:val="continue"/>
                  <w:tcBorders>
                    <w:tl2br w:val="nil"/>
                    <w:tr2bl w:val="nil"/>
                  </w:tcBorders>
                  <w:vAlign w:val="center"/>
                </w:tcPr>
                <w:p w14:paraId="0162B58B">
                  <w:pPr>
                    <w:pStyle w:val="24"/>
                    <w:spacing w:line="240" w:lineRule="auto"/>
                    <w:rPr>
                      <w:rFonts w:hint="eastAsia" w:ascii="Times New Roman" w:hAnsi="Times New Roman" w:eastAsia="宋体" w:cs="Times New Roman"/>
                      <w:color w:val="auto"/>
                      <w:sz w:val="21"/>
                      <w:szCs w:val="21"/>
                      <w:highlight w:val="none"/>
                      <w:lang w:eastAsia="zh-CN"/>
                    </w:rPr>
                  </w:pPr>
                </w:p>
              </w:tc>
              <w:tc>
                <w:tcPr>
                  <w:tcW w:w="3580" w:type="dxa"/>
                  <w:tcBorders>
                    <w:tl2br w:val="nil"/>
                    <w:tr2bl w:val="nil"/>
                  </w:tcBorders>
                  <w:vAlign w:val="center"/>
                </w:tcPr>
                <w:p w14:paraId="448E9974">
                  <w:pPr>
                    <w:pStyle w:val="24"/>
                    <w:spacing w:line="240" w:lineRule="auto"/>
                    <w:rPr>
                      <w:rFonts w:hint="eastAsia"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pacing w:val="2"/>
                      <w:sz w:val="21"/>
                      <w:szCs w:val="21"/>
                      <w:highlight w:val="none"/>
                    </w:rPr>
                    <w:t>除尘灰</w:t>
                  </w:r>
                </w:p>
              </w:tc>
              <w:tc>
                <w:tcPr>
                  <w:tcW w:w="3362" w:type="dxa"/>
                  <w:tcBorders>
                    <w:tl2br w:val="nil"/>
                    <w:tr2bl w:val="nil"/>
                  </w:tcBorders>
                  <w:vAlign w:val="center"/>
                </w:tcPr>
                <w:p w14:paraId="2A1AB825">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pacing w:val="-2"/>
                      <w:sz w:val="21"/>
                      <w:szCs w:val="21"/>
                      <w:highlight w:val="none"/>
                      <w:lang w:val="en-US" w:eastAsia="zh-CN"/>
                    </w:rPr>
                    <w:t>52619.56</w:t>
                  </w:r>
                </w:p>
              </w:tc>
            </w:tr>
            <w:tr w14:paraId="24ABA8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vMerge w:val="continue"/>
                  <w:tcBorders>
                    <w:tl2br w:val="nil"/>
                    <w:tr2bl w:val="nil"/>
                  </w:tcBorders>
                  <w:vAlign w:val="center"/>
                </w:tcPr>
                <w:p w14:paraId="62531E4F">
                  <w:pPr>
                    <w:pStyle w:val="24"/>
                    <w:spacing w:line="240" w:lineRule="auto"/>
                    <w:rPr>
                      <w:rFonts w:hint="eastAsia" w:ascii="Times New Roman" w:hAnsi="Times New Roman" w:eastAsia="宋体" w:cs="Times New Roman"/>
                      <w:color w:val="auto"/>
                      <w:sz w:val="21"/>
                      <w:szCs w:val="21"/>
                      <w:highlight w:val="none"/>
                      <w:lang w:eastAsia="zh-CN"/>
                    </w:rPr>
                  </w:pPr>
                </w:p>
              </w:tc>
              <w:tc>
                <w:tcPr>
                  <w:tcW w:w="3580" w:type="dxa"/>
                  <w:tcBorders>
                    <w:tl2br w:val="nil"/>
                    <w:tr2bl w:val="nil"/>
                  </w:tcBorders>
                  <w:vAlign w:val="center"/>
                </w:tcPr>
                <w:p w14:paraId="0C9AA203">
                  <w:pPr>
                    <w:pStyle w:val="24"/>
                    <w:spacing w:line="240" w:lineRule="auto"/>
                    <w:rPr>
                      <w:rFonts w:hint="eastAsia" w:ascii="Times New Roman" w:hAnsi="Times New Roman" w:eastAsia="宋体" w:cs="Times New Roman"/>
                      <w:color w:val="auto"/>
                      <w:spacing w:val="2"/>
                      <w:sz w:val="21"/>
                      <w:szCs w:val="21"/>
                      <w:highlight w:val="none"/>
                      <w:lang w:eastAsia="zh-CN"/>
                    </w:rPr>
                  </w:pPr>
                  <w:r>
                    <w:rPr>
                      <w:rFonts w:hint="eastAsia" w:eastAsia="宋体" w:cs="Times New Roman"/>
                      <w:color w:val="auto"/>
                      <w:spacing w:val="2"/>
                      <w:sz w:val="21"/>
                      <w:szCs w:val="21"/>
                      <w:highlight w:val="none"/>
                      <w:lang w:eastAsia="zh-CN"/>
                    </w:rPr>
                    <w:t>炉渣</w:t>
                  </w:r>
                </w:p>
              </w:tc>
              <w:tc>
                <w:tcPr>
                  <w:tcW w:w="3362" w:type="dxa"/>
                  <w:tcBorders>
                    <w:tl2br w:val="nil"/>
                    <w:tr2bl w:val="nil"/>
                  </w:tcBorders>
                  <w:vAlign w:val="center"/>
                </w:tcPr>
                <w:p w14:paraId="5467A9AC">
                  <w:pPr>
                    <w:pStyle w:val="24"/>
                    <w:spacing w:line="240" w:lineRule="auto"/>
                    <w:rPr>
                      <w:rFonts w:hint="default" w:eastAsia="宋体" w:cs="Times New Roman"/>
                      <w:color w:val="auto"/>
                      <w:spacing w:val="-2"/>
                      <w:sz w:val="21"/>
                      <w:szCs w:val="21"/>
                      <w:highlight w:val="none"/>
                      <w:lang w:val="en-US" w:eastAsia="zh-CN"/>
                    </w:rPr>
                  </w:pPr>
                  <w:r>
                    <w:rPr>
                      <w:rFonts w:hint="eastAsia" w:eastAsia="宋体" w:cs="Times New Roman"/>
                      <w:color w:val="auto"/>
                      <w:spacing w:val="-2"/>
                      <w:sz w:val="21"/>
                      <w:szCs w:val="21"/>
                      <w:highlight w:val="none"/>
                      <w:lang w:val="en-US" w:eastAsia="zh-CN"/>
                    </w:rPr>
                    <w:t>29806.94</w:t>
                  </w:r>
                </w:p>
              </w:tc>
            </w:tr>
            <w:tr w14:paraId="74822F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vMerge w:val="continue"/>
                  <w:tcBorders>
                    <w:tl2br w:val="nil"/>
                    <w:tr2bl w:val="nil"/>
                  </w:tcBorders>
                  <w:vAlign w:val="center"/>
                </w:tcPr>
                <w:p w14:paraId="07DA65D3">
                  <w:pPr>
                    <w:pStyle w:val="24"/>
                    <w:spacing w:line="240" w:lineRule="auto"/>
                    <w:rPr>
                      <w:rFonts w:hint="eastAsia" w:ascii="Times New Roman" w:hAnsi="Times New Roman" w:eastAsia="宋体" w:cs="Times New Roman"/>
                      <w:color w:val="auto"/>
                      <w:sz w:val="21"/>
                      <w:szCs w:val="21"/>
                      <w:highlight w:val="none"/>
                      <w:lang w:eastAsia="zh-CN"/>
                    </w:rPr>
                  </w:pPr>
                </w:p>
              </w:tc>
              <w:tc>
                <w:tcPr>
                  <w:tcW w:w="3580" w:type="dxa"/>
                  <w:tcBorders>
                    <w:tl2br w:val="nil"/>
                    <w:tr2bl w:val="nil"/>
                  </w:tcBorders>
                  <w:vAlign w:val="center"/>
                </w:tcPr>
                <w:p w14:paraId="121419D8">
                  <w:pPr>
                    <w:pStyle w:val="24"/>
                    <w:spacing w:line="240" w:lineRule="auto"/>
                    <w:ind w:firstLine="0" w:firstLineChars="0"/>
                    <w:rPr>
                      <w:rFonts w:hint="eastAsia" w:ascii="Times New Roman" w:hAnsi="Times New Roman" w:eastAsia="宋体" w:cs="Times New Roman"/>
                      <w:color w:val="auto"/>
                      <w:spacing w:val="2"/>
                      <w:sz w:val="21"/>
                      <w:szCs w:val="21"/>
                      <w:highlight w:val="none"/>
                      <w:lang w:eastAsia="zh-CN"/>
                    </w:rPr>
                  </w:pPr>
                  <w:r>
                    <w:rPr>
                      <w:rFonts w:hint="eastAsia" w:ascii="Times New Roman" w:hAnsi="Times New Roman" w:eastAsia="宋体" w:cs="Times New Roman"/>
                      <w:color w:val="auto"/>
                      <w:sz w:val="21"/>
                      <w:szCs w:val="21"/>
                      <w:highlight w:val="none"/>
                      <w:shd w:val="clear" w:color="auto" w:fill="auto"/>
                      <w:lang w:val="en-US" w:eastAsia="zh-CN"/>
                    </w:rPr>
                    <w:t>废蓄电池</w:t>
                  </w:r>
                </w:p>
              </w:tc>
              <w:tc>
                <w:tcPr>
                  <w:tcW w:w="3362" w:type="dxa"/>
                  <w:tcBorders>
                    <w:tl2br w:val="nil"/>
                    <w:tr2bl w:val="nil"/>
                  </w:tcBorders>
                  <w:vAlign w:val="center"/>
                </w:tcPr>
                <w:p w14:paraId="6C3DA30A">
                  <w:pPr>
                    <w:pStyle w:val="24"/>
                    <w:spacing w:line="240" w:lineRule="auto"/>
                    <w:ind w:firstLine="0" w:firstLineChars="0"/>
                    <w:rPr>
                      <w:rFonts w:hint="eastAsia" w:ascii="Times New Roman" w:hAnsi="Times New Roman" w:eastAsia="宋体" w:cs="Times New Roman"/>
                      <w:color w:val="auto"/>
                      <w:spacing w:val="-2"/>
                      <w:sz w:val="21"/>
                      <w:szCs w:val="21"/>
                      <w:highlight w:val="none"/>
                      <w:lang w:eastAsia="zh-CN"/>
                    </w:rPr>
                  </w:pPr>
                  <w:r>
                    <w:rPr>
                      <w:rFonts w:hint="eastAsia"/>
                      <w:color w:val="auto"/>
                      <w:highlight w:val="none"/>
                      <w:shd w:val="clear" w:color="auto" w:fill="auto"/>
                      <w:lang w:val="en-US" w:eastAsia="zh-CN"/>
                    </w:rPr>
                    <w:t>0.52</w:t>
                  </w:r>
                </w:p>
              </w:tc>
            </w:tr>
            <w:tr w14:paraId="20D18A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vMerge w:val="continue"/>
                  <w:tcBorders>
                    <w:tl2br w:val="nil"/>
                    <w:tr2bl w:val="nil"/>
                  </w:tcBorders>
                  <w:vAlign w:val="center"/>
                </w:tcPr>
                <w:p w14:paraId="2F097BDD">
                  <w:pPr>
                    <w:pStyle w:val="24"/>
                    <w:spacing w:line="240" w:lineRule="auto"/>
                    <w:rPr>
                      <w:rFonts w:hint="eastAsia" w:ascii="Times New Roman" w:hAnsi="Times New Roman" w:eastAsia="宋体" w:cs="Times New Roman"/>
                      <w:color w:val="auto"/>
                      <w:sz w:val="21"/>
                      <w:szCs w:val="21"/>
                      <w:highlight w:val="none"/>
                      <w:lang w:eastAsia="zh-CN"/>
                    </w:rPr>
                  </w:pPr>
                </w:p>
              </w:tc>
              <w:tc>
                <w:tcPr>
                  <w:tcW w:w="3580" w:type="dxa"/>
                  <w:tcBorders>
                    <w:tl2br w:val="nil"/>
                    <w:tr2bl w:val="nil"/>
                  </w:tcBorders>
                  <w:vAlign w:val="center"/>
                </w:tcPr>
                <w:p w14:paraId="253E5994">
                  <w:pPr>
                    <w:pStyle w:val="24"/>
                    <w:spacing w:line="240" w:lineRule="auto"/>
                    <w:ind w:firstLine="0" w:firstLineChars="0"/>
                    <w:rPr>
                      <w:rFonts w:hint="eastAsia" w:ascii="Times New Roman" w:hAnsi="Times New Roman" w:eastAsia="宋体" w:cs="Times New Roman"/>
                      <w:color w:val="auto"/>
                      <w:spacing w:val="2"/>
                      <w:sz w:val="21"/>
                      <w:szCs w:val="21"/>
                      <w:highlight w:val="none"/>
                      <w:lang w:eastAsia="zh-CN"/>
                    </w:rPr>
                  </w:pPr>
                  <w:r>
                    <w:rPr>
                      <w:rFonts w:hint="eastAsia" w:ascii="Times New Roman" w:hAnsi="Times New Roman" w:eastAsia="宋体" w:cs="Times New Roman"/>
                      <w:color w:val="auto"/>
                      <w:sz w:val="21"/>
                      <w:szCs w:val="21"/>
                      <w:highlight w:val="none"/>
                      <w:shd w:val="clear" w:color="auto" w:fill="auto"/>
                      <w:lang w:eastAsia="zh-CN"/>
                    </w:rPr>
                    <w:t>废液压油</w:t>
                  </w:r>
                </w:p>
              </w:tc>
              <w:tc>
                <w:tcPr>
                  <w:tcW w:w="3362" w:type="dxa"/>
                  <w:tcBorders>
                    <w:tl2br w:val="nil"/>
                    <w:tr2bl w:val="nil"/>
                  </w:tcBorders>
                  <w:vAlign w:val="center"/>
                </w:tcPr>
                <w:p w14:paraId="31CEA4C6">
                  <w:pPr>
                    <w:pStyle w:val="24"/>
                    <w:spacing w:line="240" w:lineRule="auto"/>
                    <w:ind w:firstLine="0" w:firstLineChars="0"/>
                    <w:rPr>
                      <w:rFonts w:hint="eastAsia" w:ascii="Times New Roman" w:hAnsi="Times New Roman" w:eastAsia="宋体" w:cs="Times New Roman"/>
                      <w:color w:val="auto"/>
                      <w:spacing w:val="-2"/>
                      <w:sz w:val="21"/>
                      <w:szCs w:val="21"/>
                      <w:highlight w:val="none"/>
                      <w:lang w:eastAsia="zh-CN"/>
                    </w:rPr>
                  </w:pPr>
                  <w:r>
                    <w:rPr>
                      <w:rFonts w:hint="eastAsia"/>
                      <w:color w:val="auto"/>
                      <w:highlight w:val="none"/>
                      <w:shd w:val="clear" w:color="auto" w:fill="auto"/>
                      <w:lang w:val="en-US" w:eastAsia="zh-CN"/>
                    </w:rPr>
                    <w:t>0.2</w:t>
                  </w:r>
                </w:p>
              </w:tc>
            </w:tr>
            <w:tr w14:paraId="71C75D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vMerge w:val="continue"/>
                  <w:tcBorders>
                    <w:tl2br w:val="nil"/>
                    <w:tr2bl w:val="nil"/>
                  </w:tcBorders>
                  <w:vAlign w:val="center"/>
                </w:tcPr>
                <w:p w14:paraId="1CF09466">
                  <w:pPr>
                    <w:pStyle w:val="24"/>
                    <w:spacing w:line="240" w:lineRule="auto"/>
                    <w:rPr>
                      <w:rFonts w:hint="eastAsia" w:ascii="Times New Roman" w:hAnsi="Times New Roman" w:eastAsia="宋体" w:cs="Times New Roman"/>
                      <w:color w:val="auto"/>
                      <w:sz w:val="21"/>
                      <w:szCs w:val="21"/>
                      <w:highlight w:val="none"/>
                      <w:lang w:eastAsia="zh-CN"/>
                    </w:rPr>
                  </w:pPr>
                </w:p>
              </w:tc>
              <w:tc>
                <w:tcPr>
                  <w:tcW w:w="3580" w:type="dxa"/>
                  <w:tcBorders>
                    <w:tl2br w:val="nil"/>
                    <w:tr2bl w:val="nil"/>
                  </w:tcBorders>
                  <w:vAlign w:val="center"/>
                </w:tcPr>
                <w:p w14:paraId="3FDC704F">
                  <w:pPr>
                    <w:pStyle w:val="24"/>
                    <w:spacing w:line="240" w:lineRule="auto"/>
                    <w:ind w:firstLine="0" w:firstLineChars="0"/>
                    <w:rPr>
                      <w:rFonts w:hint="eastAsia" w:ascii="Times New Roman" w:hAnsi="Times New Roman" w:eastAsia="宋体" w:cs="Times New Roman"/>
                      <w:color w:val="auto"/>
                      <w:spacing w:val="2"/>
                      <w:sz w:val="21"/>
                      <w:szCs w:val="21"/>
                      <w:highlight w:val="none"/>
                      <w:lang w:eastAsia="zh-CN"/>
                    </w:rPr>
                  </w:pPr>
                  <w:r>
                    <w:rPr>
                      <w:rFonts w:hint="eastAsia" w:ascii="Times New Roman" w:hAnsi="Times New Roman" w:eastAsia="宋体" w:cs="Times New Roman"/>
                      <w:color w:val="auto"/>
                      <w:sz w:val="21"/>
                      <w:szCs w:val="21"/>
                      <w:highlight w:val="none"/>
                      <w:shd w:val="clear" w:color="auto" w:fill="auto"/>
                      <w:lang w:eastAsia="zh-CN"/>
                    </w:rPr>
                    <w:t>废空压机油、废汽轮机油</w:t>
                  </w:r>
                </w:p>
              </w:tc>
              <w:tc>
                <w:tcPr>
                  <w:tcW w:w="3362" w:type="dxa"/>
                  <w:tcBorders>
                    <w:tl2br w:val="nil"/>
                    <w:tr2bl w:val="nil"/>
                  </w:tcBorders>
                  <w:vAlign w:val="center"/>
                </w:tcPr>
                <w:p w14:paraId="7671FBF9">
                  <w:pPr>
                    <w:pStyle w:val="24"/>
                    <w:spacing w:line="240" w:lineRule="auto"/>
                    <w:ind w:firstLine="0" w:firstLineChars="0"/>
                    <w:rPr>
                      <w:rFonts w:hint="eastAsia" w:ascii="Times New Roman" w:hAnsi="Times New Roman" w:eastAsia="宋体" w:cs="Times New Roman"/>
                      <w:color w:val="auto"/>
                      <w:spacing w:val="-2"/>
                      <w:sz w:val="21"/>
                      <w:szCs w:val="21"/>
                      <w:highlight w:val="none"/>
                      <w:lang w:eastAsia="zh-CN"/>
                    </w:rPr>
                  </w:pPr>
                  <w:r>
                    <w:rPr>
                      <w:rFonts w:hint="eastAsia"/>
                      <w:color w:val="auto"/>
                      <w:highlight w:val="none"/>
                      <w:shd w:val="clear" w:color="auto" w:fill="auto"/>
                      <w:lang w:val="en-US" w:eastAsia="zh-CN"/>
                    </w:rPr>
                    <w:t>0.5</w:t>
                  </w:r>
                </w:p>
              </w:tc>
            </w:tr>
            <w:tr w14:paraId="7647E5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vMerge w:val="continue"/>
                  <w:tcBorders>
                    <w:tl2br w:val="nil"/>
                    <w:tr2bl w:val="nil"/>
                  </w:tcBorders>
                  <w:vAlign w:val="center"/>
                </w:tcPr>
                <w:p w14:paraId="4B258CFD">
                  <w:pPr>
                    <w:pStyle w:val="24"/>
                    <w:spacing w:line="240" w:lineRule="auto"/>
                    <w:rPr>
                      <w:rFonts w:hint="eastAsia" w:ascii="Times New Roman" w:hAnsi="Times New Roman" w:eastAsia="宋体" w:cs="Times New Roman"/>
                      <w:color w:val="auto"/>
                      <w:sz w:val="21"/>
                      <w:szCs w:val="21"/>
                      <w:highlight w:val="none"/>
                      <w:lang w:eastAsia="zh-CN"/>
                    </w:rPr>
                  </w:pPr>
                </w:p>
              </w:tc>
              <w:tc>
                <w:tcPr>
                  <w:tcW w:w="3580" w:type="dxa"/>
                  <w:tcBorders>
                    <w:tl2br w:val="nil"/>
                    <w:tr2bl w:val="nil"/>
                  </w:tcBorders>
                  <w:vAlign w:val="center"/>
                </w:tcPr>
                <w:p w14:paraId="7CD7F0AA">
                  <w:pPr>
                    <w:pStyle w:val="24"/>
                    <w:spacing w:line="240" w:lineRule="auto"/>
                    <w:ind w:firstLine="0" w:firstLineChars="0"/>
                    <w:rPr>
                      <w:rFonts w:hint="eastAsia" w:ascii="Times New Roman" w:hAnsi="Times New Roman" w:eastAsia="宋体" w:cs="Times New Roman"/>
                      <w:color w:val="auto"/>
                      <w:spacing w:val="2"/>
                      <w:sz w:val="21"/>
                      <w:szCs w:val="21"/>
                      <w:highlight w:val="none"/>
                      <w:lang w:eastAsia="zh-CN"/>
                    </w:rPr>
                  </w:pPr>
                  <w:r>
                    <w:rPr>
                      <w:rFonts w:hint="eastAsia" w:ascii="Times New Roman" w:hAnsi="Times New Roman" w:eastAsia="宋体" w:cs="Times New Roman"/>
                      <w:color w:val="auto"/>
                      <w:sz w:val="21"/>
                      <w:szCs w:val="21"/>
                      <w:highlight w:val="none"/>
                      <w:shd w:val="clear" w:color="auto" w:fill="auto"/>
                      <w:lang w:eastAsia="zh-CN"/>
                    </w:rPr>
                    <w:t>废变压器油</w:t>
                  </w:r>
                </w:p>
              </w:tc>
              <w:tc>
                <w:tcPr>
                  <w:tcW w:w="3362" w:type="dxa"/>
                  <w:tcBorders>
                    <w:tl2br w:val="nil"/>
                    <w:tr2bl w:val="nil"/>
                  </w:tcBorders>
                  <w:vAlign w:val="center"/>
                </w:tcPr>
                <w:p w14:paraId="55F5AA94">
                  <w:pPr>
                    <w:pStyle w:val="24"/>
                    <w:spacing w:line="240" w:lineRule="auto"/>
                    <w:ind w:firstLine="0" w:firstLineChars="0"/>
                    <w:rPr>
                      <w:rFonts w:hint="eastAsia" w:ascii="Times New Roman" w:hAnsi="Times New Roman" w:eastAsia="宋体" w:cs="Times New Roman"/>
                      <w:color w:val="auto"/>
                      <w:spacing w:val="-2"/>
                      <w:sz w:val="21"/>
                      <w:szCs w:val="21"/>
                      <w:highlight w:val="none"/>
                      <w:lang w:eastAsia="zh-CN"/>
                    </w:rPr>
                  </w:pPr>
                  <w:r>
                    <w:rPr>
                      <w:rFonts w:hint="eastAsia"/>
                      <w:color w:val="auto"/>
                      <w:highlight w:val="none"/>
                      <w:shd w:val="clear" w:color="auto" w:fill="auto"/>
                      <w:lang w:val="en-US" w:eastAsia="zh-CN"/>
                    </w:rPr>
                    <w:t>0.5</w:t>
                  </w:r>
                </w:p>
              </w:tc>
            </w:tr>
            <w:tr w14:paraId="14F70A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vMerge w:val="continue"/>
                  <w:tcBorders>
                    <w:tl2br w:val="nil"/>
                    <w:tr2bl w:val="nil"/>
                  </w:tcBorders>
                  <w:vAlign w:val="center"/>
                </w:tcPr>
                <w:p w14:paraId="16303E62">
                  <w:pPr>
                    <w:pStyle w:val="24"/>
                    <w:spacing w:line="240" w:lineRule="auto"/>
                    <w:rPr>
                      <w:rFonts w:hint="eastAsia" w:ascii="Times New Roman" w:hAnsi="Times New Roman" w:eastAsia="宋体" w:cs="Times New Roman"/>
                      <w:color w:val="auto"/>
                      <w:sz w:val="21"/>
                      <w:szCs w:val="21"/>
                      <w:highlight w:val="none"/>
                      <w:lang w:eastAsia="zh-CN"/>
                    </w:rPr>
                  </w:pPr>
                </w:p>
              </w:tc>
              <w:tc>
                <w:tcPr>
                  <w:tcW w:w="3580" w:type="dxa"/>
                  <w:tcBorders>
                    <w:tl2br w:val="nil"/>
                    <w:tr2bl w:val="nil"/>
                  </w:tcBorders>
                  <w:vAlign w:val="center"/>
                </w:tcPr>
                <w:p w14:paraId="0598212F">
                  <w:pPr>
                    <w:pStyle w:val="24"/>
                    <w:spacing w:line="240" w:lineRule="auto"/>
                    <w:ind w:firstLine="0" w:firstLineChars="0"/>
                    <w:rPr>
                      <w:rFonts w:hint="eastAsia" w:ascii="Times New Roman" w:hAnsi="Times New Roman" w:eastAsia="宋体" w:cs="Times New Roman"/>
                      <w:color w:val="auto"/>
                      <w:sz w:val="21"/>
                      <w:szCs w:val="21"/>
                      <w:highlight w:val="none"/>
                      <w:shd w:val="clear" w:color="auto" w:fill="auto"/>
                      <w:lang w:eastAsia="zh-CN"/>
                    </w:rPr>
                  </w:pPr>
                  <w:r>
                    <w:rPr>
                      <w:rFonts w:hint="eastAsia" w:eastAsia="宋体" w:cs="Times New Roman"/>
                      <w:color w:val="auto"/>
                      <w:sz w:val="21"/>
                      <w:szCs w:val="21"/>
                      <w:highlight w:val="none"/>
                      <w:lang w:val="en-US" w:eastAsia="zh-CN"/>
                    </w:rPr>
                    <w:t>废润滑油</w:t>
                  </w:r>
                </w:p>
              </w:tc>
              <w:tc>
                <w:tcPr>
                  <w:tcW w:w="3362" w:type="dxa"/>
                  <w:tcBorders>
                    <w:tl2br w:val="nil"/>
                    <w:tr2bl w:val="nil"/>
                  </w:tcBorders>
                  <w:vAlign w:val="center"/>
                </w:tcPr>
                <w:p w14:paraId="0604D05C">
                  <w:pPr>
                    <w:pStyle w:val="24"/>
                    <w:spacing w:line="240" w:lineRule="auto"/>
                    <w:ind w:firstLine="0" w:firstLineChars="0"/>
                    <w:rPr>
                      <w:rFonts w:hint="eastAsia"/>
                      <w:color w:val="auto"/>
                      <w:highlight w:val="none"/>
                      <w:shd w:val="clear" w:color="auto" w:fill="auto"/>
                      <w:lang w:val="en-US" w:eastAsia="zh-CN"/>
                    </w:rPr>
                  </w:pPr>
                  <w:r>
                    <w:rPr>
                      <w:rFonts w:hint="eastAsia"/>
                      <w:color w:val="auto"/>
                      <w:highlight w:val="none"/>
                      <w:lang w:val="en-US" w:eastAsia="zh-CN"/>
                    </w:rPr>
                    <w:t>0.1</w:t>
                  </w:r>
                </w:p>
              </w:tc>
            </w:tr>
            <w:tr w14:paraId="0C73DC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vMerge w:val="continue"/>
                  <w:tcBorders>
                    <w:tl2br w:val="nil"/>
                    <w:tr2bl w:val="nil"/>
                  </w:tcBorders>
                  <w:vAlign w:val="center"/>
                </w:tcPr>
                <w:p w14:paraId="19BC60D9">
                  <w:pPr>
                    <w:pStyle w:val="24"/>
                    <w:spacing w:line="240" w:lineRule="auto"/>
                    <w:rPr>
                      <w:rFonts w:hint="eastAsia" w:ascii="Times New Roman" w:hAnsi="Times New Roman" w:eastAsia="宋体" w:cs="Times New Roman"/>
                      <w:color w:val="auto"/>
                      <w:sz w:val="21"/>
                      <w:szCs w:val="21"/>
                      <w:highlight w:val="none"/>
                      <w:lang w:eastAsia="zh-CN"/>
                    </w:rPr>
                  </w:pPr>
                </w:p>
              </w:tc>
              <w:tc>
                <w:tcPr>
                  <w:tcW w:w="3580" w:type="dxa"/>
                  <w:tcBorders>
                    <w:tl2br w:val="nil"/>
                    <w:tr2bl w:val="nil"/>
                  </w:tcBorders>
                  <w:vAlign w:val="center"/>
                </w:tcPr>
                <w:p w14:paraId="4D91E733">
                  <w:pPr>
                    <w:pStyle w:val="24"/>
                    <w:spacing w:line="240" w:lineRule="auto"/>
                    <w:ind w:firstLine="0" w:firstLineChars="0"/>
                    <w:rPr>
                      <w:rFonts w:hint="eastAsia" w:ascii="Times New Roman" w:hAnsi="Times New Roman" w:eastAsia="宋体" w:cs="Times New Roman"/>
                      <w:color w:val="auto"/>
                      <w:sz w:val="21"/>
                      <w:szCs w:val="21"/>
                      <w:highlight w:val="none"/>
                      <w:shd w:val="clear" w:color="auto" w:fill="auto"/>
                      <w:lang w:eastAsia="zh-CN"/>
                    </w:rPr>
                  </w:pPr>
                  <w:r>
                    <w:rPr>
                      <w:rFonts w:hint="eastAsia" w:ascii="Times New Roman" w:hAnsi="Times New Roman" w:eastAsia="宋体" w:cs="Times New Roman"/>
                      <w:color w:val="auto"/>
                      <w:sz w:val="21"/>
                      <w:szCs w:val="21"/>
                      <w:highlight w:val="none"/>
                      <w:lang w:val="en-US" w:eastAsia="zh-CN"/>
                    </w:rPr>
                    <w:t>废油桶</w:t>
                  </w:r>
                </w:p>
              </w:tc>
              <w:tc>
                <w:tcPr>
                  <w:tcW w:w="3362" w:type="dxa"/>
                  <w:tcBorders>
                    <w:tl2br w:val="nil"/>
                    <w:tr2bl w:val="nil"/>
                  </w:tcBorders>
                  <w:vAlign w:val="center"/>
                </w:tcPr>
                <w:p w14:paraId="62E2D53B">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0.68</w:t>
                  </w:r>
                </w:p>
              </w:tc>
            </w:tr>
            <w:tr w14:paraId="454F1C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23" w:type="dxa"/>
                  <w:vMerge w:val="continue"/>
                  <w:tcBorders>
                    <w:tl2br w:val="nil"/>
                    <w:tr2bl w:val="nil"/>
                  </w:tcBorders>
                  <w:vAlign w:val="center"/>
                </w:tcPr>
                <w:p w14:paraId="018338B9">
                  <w:pPr>
                    <w:pStyle w:val="24"/>
                    <w:spacing w:line="240" w:lineRule="auto"/>
                    <w:rPr>
                      <w:rFonts w:hint="eastAsia" w:ascii="Times New Roman" w:hAnsi="Times New Roman" w:eastAsia="宋体" w:cs="Times New Roman"/>
                      <w:color w:val="auto"/>
                      <w:sz w:val="21"/>
                      <w:szCs w:val="21"/>
                      <w:highlight w:val="none"/>
                      <w:lang w:eastAsia="zh-CN"/>
                    </w:rPr>
                  </w:pPr>
                </w:p>
              </w:tc>
              <w:tc>
                <w:tcPr>
                  <w:tcW w:w="3580" w:type="dxa"/>
                  <w:tcBorders>
                    <w:tl2br w:val="nil"/>
                    <w:tr2bl w:val="nil"/>
                  </w:tcBorders>
                  <w:vAlign w:val="center"/>
                </w:tcPr>
                <w:p w14:paraId="6D6F6E5F">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废劳保用品</w:t>
                  </w:r>
                </w:p>
              </w:tc>
              <w:tc>
                <w:tcPr>
                  <w:tcW w:w="3362" w:type="dxa"/>
                  <w:tcBorders>
                    <w:tl2br w:val="nil"/>
                    <w:tr2bl w:val="nil"/>
                  </w:tcBorders>
                  <w:vAlign w:val="center"/>
                </w:tcPr>
                <w:p w14:paraId="33B7AA78">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0.01</w:t>
                  </w:r>
                </w:p>
              </w:tc>
            </w:tr>
          </w:tbl>
          <w:p w14:paraId="706D7E04">
            <w:pPr>
              <w:bidi w:val="0"/>
              <w:rPr>
                <w:rFonts w:hint="eastAsia"/>
                <w:b/>
                <w:bCs/>
                <w:color w:val="auto"/>
                <w:highlight w:val="none"/>
              </w:rPr>
            </w:pPr>
            <w:r>
              <w:rPr>
                <w:rFonts w:hint="eastAsia"/>
                <w:b/>
                <w:bCs/>
                <w:color w:val="auto"/>
                <w:highlight w:val="none"/>
                <w:lang w:val="en-US" w:eastAsia="zh-CN"/>
              </w:rPr>
              <w:t>3</w:t>
            </w:r>
            <w:r>
              <w:rPr>
                <w:rFonts w:hint="eastAsia"/>
                <w:b/>
                <w:bCs/>
                <w:color w:val="auto"/>
                <w:highlight w:val="none"/>
              </w:rPr>
              <w:t>厂区内现有危险废物收集贮存转运情况</w:t>
            </w:r>
          </w:p>
          <w:p w14:paraId="7232E257">
            <w:pPr>
              <w:bidi w:val="0"/>
              <w:rPr>
                <w:rFonts w:hint="default"/>
                <w:color w:val="auto"/>
                <w:highlight w:val="none"/>
                <w:lang w:val="en-US" w:eastAsia="zh-CN"/>
              </w:rPr>
            </w:pPr>
            <w:r>
              <w:rPr>
                <w:rFonts w:hint="eastAsia"/>
                <w:color w:val="auto"/>
                <w:highlight w:val="none"/>
                <w:lang w:val="en-US" w:eastAsia="zh-CN"/>
              </w:rPr>
              <w:t>厂区内现有危险废物即产即清，及时交由有资质单位处置，不暂存。</w:t>
            </w:r>
          </w:p>
          <w:p w14:paraId="4FE930DE">
            <w:pPr>
              <w:pStyle w:val="25"/>
              <w:bidi w:val="0"/>
              <w:rPr>
                <w:color w:val="auto"/>
                <w:highlight w:val="none"/>
              </w:rPr>
            </w:pPr>
            <w:r>
              <w:rPr>
                <w:rFonts w:hint="eastAsia"/>
                <w:color w:val="auto"/>
                <w:highlight w:val="none"/>
              </w:rPr>
              <w:t>现有危险废物收集贮存转运情况</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2764"/>
              <w:gridCol w:w="1312"/>
              <w:gridCol w:w="1163"/>
              <w:gridCol w:w="3026"/>
            </w:tblGrid>
            <w:tr w14:paraId="2C00397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blHeader/>
                <w:jc w:val="center"/>
              </w:trPr>
              <w:tc>
                <w:tcPr>
                  <w:tcW w:w="2742" w:type="dxa"/>
                  <w:tcBorders>
                    <w:tl2br w:val="nil"/>
                    <w:tr2bl w:val="nil"/>
                  </w:tcBorders>
                  <w:vAlign w:val="center"/>
                </w:tcPr>
                <w:p w14:paraId="5342CE5A">
                  <w:pPr>
                    <w:pStyle w:val="27"/>
                    <w:spacing w:line="240" w:lineRule="auto"/>
                    <w:rPr>
                      <w:rFonts w:eastAsia="宋体"/>
                      <w:b/>
                      <w:color w:val="auto"/>
                      <w:sz w:val="21"/>
                      <w:highlight w:val="none"/>
                    </w:rPr>
                  </w:pPr>
                  <w:r>
                    <w:rPr>
                      <w:rFonts w:eastAsia="宋体"/>
                      <w:b/>
                      <w:color w:val="auto"/>
                      <w:sz w:val="21"/>
                      <w:highlight w:val="none"/>
                    </w:rPr>
                    <w:t>危险废物</w:t>
                  </w:r>
                </w:p>
              </w:tc>
              <w:tc>
                <w:tcPr>
                  <w:tcW w:w="1299" w:type="dxa"/>
                  <w:tcBorders>
                    <w:tl2br w:val="nil"/>
                    <w:tr2bl w:val="nil"/>
                  </w:tcBorders>
                  <w:vAlign w:val="center"/>
                </w:tcPr>
                <w:p w14:paraId="42AA2CA8">
                  <w:pPr>
                    <w:pStyle w:val="27"/>
                    <w:spacing w:line="240" w:lineRule="auto"/>
                    <w:rPr>
                      <w:rFonts w:hint="default"/>
                      <w:color w:val="auto"/>
                      <w:highlight w:val="none"/>
                    </w:rPr>
                  </w:pPr>
                  <w:r>
                    <w:rPr>
                      <w:rFonts w:eastAsia="宋体"/>
                      <w:b/>
                      <w:color w:val="auto"/>
                      <w:sz w:val="21"/>
                      <w:highlight w:val="none"/>
                    </w:rPr>
                    <w:t>类别</w:t>
                  </w:r>
                </w:p>
              </w:tc>
              <w:tc>
                <w:tcPr>
                  <w:tcW w:w="1151" w:type="dxa"/>
                  <w:tcBorders>
                    <w:tl2br w:val="nil"/>
                    <w:tr2bl w:val="nil"/>
                  </w:tcBorders>
                  <w:vAlign w:val="center"/>
                </w:tcPr>
                <w:p w14:paraId="0A531AB5">
                  <w:pPr>
                    <w:pStyle w:val="27"/>
                    <w:spacing w:line="240" w:lineRule="auto"/>
                    <w:rPr>
                      <w:rFonts w:hint="default"/>
                      <w:color w:val="auto"/>
                      <w:highlight w:val="none"/>
                    </w:rPr>
                  </w:pPr>
                  <w:r>
                    <w:rPr>
                      <w:rFonts w:eastAsia="宋体"/>
                      <w:b/>
                      <w:color w:val="auto"/>
                      <w:sz w:val="21"/>
                      <w:highlight w:val="none"/>
                    </w:rPr>
                    <w:t>是否转移</w:t>
                  </w:r>
                </w:p>
              </w:tc>
              <w:tc>
                <w:tcPr>
                  <w:tcW w:w="2971" w:type="dxa"/>
                  <w:tcBorders>
                    <w:tl2br w:val="nil"/>
                    <w:tr2bl w:val="nil"/>
                  </w:tcBorders>
                  <w:vAlign w:val="center"/>
                </w:tcPr>
                <w:p w14:paraId="69E5360E">
                  <w:pPr>
                    <w:pStyle w:val="27"/>
                    <w:spacing w:line="240" w:lineRule="auto"/>
                    <w:rPr>
                      <w:rFonts w:hint="default"/>
                      <w:color w:val="auto"/>
                      <w:highlight w:val="none"/>
                    </w:rPr>
                  </w:pPr>
                  <w:r>
                    <w:rPr>
                      <w:rFonts w:eastAsia="宋体"/>
                      <w:b/>
                      <w:color w:val="auto"/>
                      <w:sz w:val="21"/>
                      <w:highlight w:val="none"/>
                    </w:rPr>
                    <w:t>危险废物处置单位</w:t>
                  </w:r>
                </w:p>
              </w:tc>
            </w:tr>
            <w:tr w14:paraId="6539A44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742" w:type="dxa"/>
                  <w:tcBorders>
                    <w:tl2br w:val="nil"/>
                    <w:tr2bl w:val="nil"/>
                  </w:tcBorders>
                  <w:vAlign w:val="center"/>
                </w:tcPr>
                <w:p w14:paraId="6856B7FA">
                  <w:pPr>
                    <w:pStyle w:val="24"/>
                    <w:spacing w:line="240" w:lineRule="auto"/>
                    <w:ind w:firstLine="0" w:firstLineChars="0"/>
                    <w:rPr>
                      <w:rFonts w:hint="eastAsia"/>
                      <w:color w:val="auto"/>
                      <w:highlight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废蓄电池</w:t>
                  </w:r>
                </w:p>
              </w:tc>
              <w:tc>
                <w:tcPr>
                  <w:tcW w:w="1299" w:type="dxa"/>
                  <w:tcBorders>
                    <w:tl2br w:val="nil"/>
                    <w:tr2bl w:val="nil"/>
                  </w:tcBorders>
                  <w:vAlign w:val="center"/>
                </w:tcPr>
                <w:p w14:paraId="3C7B2276">
                  <w:pPr>
                    <w:pStyle w:val="24"/>
                    <w:spacing w:line="240" w:lineRule="auto"/>
                    <w:ind w:firstLine="0" w:firstLineChars="0"/>
                    <w:rPr>
                      <w:rFonts w:hint="eastAsia"/>
                      <w:color w:val="auto"/>
                      <w:highlight w:val="none"/>
                    </w:rPr>
                  </w:pPr>
                  <w:r>
                    <w:rPr>
                      <w:rFonts w:hint="eastAsia"/>
                      <w:color w:val="auto"/>
                      <w:highlight w:val="none"/>
                      <w:shd w:val="clear" w:color="auto" w:fill="auto"/>
                    </w:rPr>
                    <w:t>900-052-31</w:t>
                  </w:r>
                </w:p>
              </w:tc>
              <w:tc>
                <w:tcPr>
                  <w:tcW w:w="1151" w:type="dxa"/>
                  <w:tcBorders>
                    <w:tl2br w:val="nil"/>
                    <w:tr2bl w:val="nil"/>
                  </w:tcBorders>
                  <w:vAlign w:val="center"/>
                </w:tcPr>
                <w:p w14:paraId="2BBBE905">
                  <w:pPr>
                    <w:pStyle w:val="24"/>
                    <w:spacing w:line="240" w:lineRule="auto"/>
                    <w:rPr>
                      <w:color w:val="auto"/>
                      <w:highlight w:val="none"/>
                    </w:rPr>
                  </w:pPr>
                  <w:r>
                    <w:rPr>
                      <w:rFonts w:hint="eastAsia"/>
                      <w:color w:val="auto"/>
                      <w:highlight w:val="none"/>
                    </w:rPr>
                    <w:t>是</w:t>
                  </w:r>
                </w:p>
              </w:tc>
              <w:tc>
                <w:tcPr>
                  <w:tcW w:w="2971" w:type="dxa"/>
                  <w:tcBorders>
                    <w:tl2br w:val="nil"/>
                    <w:tr2bl w:val="nil"/>
                  </w:tcBorders>
                  <w:vAlign w:val="center"/>
                </w:tcPr>
                <w:p w14:paraId="14F3D355">
                  <w:pPr>
                    <w:pStyle w:val="24"/>
                    <w:spacing w:line="240" w:lineRule="auto"/>
                    <w:rPr>
                      <w:color w:val="auto"/>
                      <w:highlight w:val="none"/>
                    </w:rPr>
                  </w:pPr>
                  <w:r>
                    <w:rPr>
                      <w:rFonts w:hint="eastAsia"/>
                      <w:color w:val="auto"/>
                      <w:highlight w:val="none"/>
                    </w:rPr>
                    <w:t>通辽泰鼎环保科技有限公司</w:t>
                  </w:r>
                </w:p>
              </w:tc>
            </w:tr>
            <w:tr w14:paraId="28E761F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742" w:type="dxa"/>
                  <w:tcBorders>
                    <w:tl2br w:val="nil"/>
                    <w:tr2bl w:val="nil"/>
                  </w:tcBorders>
                  <w:vAlign w:val="center"/>
                </w:tcPr>
                <w:p w14:paraId="1F27C255">
                  <w:pPr>
                    <w:pStyle w:val="24"/>
                    <w:spacing w:line="240" w:lineRule="auto"/>
                    <w:ind w:firstLine="0" w:firstLineChars="0"/>
                    <w:rPr>
                      <w:rFonts w:hint="eastAsia"/>
                      <w:color w:val="auto"/>
                      <w:highlight w:val="none"/>
                      <w:lang w:val="en-US" w:eastAsia="zh-CN"/>
                    </w:rPr>
                  </w:pPr>
                  <w:r>
                    <w:rPr>
                      <w:rFonts w:hint="eastAsia" w:ascii="Times New Roman" w:hAnsi="Times New Roman" w:eastAsia="宋体" w:cs="Times New Roman"/>
                      <w:color w:val="auto"/>
                      <w:sz w:val="21"/>
                      <w:szCs w:val="21"/>
                      <w:highlight w:val="none"/>
                      <w:shd w:val="clear" w:color="auto" w:fill="auto"/>
                      <w:lang w:eastAsia="zh-CN"/>
                    </w:rPr>
                    <w:t>废液压油</w:t>
                  </w:r>
                </w:p>
              </w:tc>
              <w:tc>
                <w:tcPr>
                  <w:tcW w:w="1299" w:type="dxa"/>
                  <w:tcBorders>
                    <w:tl2br w:val="nil"/>
                    <w:tr2bl w:val="nil"/>
                  </w:tcBorders>
                  <w:vAlign w:val="center"/>
                </w:tcPr>
                <w:p w14:paraId="23E1787D">
                  <w:pPr>
                    <w:pStyle w:val="24"/>
                    <w:spacing w:line="240" w:lineRule="auto"/>
                    <w:ind w:firstLine="0" w:firstLineChars="0"/>
                    <w:rPr>
                      <w:rFonts w:hint="eastAsia"/>
                      <w:color w:val="auto"/>
                      <w:highlight w:val="none"/>
                    </w:rPr>
                  </w:pPr>
                  <w:r>
                    <w:rPr>
                      <w:rFonts w:hint="eastAsia"/>
                      <w:color w:val="auto"/>
                      <w:highlight w:val="none"/>
                      <w:shd w:val="clear" w:color="auto" w:fill="auto"/>
                    </w:rPr>
                    <w:t>900-218-08</w:t>
                  </w:r>
                </w:p>
              </w:tc>
              <w:tc>
                <w:tcPr>
                  <w:tcW w:w="1151" w:type="dxa"/>
                  <w:tcBorders>
                    <w:tl2br w:val="nil"/>
                    <w:tr2bl w:val="nil"/>
                  </w:tcBorders>
                  <w:vAlign w:val="center"/>
                </w:tcPr>
                <w:p w14:paraId="71A1ADAD">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是</w:t>
                  </w:r>
                </w:p>
              </w:tc>
              <w:tc>
                <w:tcPr>
                  <w:tcW w:w="2971" w:type="dxa"/>
                  <w:vMerge w:val="restart"/>
                  <w:tcBorders>
                    <w:tl2br w:val="nil"/>
                    <w:tr2bl w:val="nil"/>
                  </w:tcBorders>
                  <w:vAlign w:val="center"/>
                </w:tcPr>
                <w:p w14:paraId="31A58897">
                  <w:pPr>
                    <w:pStyle w:val="24"/>
                    <w:spacing w:line="240" w:lineRule="auto"/>
                    <w:rPr>
                      <w:rFonts w:hint="eastAsia" w:eastAsiaTheme="minorEastAsia"/>
                      <w:b w:val="0"/>
                      <w:bCs w:val="0"/>
                      <w:color w:val="auto"/>
                      <w:highlight w:val="none"/>
                      <w:lang w:eastAsia="zh-CN"/>
                    </w:rPr>
                  </w:pPr>
                  <w:r>
                    <w:rPr>
                      <w:rFonts w:hint="eastAsia" w:eastAsiaTheme="minorEastAsia"/>
                      <w:b w:val="0"/>
                      <w:bCs w:val="0"/>
                      <w:color w:val="auto"/>
                      <w:highlight w:val="none"/>
                      <w:lang w:eastAsia="zh-CN"/>
                    </w:rPr>
                    <w:t>锦州永盛废油再生有限公司</w:t>
                  </w:r>
                </w:p>
              </w:tc>
            </w:tr>
            <w:tr w14:paraId="5D0AE80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742" w:type="dxa"/>
                  <w:tcBorders>
                    <w:tl2br w:val="nil"/>
                    <w:tr2bl w:val="nil"/>
                  </w:tcBorders>
                  <w:vAlign w:val="center"/>
                </w:tcPr>
                <w:p w14:paraId="2AD10358">
                  <w:pPr>
                    <w:pStyle w:val="24"/>
                    <w:spacing w:line="240" w:lineRule="auto"/>
                    <w:ind w:firstLine="0" w:firstLineChars="0"/>
                    <w:rPr>
                      <w:rFonts w:hint="eastAsia"/>
                      <w:color w:val="auto"/>
                      <w:highlight w:val="none"/>
                      <w:lang w:val="en-US" w:eastAsia="zh-CN"/>
                    </w:rPr>
                  </w:pPr>
                  <w:r>
                    <w:rPr>
                      <w:rFonts w:hint="eastAsia" w:ascii="Times New Roman" w:hAnsi="Times New Roman" w:eastAsia="宋体" w:cs="Times New Roman"/>
                      <w:color w:val="auto"/>
                      <w:sz w:val="21"/>
                      <w:szCs w:val="21"/>
                      <w:highlight w:val="none"/>
                      <w:shd w:val="clear" w:color="auto" w:fill="auto"/>
                      <w:lang w:eastAsia="zh-CN"/>
                    </w:rPr>
                    <w:t>废空压机油、废汽轮机油</w:t>
                  </w:r>
                </w:p>
              </w:tc>
              <w:tc>
                <w:tcPr>
                  <w:tcW w:w="1299" w:type="dxa"/>
                  <w:tcBorders>
                    <w:tl2br w:val="nil"/>
                    <w:tr2bl w:val="nil"/>
                  </w:tcBorders>
                  <w:vAlign w:val="center"/>
                </w:tcPr>
                <w:p w14:paraId="4B583D10">
                  <w:pPr>
                    <w:pStyle w:val="24"/>
                    <w:spacing w:line="240" w:lineRule="auto"/>
                    <w:ind w:firstLine="0" w:firstLineChars="0"/>
                    <w:rPr>
                      <w:rFonts w:hint="eastAsia"/>
                      <w:color w:val="auto"/>
                      <w:highlight w:val="none"/>
                    </w:rPr>
                  </w:pPr>
                  <w:r>
                    <w:rPr>
                      <w:rFonts w:hint="eastAsia"/>
                      <w:color w:val="auto"/>
                      <w:highlight w:val="none"/>
                      <w:shd w:val="clear" w:color="auto" w:fill="auto"/>
                      <w:lang w:eastAsia="zh-CN"/>
                    </w:rPr>
                    <w:t>900-214-08</w:t>
                  </w:r>
                </w:p>
              </w:tc>
              <w:tc>
                <w:tcPr>
                  <w:tcW w:w="1151" w:type="dxa"/>
                  <w:tcBorders>
                    <w:tl2br w:val="nil"/>
                    <w:tr2bl w:val="nil"/>
                  </w:tcBorders>
                  <w:vAlign w:val="center"/>
                </w:tcPr>
                <w:p w14:paraId="04B050B4">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是</w:t>
                  </w:r>
                </w:p>
              </w:tc>
              <w:tc>
                <w:tcPr>
                  <w:tcW w:w="2971" w:type="dxa"/>
                  <w:vMerge w:val="continue"/>
                  <w:tcBorders>
                    <w:tl2br w:val="nil"/>
                    <w:tr2bl w:val="nil"/>
                  </w:tcBorders>
                  <w:vAlign w:val="center"/>
                </w:tcPr>
                <w:p w14:paraId="672AC39F">
                  <w:pPr>
                    <w:pStyle w:val="24"/>
                    <w:spacing w:line="240" w:lineRule="auto"/>
                    <w:rPr>
                      <w:rFonts w:hint="eastAsia"/>
                      <w:color w:val="auto"/>
                      <w:highlight w:val="none"/>
                    </w:rPr>
                  </w:pPr>
                </w:p>
              </w:tc>
            </w:tr>
            <w:tr w14:paraId="59871FD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742" w:type="dxa"/>
                  <w:tcBorders>
                    <w:tl2br w:val="nil"/>
                    <w:tr2bl w:val="nil"/>
                  </w:tcBorders>
                  <w:vAlign w:val="center"/>
                </w:tcPr>
                <w:p w14:paraId="6173F295">
                  <w:pPr>
                    <w:pStyle w:val="24"/>
                    <w:spacing w:line="240" w:lineRule="auto"/>
                    <w:ind w:firstLine="0" w:firstLineChars="0"/>
                    <w:rPr>
                      <w:rFonts w:hint="eastAsia"/>
                      <w:color w:val="auto"/>
                      <w:highlight w:val="none"/>
                      <w:lang w:val="en-US" w:eastAsia="zh-CN"/>
                    </w:rPr>
                  </w:pPr>
                  <w:r>
                    <w:rPr>
                      <w:rFonts w:hint="eastAsia" w:ascii="Times New Roman" w:hAnsi="Times New Roman" w:eastAsia="宋体" w:cs="Times New Roman"/>
                      <w:color w:val="auto"/>
                      <w:sz w:val="21"/>
                      <w:szCs w:val="21"/>
                      <w:highlight w:val="none"/>
                      <w:shd w:val="clear" w:color="auto" w:fill="auto"/>
                      <w:lang w:eastAsia="zh-CN"/>
                    </w:rPr>
                    <w:t>废变压器油</w:t>
                  </w:r>
                </w:p>
              </w:tc>
              <w:tc>
                <w:tcPr>
                  <w:tcW w:w="1299" w:type="dxa"/>
                  <w:tcBorders>
                    <w:tl2br w:val="nil"/>
                    <w:tr2bl w:val="nil"/>
                  </w:tcBorders>
                  <w:vAlign w:val="center"/>
                </w:tcPr>
                <w:p w14:paraId="6D7DDD44">
                  <w:pPr>
                    <w:pStyle w:val="24"/>
                    <w:spacing w:line="240" w:lineRule="auto"/>
                    <w:ind w:firstLine="0" w:firstLineChars="0"/>
                    <w:rPr>
                      <w:rFonts w:hint="eastAsia"/>
                      <w:color w:val="auto"/>
                      <w:highlight w:val="none"/>
                      <w:lang w:val="en-US" w:eastAsia="zh-CN"/>
                    </w:rPr>
                  </w:pPr>
                  <w:r>
                    <w:rPr>
                      <w:rFonts w:hint="eastAsia"/>
                      <w:color w:val="auto"/>
                      <w:highlight w:val="none"/>
                      <w:shd w:val="clear" w:color="auto" w:fill="auto"/>
                      <w:lang w:eastAsia="zh-CN"/>
                    </w:rPr>
                    <w:t>900-220-08</w:t>
                  </w:r>
                </w:p>
              </w:tc>
              <w:tc>
                <w:tcPr>
                  <w:tcW w:w="1151" w:type="dxa"/>
                  <w:tcBorders>
                    <w:tl2br w:val="nil"/>
                    <w:tr2bl w:val="nil"/>
                  </w:tcBorders>
                  <w:vAlign w:val="center"/>
                </w:tcPr>
                <w:p w14:paraId="0172EFCD">
                  <w:pPr>
                    <w:pStyle w:val="24"/>
                    <w:spacing w:line="240" w:lineRule="auto"/>
                    <w:rPr>
                      <w:rFonts w:hint="eastAsia"/>
                      <w:color w:val="auto"/>
                      <w:highlight w:val="none"/>
                      <w:lang w:val="en-US" w:eastAsia="zh-CN"/>
                    </w:rPr>
                  </w:pPr>
                  <w:r>
                    <w:rPr>
                      <w:rFonts w:hint="eastAsia"/>
                      <w:color w:val="auto"/>
                      <w:highlight w:val="none"/>
                      <w:lang w:val="en-US" w:eastAsia="zh-CN"/>
                    </w:rPr>
                    <w:t>是</w:t>
                  </w:r>
                </w:p>
              </w:tc>
              <w:tc>
                <w:tcPr>
                  <w:tcW w:w="2971" w:type="dxa"/>
                  <w:vMerge w:val="continue"/>
                  <w:tcBorders>
                    <w:tl2br w:val="nil"/>
                    <w:tr2bl w:val="nil"/>
                  </w:tcBorders>
                  <w:vAlign w:val="center"/>
                </w:tcPr>
                <w:p w14:paraId="7C646BEC">
                  <w:pPr>
                    <w:pStyle w:val="24"/>
                    <w:spacing w:line="240" w:lineRule="auto"/>
                    <w:rPr>
                      <w:rFonts w:hint="eastAsia"/>
                      <w:color w:val="auto"/>
                      <w:highlight w:val="none"/>
                    </w:rPr>
                  </w:pPr>
                </w:p>
              </w:tc>
            </w:tr>
            <w:tr w14:paraId="4EC6492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742" w:type="dxa"/>
                  <w:tcBorders>
                    <w:tl2br w:val="nil"/>
                    <w:tr2bl w:val="nil"/>
                  </w:tcBorders>
                  <w:vAlign w:val="center"/>
                </w:tcPr>
                <w:p w14:paraId="60311FF0">
                  <w:pPr>
                    <w:pStyle w:val="24"/>
                    <w:spacing w:line="240" w:lineRule="auto"/>
                    <w:ind w:firstLine="0" w:firstLineChars="0"/>
                    <w:rPr>
                      <w:rFonts w:hint="eastAsia" w:ascii="Times New Roman" w:hAnsi="Times New Roman" w:eastAsia="宋体" w:cs="Times New Roman"/>
                      <w:color w:val="auto"/>
                      <w:sz w:val="21"/>
                      <w:szCs w:val="21"/>
                      <w:highlight w:val="none"/>
                      <w:shd w:val="clear" w:color="auto" w:fill="auto"/>
                      <w:lang w:eastAsia="zh-CN"/>
                    </w:rPr>
                  </w:pPr>
                  <w:r>
                    <w:rPr>
                      <w:rFonts w:hint="eastAsia" w:eastAsia="宋体" w:cs="Times New Roman"/>
                      <w:color w:val="auto"/>
                      <w:sz w:val="21"/>
                      <w:szCs w:val="21"/>
                      <w:highlight w:val="none"/>
                      <w:lang w:val="en-US" w:eastAsia="zh-CN"/>
                    </w:rPr>
                    <w:t>废润滑油</w:t>
                  </w:r>
                </w:p>
              </w:tc>
              <w:tc>
                <w:tcPr>
                  <w:tcW w:w="1299" w:type="dxa"/>
                  <w:tcBorders>
                    <w:tl2br w:val="nil"/>
                    <w:tr2bl w:val="nil"/>
                  </w:tcBorders>
                  <w:vAlign w:val="center"/>
                </w:tcPr>
                <w:p w14:paraId="49D33382">
                  <w:pPr>
                    <w:pStyle w:val="24"/>
                    <w:spacing w:line="240" w:lineRule="auto"/>
                    <w:ind w:firstLine="0" w:firstLineChars="0"/>
                    <w:rPr>
                      <w:rFonts w:hint="eastAsia"/>
                      <w:color w:val="auto"/>
                      <w:highlight w:val="none"/>
                      <w:shd w:val="clear" w:color="auto" w:fill="auto"/>
                      <w:lang w:eastAsia="zh-CN"/>
                    </w:rPr>
                  </w:pPr>
                  <w:r>
                    <w:rPr>
                      <w:rFonts w:hint="eastAsia"/>
                      <w:color w:val="auto"/>
                      <w:highlight w:val="none"/>
                      <w:shd w:val="clear" w:color="auto" w:fill="auto"/>
                      <w:lang w:val="en-US" w:eastAsia="zh-CN"/>
                    </w:rPr>
                    <w:t>900-217-08</w:t>
                  </w:r>
                </w:p>
              </w:tc>
              <w:tc>
                <w:tcPr>
                  <w:tcW w:w="1151" w:type="dxa"/>
                  <w:tcBorders>
                    <w:tl2br w:val="nil"/>
                    <w:tr2bl w:val="nil"/>
                  </w:tcBorders>
                  <w:vAlign w:val="center"/>
                </w:tcPr>
                <w:p w14:paraId="5D0FEA11">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是</w:t>
                  </w:r>
                </w:p>
              </w:tc>
              <w:tc>
                <w:tcPr>
                  <w:tcW w:w="2971" w:type="dxa"/>
                  <w:vMerge w:val="continue"/>
                  <w:tcBorders>
                    <w:tl2br w:val="nil"/>
                    <w:tr2bl w:val="nil"/>
                  </w:tcBorders>
                  <w:vAlign w:val="center"/>
                </w:tcPr>
                <w:p w14:paraId="559AC9A4">
                  <w:pPr>
                    <w:pStyle w:val="24"/>
                    <w:spacing w:line="240" w:lineRule="auto"/>
                    <w:rPr>
                      <w:rFonts w:hint="eastAsia"/>
                      <w:color w:val="auto"/>
                      <w:highlight w:val="none"/>
                    </w:rPr>
                  </w:pPr>
                </w:p>
              </w:tc>
            </w:tr>
            <w:tr w14:paraId="7DB011C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742" w:type="dxa"/>
                  <w:tcBorders>
                    <w:tl2br w:val="nil"/>
                    <w:tr2bl w:val="nil"/>
                  </w:tcBorders>
                  <w:vAlign w:val="center"/>
                </w:tcPr>
                <w:p w14:paraId="0A25447C">
                  <w:pPr>
                    <w:pStyle w:val="24"/>
                    <w:spacing w:line="240" w:lineRule="auto"/>
                    <w:ind w:firstLine="0" w:firstLineChars="0"/>
                    <w:rPr>
                      <w:rFonts w:hint="eastAsia" w:ascii="Times New Roman" w:hAnsi="Times New Roman" w:eastAsia="宋体" w:cs="Times New Roman"/>
                      <w:color w:val="auto"/>
                      <w:sz w:val="21"/>
                      <w:szCs w:val="21"/>
                      <w:highlight w:val="none"/>
                      <w:shd w:val="clear" w:color="auto" w:fill="auto"/>
                      <w:lang w:eastAsia="zh-CN"/>
                    </w:rPr>
                  </w:pPr>
                  <w:r>
                    <w:rPr>
                      <w:rFonts w:hint="eastAsia" w:ascii="Times New Roman" w:hAnsi="Times New Roman" w:eastAsia="宋体" w:cs="Times New Roman"/>
                      <w:color w:val="auto"/>
                      <w:sz w:val="21"/>
                      <w:szCs w:val="21"/>
                      <w:highlight w:val="none"/>
                      <w:lang w:val="en-US" w:eastAsia="zh-CN"/>
                    </w:rPr>
                    <w:t>废油桶</w:t>
                  </w:r>
                </w:p>
              </w:tc>
              <w:tc>
                <w:tcPr>
                  <w:tcW w:w="1299" w:type="dxa"/>
                  <w:tcBorders>
                    <w:tl2br w:val="nil"/>
                    <w:tr2bl w:val="nil"/>
                  </w:tcBorders>
                  <w:vAlign w:val="center"/>
                </w:tcPr>
                <w:p w14:paraId="082BA2F3">
                  <w:pPr>
                    <w:pStyle w:val="24"/>
                    <w:spacing w:line="240" w:lineRule="auto"/>
                    <w:ind w:firstLine="0" w:firstLineChars="0"/>
                    <w:rPr>
                      <w:rFonts w:hint="eastAsia"/>
                      <w:color w:val="auto"/>
                      <w:highlight w:val="none"/>
                      <w:shd w:val="clear" w:color="auto" w:fill="auto"/>
                      <w:lang w:eastAsia="zh-CN"/>
                    </w:rPr>
                  </w:pPr>
                  <w:r>
                    <w:rPr>
                      <w:rFonts w:hint="eastAsia"/>
                      <w:color w:val="auto"/>
                      <w:highlight w:val="none"/>
                      <w:shd w:val="clear" w:color="auto" w:fill="auto"/>
                    </w:rPr>
                    <w:t>900-041-49</w:t>
                  </w:r>
                </w:p>
              </w:tc>
              <w:tc>
                <w:tcPr>
                  <w:tcW w:w="1151" w:type="dxa"/>
                  <w:tcBorders>
                    <w:tl2br w:val="nil"/>
                    <w:tr2bl w:val="nil"/>
                  </w:tcBorders>
                  <w:vAlign w:val="center"/>
                </w:tcPr>
                <w:p w14:paraId="5FF2F3A2">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是</w:t>
                  </w:r>
                </w:p>
              </w:tc>
              <w:tc>
                <w:tcPr>
                  <w:tcW w:w="2971" w:type="dxa"/>
                  <w:vMerge w:val="continue"/>
                  <w:tcBorders>
                    <w:tl2br w:val="nil"/>
                    <w:tr2bl w:val="nil"/>
                  </w:tcBorders>
                  <w:vAlign w:val="center"/>
                </w:tcPr>
                <w:p w14:paraId="145F1863">
                  <w:pPr>
                    <w:pStyle w:val="24"/>
                    <w:spacing w:line="240" w:lineRule="auto"/>
                    <w:rPr>
                      <w:rFonts w:hint="eastAsia"/>
                      <w:color w:val="auto"/>
                      <w:highlight w:val="none"/>
                    </w:rPr>
                  </w:pPr>
                </w:p>
              </w:tc>
            </w:tr>
            <w:tr w14:paraId="2D0AC88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742" w:type="dxa"/>
                  <w:tcBorders>
                    <w:tl2br w:val="nil"/>
                    <w:tr2bl w:val="nil"/>
                  </w:tcBorders>
                  <w:vAlign w:val="center"/>
                </w:tcPr>
                <w:p w14:paraId="55652C42">
                  <w:pPr>
                    <w:pStyle w:val="24"/>
                    <w:spacing w:line="240" w:lineRule="auto"/>
                    <w:ind w:firstLine="0" w:firstLineChars="0"/>
                    <w:rPr>
                      <w:rFonts w:hint="eastAsia" w:ascii="Times New Roman" w:hAnsi="Times New Roman" w:eastAsia="宋体" w:cs="Times New Roman"/>
                      <w:color w:val="auto"/>
                      <w:sz w:val="21"/>
                      <w:szCs w:val="21"/>
                      <w:highlight w:val="none"/>
                      <w:shd w:val="clear" w:color="auto" w:fill="auto"/>
                      <w:lang w:eastAsia="zh-CN"/>
                    </w:rPr>
                  </w:pPr>
                  <w:r>
                    <w:rPr>
                      <w:rFonts w:hint="eastAsia" w:eastAsia="宋体" w:cs="Times New Roman"/>
                      <w:color w:val="auto"/>
                      <w:sz w:val="21"/>
                      <w:szCs w:val="21"/>
                      <w:highlight w:val="none"/>
                      <w:lang w:val="en-US" w:eastAsia="zh-CN"/>
                    </w:rPr>
                    <w:t>废劳保用品</w:t>
                  </w:r>
                </w:p>
              </w:tc>
              <w:tc>
                <w:tcPr>
                  <w:tcW w:w="1299" w:type="dxa"/>
                  <w:tcBorders>
                    <w:tl2br w:val="nil"/>
                    <w:tr2bl w:val="nil"/>
                  </w:tcBorders>
                  <w:vAlign w:val="center"/>
                </w:tcPr>
                <w:p w14:paraId="369881CC">
                  <w:pPr>
                    <w:pStyle w:val="24"/>
                    <w:spacing w:line="240" w:lineRule="auto"/>
                    <w:ind w:firstLine="0" w:firstLineChars="0"/>
                    <w:rPr>
                      <w:rFonts w:hint="eastAsia"/>
                      <w:color w:val="auto"/>
                      <w:highlight w:val="none"/>
                      <w:shd w:val="clear" w:color="auto" w:fill="auto"/>
                      <w:lang w:eastAsia="zh-CN"/>
                    </w:rPr>
                  </w:pPr>
                  <w:r>
                    <w:rPr>
                      <w:rFonts w:hint="eastAsia"/>
                      <w:color w:val="auto"/>
                      <w:highlight w:val="none"/>
                      <w:shd w:val="clear" w:color="auto" w:fill="auto"/>
                      <w:lang w:eastAsia="zh-CN"/>
                    </w:rPr>
                    <w:t>900-041-49</w:t>
                  </w:r>
                </w:p>
              </w:tc>
              <w:tc>
                <w:tcPr>
                  <w:tcW w:w="1151" w:type="dxa"/>
                  <w:tcBorders>
                    <w:tl2br w:val="nil"/>
                    <w:tr2bl w:val="nil"/>
                  </w:tcBorders>
                  <w:vAlign w:val="center"/>
                </w:tcPr>
                <w:p w14:paraId="2124D9BC">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是</w:t>
                  </w:r>
                </w:p>
              </w:tc>
              <w:tc>
                <w:tcPr>
                  <w:tcW w:w="2971" w:type="dxa"/>
                  <w:tcBorders>
                    <w:tl2br w:val="nil"/>
                    <w:tr2bl w:val="nil"/>
                  </w:tcBorders>
                  <w:vAlign w:val="center"/>
                </w:tcPr>
                <w:p w14:paraId="45B0D039">
                  <w:pPr>
                    <w:pStyle w:val="24"/>
                    <w:spacing w:line="240" w:lineRule="auto"/>
                    <w:rPr>
                      <w:rFonts w:hint="eastAsia"/>
                      <w:color w:val="auto"/>
                      <w:highlight w:val="none"/>
                    </w:rPr>
                  </w:pPr>
                  <w:r>
                    <w:rPr>
                      <w:rFonts w:hint="eastAsia"/>
                      <w:color w:val="auto"/>
                      <w:highlight w:val="none"/>
                    </w:rPr>
                    <w:t>通辽泰鼎环保科技有限公司</w:t>
                  </w:r>
                </w:p>
              </w:tc>
            </w:tr>
          </w:tbl>
          <w:p w14:paraId="421B5452">
            <w:pPr>
              <w:bidi w:val="0"/>
              <w:rPr>
                <w:b/>
                <w:bCs/>
                <w:color w:val="auto"/>
                <w:highlight w:val="none"/>
              </w:rPr>
            </w:pPr>
            <w:r>
              <w:rPr>
                <w:rFonts w:hint="eastAsia"/>
                <w:b/>
                <w:bCs/>
                <w:color w:val="auto"/>
                <w:highlight w:val="none"/>
                <w:lang w:val="en-US" w:eastAsia="zh-CN"/>
              </w:rPr>
              <w:t>4</w:t>
            </w:r>
            <w:r>
              <w:rPr>
                <w:rFonts w:hint="eastAsia"/>
                <w:b/>
                <w:bCs/>
                <w:color w:val="auto"/>
                <w:highlight w:val="none"/>
              </w:rPr>
              <w:t>与本项目有关环境问题</w:t>
            </w:r>
          </w:p>
          <w:p w14:paraId="1EF5557A">
            <w:pPr>
              <w:bidi w:val="0"/>
              <w:rPr>
                <w:rFonts w:hint="eastAsia"/>
                <w:color w:val="auto"/>
                <w:highlight w:val="none"/>
              </w:rPr>
            </w:pPr>
            <w:r>
              <w:rPr>
                <w:rFonts w:hint="eastAsia"/>
                <w:color w:val="auto"/>
                <w:highlight w:val="none"/>
                <w:lang w:eastAsia="zh-CN"/>
              </w:rPr>
              <w:t>公司</w:t>
            </w:r>
            <w:r>
              <w:rPr>
                <w:rFonts w:hint="eastAsia"/>
                <w:color w:val="auto"/>
                <w:highlight w:val="none"/>
              </w:rPr>
              <w:t>原有危废暂存间因建设初期墙体材料问题，发生年久失修、墙体破裂、漏雨等情况</w:t>
            </w:r>
            <w:r>
              <w:rPr>
                <w:rFonts w:hint="eastAsia"/>
                <w:color w:val="auto"/>
                <w:highlight w:val="none"/>
                <w:lang w:eastAsia="zh-CN"/>
              </w:rPr>
              <w:t>，问题发生后，</w:t>
            </w:r>
            <w:r>
              <w:rPr>
                <w:rFonts w:hint="eastAsia"/>
                <w:color w:val="auto"/>
                <w:highlight w:val="none"/>
              </w:rPr>
              <w:t>公司</w:t>
            </w:r>
            <w:r>
              <w:rPr>
                <w:rFonts w:hint="eastAsia"/>
                <w:color w:val="auto"/>
                <w:highlight w:val="none"/>
                <w:lang w:eastAsia="zh-CN"/>
              </w:rPr>
              <w:t>立即</w:t>
            </w:r>
            <w:r>
              <w:rPr>
                <w:rFonts w:hint="eastAsia"/>
                <w:color w:val="auto"/>
                <w:highlight w:val="none"/>
              </w:rPr>
              <w:t>对</w:t>
            </w:r>
            <w:r>
              <w:rPr>
                <w:rFonts w:hint="eastAsia"/>
                <w:color w:val="auto"/>
                <w:highlight w:val="none"/>
                <w:lang w:eastAsia="zh-CN"/>
              </w:rPr>
              <w:t>原有</w:t>
            </w:r>
            <w:r>
              <w:rPr>
                <w:rFonts w:hint="eastAsia"/>
                <w:color w:val="auto"/>
                <w:highlight w:val="none"/>
              </w:rPr>
              <w:t>危废暂存间予以停用处理</w:t>
            </w:r>
            <w:r>
              <w:rPr>
                <w:rFonts w:hint="eastAsia"/>
                <w:color w:val="auto"/>
                <w:highlight w:val="none"/>
                <w:lang w:eastAsia="zh-CN"/>
              </w:rPr>
              <w:t>。</w:t>
            </w:r>
            <w:r>
              <w:rPr>
                <w:rFonts w:hint="eastAsia"/>
                <w:color w:val="auto"/>
                <w:highlight w:val="none"/>
                <w:lang w:val="en-US" w:eastAsia="zh-CN"/>
              </w:rPr>
              <w:t>厂区内现有危险废物即产即清，不暂存</w:t>
            </w:r>
            <w:r>
              <w:rPr>
                <w:rFonts w:hint="eastAsia"/>
                <w:color w:val="auto"/>
                <w:highlight w:val="none"/>
              </w:rPr>
              <w:t>。</w:t>
            </w:r>
          </w:p>
          <w:p w14:paraId="21F8F532">
            <w:pPr>
              <w:bidi w:val="0"/>
              <w:rPr>
                <w:rFonts w:hint="eastAsia"/>
                <w:color w:val="auto"/>
                <w:highlight w:val="none"/>
              </w:rPr>
            </w:pPr>
            <w:r>
              <w:rPr>
                <w:rFonts w:hint="eastAsia"/>
                <w:color w:val="auto"/>
                <w:highlight w:val="none"/>
                <w:lang w:eastAsia="zh-CN"/>
              </w:rPr>
              <w:t>经现场踏勘，无遗留的环境问题或污染迹象。</w:t>
            </w:r>
          </w:p>
          <w:p w14:paraId="61CBC6B7">
            <w:pPr>
              <w:ind w:left="0" w:leftChars="0" w:firstLine="480" w:firstLineChars="200"/>
              <w:rPr>
                <w:rFonts w:hint="eastAsia"/>
                <w:color w:val="auto"/>
                <w:highlight w:val="none"/>
              </w:rPr>
            </w:pPr>
            <w:r>
              <w:rPr>
                <w:rFonts w:hint="eastAsia"/>
                <w:color w:val="auto"/>
                <w:highlight w:val="none"/>
              </w:rPr>
              <w:t>本项目</w:t>
            </w:r>
            <w:r>
              <w:rPr>
                <w:rFonts w:hint="eastAsia"/>
                <w:color w:val="auto"/>
                <w:highlight w:val="none"/>
                <w:lang w:eastAsia="zh-CN"/>
              </w:rPr>
              <w:t>利用公司厂区内</w:t>
            </w:r>
            <w:r>
              <w:rPr>
                <w:rFonts w:hint="eastAsia"/>
                <w:color w:val="auto"/>
                <w:highlight w:val="none"/>
                <w:lang w:val="en-US" w:eastAsia="zh-CN"/>
              </w:rPr>
              <w:t>闲置库房进行改造</w:t>
            </w:r>
            <w:r>
              <w:rPr>
                <w:rFonts w:hint="eastAsia"/>
                <w:color w:val="auto"/>
                <w:highlight w:val="none"/>
              </w:rPr>
              <w:t>，</w:t>
            </w:r>
            <w:r>
              <w:rPr>
                <w:rFonts w:hint="eastAsia"/>
                <w:color w:val="auto"/>
                <w:highlight w:val="none"/>
                <w:lang w:eastAsia="zh-CN"/>
              </w:rPr>
              <w:t>本项目所在地为闲置库房，</w:t>
            </w:r>
            <w:r>
              <w:rPr>
                <w:rFonts w:hint="eastAsia"/>
                <w:color w:val="auto"/>
                <w:highlight w:val="none"/>
              </w:rPr>
              <w:t>无与本项目有关环境问题。</w:t>
            </w:r>
          </w:p>
          <w:p w14:paraId="7E222924">
            <w:pPr>
              <w:ind w:left="0" w:leftChars="0" w:firstLine="0" w:firstLineChars="0"/>
              <w:rPr>
                <w:rFonts w:hint="eastAsia"/>
                <w:color w:val="auto"/>
                <w:highlight w:val="none"/>
              </w:rPr>
            </w:pPr>
          </w:p>
          <w:p w14:paraId="49989752">
            <w:pPr>
              <w:ind w:left="0" w:leftChars="0" w:firstLine="0" w:firstLineChars="0"/>
              <w:rPr>
                <w:rFonts w:hint="eastAsia"/>
                <w:color w:val="auto"/>
                <w:highlight w:val="none"/>
              </w:rPr>
            </w:pPr>
          </w:p>
          <w:p w14:paraId="6AFBCA51">
            <w:pPr>
              <w:ind w:left="0" w:leftChars="0" w:firstLine="0" w:firstLineChars="0"/>
              <w:rPr>
                <w:rFonts w:hint="eastAsia"/>
                <w:color w:val="auto"/>
                <w:highlight w:val="none"/>
              </w:rPr>
            </w:pPr>
          </w:p>
          <w:p w14:paraId="6A68850D">
            <w:pPr>
              <w:ind w:left="0" w:leftChars="0" w:firstLine="0" w:firstLineChars="0"/>
              <w:rPr>
                <w:rFonts w:hint="eastAsia"/>
                <w:color w:val="auto"/>
                <w:highlight w:val="none"/>
              </w:rPr>
            </w:pPr>
          </w:p>
          <w:p w14:paraId="19F77A90">
            <w:pPr>
              <w:ind w:left="0" w:leftChars="0" w:firstLine="0" w:firstLineChars="0"/>
              <w:rPr>
                <w:rFonts w:hint="eastAsia"/>
                <w:color w:val="auto"/>
                <w:highlight w:val="none"/>
              </w:rPr>
            </w:pPr>
          </w:p>
          <w:p w14:paraId="57306DEB">
            <w:pPr>
              <w:ind w:left="0" w:leftChars="0" w:firstLine="0" w:firstLineChars="0"/>
              <w:rPr>
                <w:rFonts w:hint="eastAsia"/>
                <w:color w:val="auto"/>
                <w:highlight w:val="none"/>
              </w:rPr>
            </w:pPr>
          </w:p>
          <w:p w14:paraId="1CA85899">
            <w:pPr>
              <w:ind w:left="0" w:leftChars="0" w:firstLine="0" w:firstLineChars="0"/>
              <w:rPr>
                <w:rFonts w:hint="eastAsia"/>
                <w:color w:val="auto"/>
                <w:highlight w:val="none"/>
              </w:rPr>
            </w:pPr>
          </w:p>
          <w:p w14:paraId="2B59B206">
            <w:pPr>
              <w:ind w:left="0" w:leftChars="0" w:firstLine="0" w:firstLineChars="0"/>
              <w:rPr>
                <w:rFonts w:hint="eastAsia"/>
                <w:color w:val="auto"/>
                <w:highlight w:val="none"/>
              </w:rPr>
            </w:pPr>
          </w:p>
          <w:p w14:paraId="1EC88575">
            <w:pPr>
              <w:ind w:left="0" w:leftChars="0" w:firstLine="0" w:firstLineChars="0"/>
              <w:rPr>
                <w:rFonts w:hint="eastAsia"/>
                <w:color w:val="auto"/>
                <w:highlight w:val="none"/>
              </w:rPr>
            </w:pPr>
          </w:p>
          <w:p w14:paraId="0354828F">
            <w:pPr>
              <w:ind w:left="0" w:leftChars="0" w:firstLine="0" w:firstLineChars="0"/>
              <w:rPr>
                <w:rFonts w:hint="eastAsia"/>
                <w:color w:val="auto"/>
                <w:highlight w:val="none"/>
              </w:rPr>
            </w:pPr>
          </w:p>
          <w:p w14:paraId="70FE9DCB">
            <w:pPr>
              <w:ind w:left="0" w:leftChars="0" w:firstLine="0" w:firstLineChars="0"/>
              <w:rPr>
                <w:rFonts w:hint="eastAsia"/>
                <w:color w:val="auto"/>
                <w:highlight w:val="none"/>
              </w:rPr>
            </w:pPr>
          </w:p>
          <w:p w14:paraId="56A4437B">
            <w:pPr>
              <w:ind w:left="0" w:leftChars="0" w:firstLine="0" w:firstLineChars="0"/>
              <w:rPr>
                <w:rFonts w:hint="eastAsia"/>
                <w:color w:val="auto"/>
                <w:highlight w:val="none"/>
              </w:rPr>
            </w:pPr>
          </w:p>
          <w:p w14:paraId="420E3C9C">
            <w:pPr>
              <w:ind w:left="0" w:leftChars="0" w:firstLine="0" w:firstLineChars="0"/>
              <w:rPr>
                <w:rFonts w:hint="eastAsia"/>
                <w:color w:val="auto"/>
                <w:highlight w:val="none"/>
              </w:rPr>
            </w:pPr>
          </w:p>
          <w:p w14:paraId="762CED1F">
            <w:pPr>
              <w:ind w:left="0" w:leftChars="0" w:firstLine="0" w:firstLineChars="0"/>
              <w:rPr>
                <w:rFonts w:hint="eastAsia"/>
                <w:color w:val="auto"/>
                <w:highlight w:val="none"/>
              </w:rPr>
            </w:pPr>
          </w:p>
          <w:p w14:paraId="3FD0FBE5">
            <w:pPr>
              <w:ind w:left="0" w:leftChars="0" w:firstLine="0" w:firstLineChars="0"/>
              <w:rPr>
                <w:rFonts w:hint="eastAsia"/>
                <w:color w:val="auto"/>
                <w:highlight w:val="none"/>
              </w:rPr>
            </w:pPr>
          </w:p>
          <w:p w14:paraId="68CE07C3">
            <w:pPr>
              <w:ind w:left="0" w:leftChars="0" w:firstLine="0" w:firstLineChars="0"/>
              <w:rPr>
                <w:rFonts w:hint="eastAsia"/>
                <w:color w:val="auto"/>
                <w:highlight w:val="none"/>
              </w:rPr>
            </w:pPr>
          </w:p>
          <w:p w14:paraId="06245F8B">
            <w:pPr>
              <w:ind w:left="0" w:leftChars="0" w:firstLine="0" w:firstLineChars="0"/>
              <w:rPr>
                <w:rFonts w:hint="eastAsia"/>
                <w:color w:val="auto"/>
                <w:highlight w:val="none"/>
              </w:rPr>
            </w:pPr>
          </w:p>
          <w:p w14:paraId="0FD0499D">
            <w:pPr>
              <w:ind w:left="0" w:leftChars="0" w:firstLine="0" w:firstLineChars="0"/>
              <w:rPr>
                <w:rFonts w:hint="eastAsia"/>
                <w:color w:val="auto"/>
                <w:highlight w:val="none"/>
              </w:rPr>
            </w:pPr>
          </w:p>
          <w:p w14:paraId="050A21DB">
            <w:pPr>
              <w:ind w:left="0" w:leftChars="0" w:firstLine="0" w:firstLineChars="0"/>
              <w:rPr>
                <w:rFonts w:hint="eastAsia"/>
                <w:color w:val="auto"/>
                <w:highlight w:val="none"/>
              </w:rPr>
            </w:pPr>
          </w:p>
          <w:p w14:paraId="2852B461">
            <w:pPr>
              <w:ind w:left="0" w:leftChars="0" w:firstLine="0" w:firstLineChars="0"/>
              <w:rPr>
                <w:rFonts w:hint="eastAsia"/>
                <w:color w:val="auto"/>
                <w:highlight w:val="none"/>
              </w:rPr>
            </w:pPr>
          </w:p>
          <w:p w14:paraId="14148816">
            <w:pPr>
              <w:ind w:left="0" w:leftChars="0" w:firstLine="0" w:firstLineChars="0"/>
              <w:rPr>
                <w:rFonts w:hint="eastAsia"/>
                <w:color w:val="auto"/>
                <w:highlight w:val="none"/>
              </w:rPr>
            </w:pPr>
          </w:p>
          <w:p w14:paraId="2DBCC3DD">
            <w:pPr>
              <w:ind w:left="0" w:leftChars="0" w:firstLine="0" w:firstLineChars="0"/>
              <w:rPr>
                <w:rFonts w:hint="eastAsia"/>
                <w:color w:val="auto"/>
                <w:highlight w:val="none"/>
              </w:rPr>
            </w:pPr>
          </w:p>
          <w:p w14:paraId="4B504C37">
            <w:pPr>
              <w:ind w:left="0" w:leftChars="0" w:firstLine="0" w:firstLineChars="0"/>
              <w:rPr>
                <w:rFonts w:hint="eastAsia"/>
                <w:color w:val="auto"/>
                <w:highlight w:val="none"/>
              </w:rPr>
            </w:pPr>
          </w:p>
          <w:p w14:paraId="008312FD">
            <w:pPr>
              <w:ind w:left="0" w:leftChars="0" w:firstLine="0" w:firstLineChars="0"/>
              <w:rPr>
                <w:rFonts w:hint="eastAsia"/>
                <w:color w:val="auto"/>
                <w:highlight w:val="none"/>
              </w:rPr>
            </w:pPr>
          </w:p>
          <w:p w14:paraId="19AD8BBB">
            <w:pPr>
              <w:ind w:left="0" w:leftChars="0" w:firstLine="0" w:firstLineChars="0"/>
              <w:rPr>
                <w:rFonts w:hint="eastAsia"/>
                <w:color w:val="auto"/>
                <w:highlight w:val="none"/>
              </w:rPr>
            </w:pPr>
          </w:p>
          <w:p w14:paraId="3BDF99BD">
            <w:pPr>
              <w:ind w:left="0" w:leftChars="0" w:firstLine="0" w:firstLineChars="0"/>
              <w:rPr>
                <w:rFonts w:hint="eastAsia"/>
                <w:color w:val="auto"/>
                <w:highlight w:val="none"/>
              </w:rPr>
            </w:pPr>
          </w:p>
          <w:p w14:paraId="0A0A4ECB">
            <w:pPr>
              <w:ind w:left="0" w:leftChars="0" w:firstLine="0" w:firstLineChars="0"/>
              <w:rPr>
                <w:rFonts w:hint="eastAsia"/>
                <w:color w:val="auto"/>
                <w:highlight w:val="none"/>
              </w:rPr>
            </w:pPr>
          </w:p>
          <w:p w14:paraId="4DBD4107">
            <w:pPr>
              <w:ind w:left="0" w:leftChars="0" w:firstLine="0" w:firstLineChars="0"/>
              <w:rPr>
                <w:rFonts w:hint="eastAsia"/>
                <w:color w:val="auto"/>
                <w:highlight w:val="none"/>
              </w:rPr>
            </w:pPr>
          </w:p>
          <w:p w14:paraId="2A2A99B9">
            <w:pPr>
              <w:ind w:left="0" w:leftChars="0" w:firstLine="0" w:firstLineChars="0"/>
              <w:rPr>
                <w:rFonts w:hint="eastAsia"/>
                <w:color w:val="auto"/>
                <w:highlight w:val="none"/>
              </w:rPr>
            </w:pPr>
          </w:p>
          <w:p w14:paraId="09046066">
            <w:pPr>
              <w:ind w:left="0" w:leftChars="0" w:firstLine="0" w:firstLineChars="0"/>
              <w:rPr>
                <w:rFonts w:hint="eastAsia"/>
                <w:color w:val="auto"/>
                <w:highlight w:val="none"/>
              </w:rPr>
            </w:pPr>
          </w:p>
        </w:tc>
      </w:tr>
    </w:tbl>
    <w:p w14:paraId="4AF23C0E">
      <w:pPr>
        <w:keepNext w:val="0"/>
        <w:keepLines w:val="0"/>
        <w:pageBreakBefore w:val="0"/>
        <w:kinsoku/>
        <w:wordWrap/>
        <w:overflowPunct/>
        <w:autoSpaceDE/>
        <w:autoSpaceDN/>
        <w:bidi w:val="0"/>
        <w:spacing w:line="240" w:lineRule="auto"/>
        <w:ind w:firstLine="0" w:firstLineChars="0"/>
        <w:jc w:val="both"/>
        <w:rPr>
          <w:rFonts w:hint="eastAsia" w:ascii="黑体" w:hAnsi="黑体" w:eastAsia="黑体"/>
          <w:snapToGrid w:val="0"/>
          <w:color w:val="auto"/>
          <w:sz w:val="36"/>
          <w:szCs w:val="36"/>
          <w:highlight w:val="none"/>
        </w:rPr>
        <w:sectPr>
          <w:pgSz w:w="11906" w:h="16838"/>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p>
    <w:p w14:paraId="2F9D32C1">
      <w:pPr>
        <w:keepNext w:val="0"/>
        <w:keepLines w:val="0"/>
        <w:pageBreakBefore w:val="0"/>
        <w:kinsoku/>
        <w:wordWrap/>
        <w:overflowPunct/>
        <w:autoSpaceDE/>
        <w:autoSpaceDN/>
        <w:bidi w:val="0"/>
        <w:spacing w:line="240" w:lineRule="auto"/>
        <w:ind w:firstLine="0" w:firstLineChars="0"/>
        <w:jc w:val="center"/>
        <w:outlineLvl w:val="0"/>
        <w:rPr>
          <w:rFonts w:hint="eastAsia" w:ascii="黑体" w:hAnsi="黑体" w:eastAsia="黑体"/>
          <w:snapToGrid w:val="0"/>
          <w:color w:val="auto"/>
          <w:sz w:val="30"/>
          <w:szCs w:val="30"/>
          <w:highlight w:val="none"/>
        </w:rPr>
      </w:pPr>
      <w:r>
        <w:rPr>
          <w:rFonts w:hint="eastAsia" w:ascii="宋体" w:hAnsi="宋体" w:eastAsia="宋体" w:cs="宋体"/>
          <w:b/>
          <w:bCs/>
          <w:snapToGrid w:val="0"/>
          <w:color w:val="auto"/>
          <w:sz w:val="30"/>
          <w:szCs w:val="30"/>
          <w:highlight w:val="none"/>
        </w:rPr>
        <w:t>三、区域环境质量现状、环境保护目标及评价标准</w:t>
      </w:r>
    </w:p>
    <w:tbl>
      <w:tblPr>
        <w:tblStyle w:val="16"/>
        <w:tblW w:w="88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7"/>
        <w:gridCol w:w="8387"/>
      </w:tblGrid>
      <w:tr w14:paraId="314D40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7" w:type="dxa"/>
            <w:vAlign w:val="center"/>
          </w:tcPr>
          <w:p w14:paraId="3CB0EA42">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区域</w:t>
            </w:r>
          </w:p>
          <w:p w14:paraId="6A17BF24">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环境</w:t>
            </w:r>
          </w:p>
          <w:p w14:paraId="2C0CA7C3">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质量</w:t>
            </w:r>
          </w:p>
          <w:p w14:paraId="7C8CBBF4">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color w:val="auto"/>
                <w:kern w:val="0"/>
                <w:szCs w:val="21"/>
                <w:highlight w:val="none"/>
              </w:rPr>
            </w:pPr>
            <w:r>
              <w:rPr>
                <w:rFonts w:hint="eastAsia" w:ascii="宋体" w:hAnsi="宋体" w:cs="宋体"/>
                <w:b/>
                <w:bCs/>
                <w:color w:val="auto"/>
                <w:kern w:val="0"/>
                <w:szCs w:val="21"/>
                <w:highlight w:val="none"/>
              </w:rPr>
              <w:t>现状</w:t>
            </w:r>
          </w:p>
        </w:tc>
        <w:tc>
          <w:tcPr>
            <w:tcW w:w="8387" w:type="dxa"/>
            <w:vAlign w:val="center"/>
          </w:tcPr>
          <w:p w14:paraId="3E1370DC">
            <w:pPr>
              <w:bidi w:val="0"/>
              <w:rPr>
                <w:rFonts w:hint="default"/>
                <w:b/>
                <w:bCs/>
                <w:color w:val="auto"/>
                <w:highlight w:val="none"/>
              </w:rPr>
            </w:pPr>
            <w:r>
              <w:rPr>
                <w:b/>
                <w:bCs/>
                <w:color w:val="auto"/>
                <w:highlight w:val="none"/>
              </w:rPr>
              <w:t>1环境空气质量</w:t>
            </w:r>
          </w:p>
          <w:p w14:paraId="0ADD6D16">
            <w:pPr>
              <w:bidi w:val="0"/>
              <w:rPr>
                <w:b/>
                <w:bCs/>
                <w:color w:val="auto"/>
                <w:highlight w:val="none"/>
              </w:rPr>
            </w:pPr>
            <w:r>
              <w:rPr>
                <w:rFonts w:hint="eastAsia"/>
                <w:b/>
                <w:bCs/>
                <w:color w:val="auto"/>
                <w:highlight w:val="none"/>
              </w:rPr>
              <w:t>（1）常规污染物</w:t>
            </w:r>
          </w:p>
          <w:p w14:paraId="3A97C922">
            <w:pPr>
              <w:spacing w:line="360" w:lineRule="auto"/>
              <w:ind w:firstLine="480" w:firstLineChars="20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本项目位于辽宁省朝阳市北票市</w:t>
            </w:r>
            <w:r>
              <w:rPr>
                <w:rFonts w:hint="eastAsia" w:ascii="Times New Roman" w:hAnsi="Times New Roman" w:eastAsia="宋体" w:cs="Times New Roman"/>
                <w:color w:val="auto"/>
                <w:highlight w:val="none"/>
                <w:lang w:eastAsia="zh-CN"/>
              </w:rPr>
              <w:t>建设路</w:t>
            </w:r>
            <w:r>
              <w:rPr>
                <w:rFonts w:hint="eastAsia" w:ascii="Times New Roman" w:hAnsi="Times New Roman" w:eastAsia="宋体" w:cs="Times New Roman"/>
                <w:color w:val="auto"/>
                <w:highlight w:val="none"/>
              </w:rPr>
              <w:t>，北票发电有限责任公司厂区内，执行《环境空气质量标准》（GB3095-2012）中二级标准及修改单</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根据朝阳市生态环境局官网公布的朝阳市生态环境局2025年3月26日发布的《2024年12月份空气质量状况简报》中相关数据，其结果见下表。</w:t>
            </w:r>
          </w:p>
          <w:p w14:paraId="785995F4">
            <w:pPr>
              <w:pStyle w:val="25"/>
              <w:bidi w:val="0"/>
              <w:rPr>
                <w:color w:val="auto"/>
                <w:highlight w:val="none"/>
                <w:lang w:val="en-US" w:eastAsia="zh-CN"/>
              </w:rPr>
            </w:pPr>
            <w:r>
              <w:rPr>
                <w:color w:val="auto"/>
                <w:highlight w:val="none"/>
                <w:lang w:val="en-US" w:eastAsia="zh-CN"/>
              </w:rPr>
              <w:t>区域空气质量现状评价表</w:t>
            </w:r>
          </w:p>
          <w:tbl>
            <w:tblPr>
              <w:tblStyle w:val="16"/>
              <w:tblW w:w="4995"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3"/>
              <w:gridCol w:w="908"/>
              <w:gridCol w:w="964"/>
              <w:gridCol w:w="944"/>
              <w:gridCol w:w="985"/>
              <w:gridCol w:w="1090"/>
              <w:gridCol w:w="993"/>
              <w:gridCol w:w="632"/>
              <w:gridCol w:w="814"/>
            </w:tblGrid>
            <w:tr w14:paraId="209CA9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10" w:type="pct"/>
                  <w:tcBorders>
                    <w:top w:val="single" w:color="auto" w:sz="12" w:space="0"/>
                  </w:tcBorders>
                  <w:vAlign w:val="center"/>
                </w:tcPr>
                <w:p w14:paraId="6DDE69CC">
                  <w:pPr>
                    <w:spacing w:line="240" w:lineRule="auto"/>
                    <w:ind w:firstLine="0" w:firstLineChars="0"/>
                    <w:jc w:val="center"/>
                    <w:rPr>
                      <w:rFonts w:hint="eastAsia" w:ascii="Times New Roman" w:hAnsi="Times New Roman" w:eastAsia="宋体" w:cs="Times New Roman"/>
                      <w:b/>
                      <w:bCs/>
                      <w:color w:val="auto"/>
                      <w:sz w:val="21"/>
                      <w:highlight w:val="none"/>
                    </w:rPr>
                  </w:pPr>
                  <w:r>
                    <w:rPr>
                      <w:rFonts w:hint="eastAsia" w:ascii="Times New Roman" w:hAnsi="Times New Roman" w:eastAsia="宋体" w:cs="Times New Roman"/>
                      <w:b/>
                      <w:bCs/>
                      <w:color w:val="auto"/>
                      <w:sz w:val="21"/>
                      <w:highlight w:val="none"/>
                    </w:rPr>
                    <w:t>名称</w:t>
                  </w:r>
                </w:p>
              </w:tc>
              <w:tc>
                <w:tcPr>
                  <w:tcW w:w="556" w:type="pct"/>
                  <w:tcBorders>
                    <w:top w:val="single" w:color="auto" w:sz="12" w:space="0"/>
                  </w:tcBorders>
                  <w:vAlign w:val="center"/>
                </w:tcPr>
                <w:p w14:paraId="0D588E26">
                  <w:pPr>
                    <w:spacing w:line="240" w:lineRule="auto"/>
                    <w:ind w:firstLine="0" w:firstLineChars="0"/>
                    <w:jc w:val="center"/>
                    <w:rPr>
                      <w:rFonts w:ascii="Times New Roman" w:hAnsi="Times New Roman" w:eastAsia="宋体" w:cs="Times New Roman"/>
                      <w:b/>
                      <w:bCs/>
                      <w:color w:val="auto"/>
                      <w:sz w:val="21"/>
                      <w:highlight w:val="none"/>
                    </w:rPr>
                  </w:pPr>
                  <w:r>
                    <w:rPr>
                      <w:rFonts w:hint="eastAsia" w:ascii="Times New Roman" w:hAnsi="Times New Roman" w:eastAsia="宋体" w:cs="Times New Roman"/>
                      <w:b/>
                      <w:bCs/>
                      <w:color w:val="auto"/>
                      <w:sz w:val="21"/>
                      <w:highlight w:val="none"/>
                    </w:rPr>
                    <w:t>PM</w:t>
                  </w:r>
                  <w:r>
                    <w:rPr>
                      <w:rFonts w:hint="eastAsia" w:ascii="Times New Roman" w:hAnsi="Times New Roman" w:eastAsia="宋体" w:cs="Times New Roman"/>
                      <w:b/>
                      <w:bCs/>
                      <w:color w:val="auto"/>
                      <w:sz w:val="21"/>
                      <w:highlight w:val="none"/>
                      <w:vertAlign w:val="subscript"/>
                    </w:rPr>
                    <w:t>2.5</w:t>
                  </w:r>
                  <w:r>
                    <w:rPr>
                      <w:rFonts w:hint="eastAsia" w:ascii="Times New Roman" w:hAnsi="Times New Roman" w:eastAsia="宋体" w:cs="Times New Roman"/>
                      <w:b/>
                      <w:bCs/>
                      <w:color w:val="auto"/>
                      <w:sz w:val="21"/>
                      <w:highlight w:val="none"/>
                    </w:rPr>
                    <w:t>浓度(µg/m</w:t>
                  </w:r>
                  <w:r>
                    <w:rPr>
                      <w:rFonts w:hint="eastAsia" w:ascii="Times New Roman" w:hAnsi="Times New Roman" w:eastAsia="宋体" w:cs="Times New Roman"/>
                      <w:b/>
                      <w:bCs/>
                      <w:color w:val="auto"/>
                      <w:sz w:val="21"/>
                      <w:highlight w:val="none"/>
                      <w:vertAlign w:val="superscript"/>
                    </w:rPr>
                    <w:t>3</w:t>
                  </w:r>
                  <w:r>
                    <w:rPr>
                      <w:rFonts w:hint="eastAsia" w:ascii="Times New Roman" w:hAnsi="Times New Roman" w:eastAsia="宋体" w:cs="Times New Roman"/>
                      <w:b/>
                      <w:bCs/>
                      <w:color w:val="auto"/>
                      <w:sz w:val="21"/>
                      <w:highlight w:val="none"/>
                    </w:rPr>
                    <w:t>)</w:t>
                  </w:r>
                </w:p>
              </w:tc>
              <w:tc>
                <w:tcPr>
                  <w:tcW w:w="590" w:type="pct"/>
                  <w:tcBorders>
                    <w:top w:val="single" w:color="auto" w:sz="12" w:space="0"/>
                  </w:tcBorders>
                  <w:vAlign w:val="center"/>
                </w:tcPr>
                <w:p w14:paraId="2BE80787">
                  <w:pPr>
                    <w:spacing w:line="240" w:lineRule="auto"/>
                    <w:ind w:firstLine="0" w:firstLineChars="0"/>
                    <w:jc w:val="center"/>
                    <w:rPr>
                      <w:rFonts w:ascii="Times New Roman" w:hAnsi="Times New Roman" w:eastAsia="宋体" w:cs="Times New Roman"/>
                      <w:b/>
                      <w:bCs/>
                      <w:color w:val="auto"/>
                      <w:sz w:val="21"/>
                      <w:highlight w:val="none"/>
                    </w:rPr>
                  </w:pPr>
                  <w:r>
                    <w:rPr>
                      <w:rFonts w:hint="eastAsia" w:ascii="Times New Roman" w:hAnsi="Times New Roman" w:eastAsia="宋体" w:cs="Times New Roman"/>
                      <w:b/>
                      <w:bCs/>
                      <w:color w:val="auto"/>
                      <w:sz w:val="21"/>
                      <w:highlight w:val="none"/>
                    </w:rPr>
                    <w:t>PM</w:t>
                  </w:r>
                  <w:r>
                    <w:rPr>
                      <w:rFonts w:hint="eastAsia" w:ascii="Times New Roman" w:hAnsi="Times New Roman" w:eastAsia="宋体" w:cs="Times New Roman"/>
                      <w:b/>
                      <w:bCs/>
                      <w:color w:val="auto"/>
                      <w:sz w:val="21"/>
                      <w:highlight w:val="none"/>
                      <w:vertAlign w:val="subscript"/>
                    </w:rPr>
                    <w:t>10</w:t>
                  </w:r>
                  <w:r>
                    <w:rPr>
                      <w:rFonts w:hint="eastAsia" w:ascii="Times New Roman" w:hAnsi="Times New Roman" w:eastAsia="宋体" w:cs="Times New Roman"/>
                      <w:b/>
                      <w:bCs/>
                      <w:color w:val="auto"/>
                      <w:sz w:val="21"/>
                      <w:highlight w:val="none"/>
                    </w:rPr>
                    <w:t>浓度(µg/m</w:t>
                  </w:r>
                  <w:r>
                    <w:rPr>
                      <w:rFonts w:hint="eastAsia" w:ascii="Times New Roman" w:hAnsi="Times New Roman" w:eastAsia="宋体" w:cs="Times New Roman"/>
                      <w:b/>
                      <w:bCs/>
                      <w:color w:val="auto"/>
                      <w:sz w:val="21"/>
                      <w:highlight w:val="none"/>
                      <w:vertAlign w:val="superscript"/>
                    </w:rPr>
                    <w:t>3</w:t>
                  </w:r>
                  <w:r>
                    <w:rPr>
                      <w:rFonts w:hint="eastAsia" w:ascii="Times New Roman" w:hAnsi="Times New Roman" w:eastAsia="宋体" w:cs="Times New Roman"/>
                      <w:b/>
                      <w:bCs/>
                      <w:color w:val="auto"/>
                      <w:sz w:val="21"/>
                      <w:highlight w:val="none"/>
                    </w:rPr>
                    <w:t>)</w:t>
                  </w:r>
                </w:p>
              </w:tc>
              <w:tc>
                <w:tcPr>
                  <w:tcW w:w="578" w:type="pct"/>
                  <w:tcBorders>
                    <w:top w:val="single" w:color="auto" w:sz="12" w:space="0"/>
                  </w:tcBorders>
                  <w:vAlign w:val="center"/>
                </w:tcPr>
                <w:p w14:paraId="1E92CF17">
                  <w:pPr>
                    <w:spacing w:line="240" w:lineRule="auto"/>
                    <w:ind w:firstLine="0" w:firstLineChars="0"/>
                    <w:jc w:val="center"/>
                    <w:rPr>
                      <w:rFonts w:ascii="Times New Roman" w:hAnsi="Times New Roman" w:eastAsia="宋体" w:cs="Times New Roman"/>
                      <w:b/>
                      <w:bCs/>
                      <w:color w:val="auto"/>
                      <w:sz w:val="21"/>
                      <w:highlight w:val="none"/>
                    </w:rPr>
                  </w:pPr>
                  <w:r>
                    <w:rPr>
                      <w:rFonts w:hint="eastAsia" w:ascii="Times New Roman" w:hAnsi="Times New Roman" w:eastAsia="宋体" w:cs="Times New Roman"/>
                      <w:b/>
                      <w:bCs/>
                      <w:color w:val="auto"/>
                      <w:sz w:val="21"/>
                      <w:highlight w:val="none"/>
                    </w:rPr>
                    <w:t>SO</w:t>
                  </w:r>
                  <w:r>
                    <w:rPr>
                      <w:rFonts w:hint="eastAsia" w:ascii="Times New Roman" w:hAnsi="Times New Roman" w:eastAsia="宋体" w:cs="Times New Roman"/>
                      <w:b/>
                      <w:bCs/>
                      <w:color w:val="auto"/>
                      <w:sz w:val="21"/>
                      <w:highlight w:val="none"/>
                      <w:vertAlign w:val="subscript"/>
                    </w:rPr>
                    <w:t>2</w:t>
                  </w:r>
                  <w:r>
                    <w:rPr>
                      <w:rFonts w:hint="eastAsia" w:ascii="Times New Roman" w:hAnsi="Times New Roman" w:eastAsia="宋体" w:cs="Times New Roman"/>
                      <w:b/>
                      <w:bCs/>
                      <w:color w:val="auto"/>
                      <w:sz w:val="21"/>
                      <w:highlight w:val="none"/>
                    </w:rPr>
                    <w:t>浓度(µg/m</w:t>
                  </w:r>
                  <w:r>
                    <w:rPr>
                      <w:rFonts w:hint="eastAsia" w:ascii="Times New Roman" w:hAnsi="Times New Roman" w:eastAsia="宋体" w:cs="Times New Roman"/>
                      <w:b/>
                      <w:bCs/>
                      <w:color w:val="auto"/>
                      <w:sz w:val="21"/>
                      <w:highlight w:val="none"/>
                      <w:vertAlign w:val="superscript"/>
                    </w:rPr>
                    <w:t>3</w:t>
                  </w:r>
                  <w:r>
                    <w:rPr>
                      <w:rFonts w:hint="eastAsia" w:ascii="Times New Roman" w:hAnsi="Times New Roman" w:eastAsia="宋体" w:cs="Times New Roman"/>
                      <w:b/>
                      <w:bCs/>
                      <w:color w:val="auto"/>
                      <w:sz w:val="21"/>
                      <w:highlight w:val="none"/>
                    </w:rPr>
                    <w:t>)</w:t>
                  </w:r>
                </w:p>
              </w:tc>
              <w:tc>
                <w:tcPr>
                  <w:tcW w:w="603" w:type="pct"/>
                  <w:tcBorders>
                    <w:top w:val="single" w:color="auto" w:sz="12" w:space="0"/>
                  </w:tcBorders>
                  <w:vAlign w:val="center"/>
                </w:tcPr>
                <w:p w14:paraId="1D57DDD7">
                  <w:pPr>
                    <w:spacing w:line="240" w:lineRule="auto"/>
                    <w:ind w:firstLine="0" w:firstLineChars="0"/>
                    <w:jc w:val="center"/>
                    <w:rPr>
                      <w:rFonts w:ascii="Times New Roman" w:hAnsi="Times New Roman" w:eastAsia="宋体" w:cs="Times New Roman"/>
                      <w:b/>
                      <w:bCs/>
                      <w:color w:val="auto"/>
                      <w:sz w:val="21"/>
                      <w:highlight w:val="none"/>
                    </w:rPr>
                  </w:pPr>
                  <w:r>
                    <w:rPr>
                      <w:rFonts w:hint="eastAsia" w:ascii="Times New Roman" w:hAnsi="Times New Roman" w:eastAsia="宋体" w:cs="Times New Roman"/>
                      <w:b/>
                      <w:bCs/>
                      <w:color w:val="auto"/>
                      <w:sz w:val="21"/>
                      <w:highlight w:val="none"/>
                    </w:rPr>
                    <w:t>NO</w:t>
                  </w:r>
                  <w:r>
                    <w:rPr>
                      <w:rFonts w:hint="eastAsia" w:ascii="Times New Roman" w:hAnsi="Times New Roman" w:eastAsia="宋体" w:cs="Times New Roman"/>
                      <w:b/>
                      <w:bCs/>
                      <w:color w:val="auto"/>
                      <w:sz w:val="21"/>
                      <w:highlight w:val="none"/>
                      <w:vertAlign w:val="subscript"/>
                    </w:rPr>
                    <w:t>2</w:t>
                  </w:r>
                  <w:r>
                    <w:rPr>
                      <w:rFonts w:hint="eastAsia" w:ascii="Times New Roman" w:hAnsi="Times New Roman" w:eastAsia="宋体" w:cs="Times New Roman"/>
                      <w:b/>
                      <w:bCs/>
                      <w:color w:val="auto"/>
                      <w:sz w:val="21"/>
                      <w:highlight w:val="none"/>
                    </w:rPr>
                    <w:t>浓度(µg/m</w:t>
                  </w:r>
                  <w:r>
                    <w:rPr>
                      <w:rFonts w:hint="eastAsia" w:ascii="Times New Roman" w:hAnsi="Times New Roman" w:eastAsia="宋体" w:cs="Times New Roman"/>
                      <w:b/>
                      <w:bCs/>
                      <w:color w:val="auto"/>
                      <w:sz w:val="21"/>
                      <w:highlight w:val="none"/>
                      <w:vertAlign w:val="superscript"/>
                    </w:rPr>
                    <w:t>3</w:t>
                  </w:r>
                  <w:r>
                    <w:rPr>
                      <w:rFonts w:hint="eastAsia" w:ascii="Times New Roman" w:hAnsi="Times New Roman" w:eastAsia="宋体" w:cs="Times New Roman"/>
                      <w:b/>
                      <w:bCs/>
                      <w:color w:val="auto"/>
                      <w:sz w:val="21"/>
                      <w:highlight w:val="none"/>
                    </w:rPr>
                    <w:t>)</w:t>
                  </w:r>
                </w:p>
              </w:tc>
              <w:tc>
                <w:tcPr>
                  <w:tcW w:w="667" w:type="pct"/>
                  <w:tcBorders>
                    <w:top w:val="single" w:color="auto" w:sz="12" w:space="0"/>
                  </w:tcBorders>
                  <w:vAlign w:val="center"/>
                </w:tcPr>
                <w:p w14:paraId="5D744DE7">
                  <w:pPr>
                    <w:spacing w:line="240" w:lineRule="auto"/>
                    <w:ind w:firstLine="0" w:firstLineChars="0"/>
                    <w:jc w:val="center"/>
                    <w:rPr>
                      <w:rFonts w:ascii="Times New Roman" w:hAnsi="Times New Roman" w:eastAsia="宋体" w:cs="Times New Roman"/>
                      <w:b/>
                      <w:bCs/>
                      <w:color w:val="auto"/>
                      <w:sz w:val="21"/>
                      <w:highlight w:val="none"/>
                    </w:rPr>
                  </w:pPr>
                  <w:r>
                    <w:rPr>
                      <w:rFonts w:hint="eastAsia" w:ascii="Times New Roman" w:hAnsi="Times New Roman" w:eastAsia="宋体" w:cs="Times New Roman"/>
                      <w:b/>
                      <w:bCs/>
                      <w:color w:val="auto"/>
                      <w:sz w:val="21"/>
                      <w:highlight w:val="none"/>
                    </w:rPr>
                    <w:t>O</w:t>
                  </w:r>
                  <w:r>
                    <w:rPr>
                      <w:rFonts w:hint="eastAsia" w:ascii="Times New Roman" w:hAnsi="Times New Roman" w:eastAsia="宋体" w:cs="Times New Roman"/>
                      <w:b/>
                      <w:bCs/>
                      <w:color w:val="auto"/>
                      <w:sz w:val="21"/>
                      <w:highlight w:val="none"/>
                      <w:vertAlign w:val="subscript"/>
                    </w:rPr>
                    <w:t>3</w:t>
                  </w:r>
                  <w:r>
                    <w:rPr>
                      <w:rFonts w:hint="eastAsia" w:ascii="Times New Roman" w:hAnsi="Times New Roman" w:eastAsia="宋体" w:cs="Times New Roman"/>
                      <w:b/>
                      <w:bCs/>
                      <w:color w:val="auto"/>
                      <w:sz w:val="21"/>
                      <w:highlight w:val="none"/>
                    </w:rPr>
                    <w:t>八小时百分位浓度(µg/m</w:t>
                  </w:r>
                  <w:r>
                    <w:rPr>
                      <w:rFonts w:hint="eastAsia" w:ascii="Times New Roman" w:hAnsi="Times New Roman" w:eastAsia="宋体" w:cs="Times New Roman"/>
                      <w:b/>
                      <w:bCs/>
                      <w:color w:val="auto"/>
                      <w:sz w:val="21"/>
                      <w:highlight w:val="none"/>
                      <w:vertAlign w:val="superscript"/>
                    </w:rPr>
                    <w:t>3</w:t>
                  </w:r>
                  <w:r>
                    <w:rPr>
                      <w:rFonts w:hint="eastAsia" w:ascii="Times New Roman" w:hAnsi="Times New Roman" w:eastAsia="宋体" w:cs="Times New Roman"/>
                      <w:b/>
                      <w:bCs/>
                      <w:color w:val="auto"/>
                      <w:sz w:val="21"/>
                      <w:highlight w:val="none"/>
                    </w:rPr>
                    <w:t>)</w:t>
                  </w:r>
                </w:p>
              </w:tc>
              <w:tc>
                <w:tcPr>
                  <w:tcW w:w="608" w:type="pct"/>
                  <w:tcBorders>
                    <w:top w:val="single" w:color="auto" w:sz="12" w:space="0"/>
                  </w:tcBorders>
                  <w:vAlign w:val="center"/>
                </w:tcPr>
                <w:p w14:paraId="13B5CFAD">
                  <w:pPr>
                    <w:spacing w:line="240" w:lineRule="auto"/>
                    <w:ind w:firstLine="0" w:firstLineChars="0"/>
                    <w:jc w:val="center"/>
                    <w:rPr>
                      <w:rFonts w:ascii="Times New Roman" w:hAnsi="Times New Roman" w:eastAsia="宋体" w:cs="Times New Roman"/>
                      <w:b/>
                      <w:bCs/>
                      <w:color w:val="auto"/>
                      <w:sz w:val="21"/>
                      <w:highlight w:val="none"/>
                    </w:rPr>
                  </w:pPr>
                  <w:r>
                    <w:rPr>
                      <w:rFonts w:hint="eastAsia" w:ascii="Times New Roman" w:hAnsi="Times New Roman" w:eastAsia="宋体" w:cs="Times New Roman"/>
                      <w:b/>
                      <w:bCs/>
                      <w:color w:val="auto"/>
                      <w:sz w:val="21"/>
                      <w:highlight w:val="none"/>
                    </w:rPr>
                    <w:t>CO百分位浓度(mg/m</w:t>
                  </w:r>
                  <w:r>
                    <w:rPr>
                      <w:rFonts w:hint="eastAsia" w:ascii="Times New Roman" w:hAnsi="Times New Roman" w:eastAsia="宋体" w:cs="Times New Roman"/>
                      <w:b/>
                      <w:bCs/>
                      <w:color w:val="auto"/>
                      <w:sz w:val="21"/>
                      <w:highlight w:val="none"/>
                      <w:vertAlign w:val="superscript"/>
                    </w:rPr>
                    <w:t>3</w:t>
                  </w:r>
                  <w:r>
                    <w:rPr>
                      <w:rFonts w:hint="eastAsia" w:ascii="Times New Roman" w:hAnsi="Times New Roman" w:eastAsia="宋体" w:cs="Times New Roman"/>
                      <w:b/>
                      <w:bCs/>
                      <w:color w:val="auto"/>
                      <w:sz w:val="21"/>
                      <w:highlight w:val="none"/>
                    </w:rPr>
                    <w:t>)</w:t>
                  </w:r>
                </w:p>
              </w:tc>
              <w:tc>
                <w:tcPr>
                  <w:tcW w:w="387" w:type="pct"/>
                  <w:tcBorders>
                    <w:top w:val="single" w:color="auto" w:sz="12" w:space="0"/>
                  </w:tcBorders>
                  <w:vAlign w:val="center"/>
                </w:tcPr>
                <w:p w14:paraId="77AF0B70">
                  <w:pPr>
                    <w:spacing w:line="240" w:lineRule="auto"/>
                    <w:ind w:firstLine="0" w:firstLineChars="0"/>
                    <w:jc w:val="center"/>
                    <w:rPr>
                      <w:rFonts w:hint="eastAsia" w:ascii="Times New Roman" w:hAnsi="Times New Roman" w:eastAsia="宋体" w:cs="Times New Roman"/>
                      <w:b/>
                      <w:bCs/>
                      <w:color w:val="auto"/>
                      <w:sz w:val="21"/>
                      <w:highlight w:val="none"/>
                    </w:rPr>
                  </w:pPr>
                  <w:r>
                    <w:rPr>
                      <w:rFonts w:hint="eastAsia" w:ascii="Times New Roman" w:hAnsi="Times New Roman" w:eastAsia="宋体" w:cs="Times New Roman"/>
                      <w:b/>
                      <w:bCs/>
                      <w:color w:val="auto"/>
                      <w:sz w:val="21"/>
                      <w:highlight w:val="none"/>
                    </w:rPr>
                    <w:t>优良天数</w:t>
                  </w:r>
                </w:p>
              </w:tc>
              <w:tc>
                <w:tcPr>
                  <w:tcW w:w="498" w:type="pct"/>
                  <w:tcBorders>
                    <w:top w:val="single" w:color="auto" w:sz="12" w:space="0"/>
                  </w:tcBorders>
                  <w:vAlign w:val="center"/>
                </w:tcPr>
                <w:p w14:paraId="5824F52F">
                  <w:pPr>
                    <w:spacing w:line="240" w:lineRule="auto"/>
                    <w:ind w:firstLine="0" w:firstLineChars="0"/>
                    <w:jc w:val="center"/>
                    <w:rPr>
                      <w:rFonts w:ascii="Times New Roman" w:hAnsi="Times New Roman" w:eastAsia="宋体" w:cs="Times New Roman"/>
                      <w:b/>
                      <w:bCs/>
                      <w:color w:val="auto"/>
                      <w:sz w:val="21"/>
                      <w:highlight w:val="none"/>
                    </w:rPr>
                  </w:pPr>
                  <w:r>
                    <w:rPr>
                      <w:rFonts w:hint="eastAsia" w:ascii="Times New Roman" w:hAnsi="Times New Roman" w:eastAsia="宋体" w:cs="Times New Roman"/>
                      <w:b/>
                      <w:bCs/>
                      <w:color w:val="auto"/>
                      <w:sz w:val="21"/>
                      <w:highlight w:val="none"/>
                    </w:rPr>
                    <w:t>优良天数比例</w:t>
                  </w:r>
                </w:p>
              </w:tc>
            </w:tr>
            <w:tr w14:paraId="06C73D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10" w:type="pct"/>
                  <w:vAlign w:val="center"/>
                </w:tcPr>
                <w:p w14:paraId="6501B7B8">
                  <w:pPr>
                    <w:spacing w:line="240" w:lineRule="auto"/>
                    <w:ind w:firstLine="0" w:firstLineChars="0"/>
                    <w:jc w:val="center"/>
                    <w:rPr>
                      <w:rFonts w:ascii="Times New Roman" w:hAnsi="Times New Roman" w:eastAsia="宋体" w:cs="Times New Roman"/>
                      <w:b/>
                      <w:bCs/>
                      <w:color w:val="auto"/>
                      <w:sz w:val="21"/>
                      <w:highlight w:val="none"/>
                    </w:rPr>
                  </w:pPr>
                  <w:r>
                    <w:rPr>
                      <w:rFonts w:hint="eastAsia" w:ascii="Times New Roman" w:hAnsi="Times New Roman" w:eastAsia="宋体" w:cs="Times New Roman"/>
                      <w:b/>
                      <w:bCs/>
                      <w:color w:val="auto"/>
                      <w:sz w:val="21"/>
                      <w:highlight w:val="none"/>
                    </w:rPr>
                    <w:t>2024年1-12月</w:t>
                  </w:r>
                </w:p>
              </w:tc>
              <w:tc>
                <w:tcPr>
                  <w:tcW w:w="556" w:type="pct"/>
                  <w:vAlign w:val="center"/>
                </w:tcPr>
                <w:p w14:paraId="32D67AF7">
                  <w:pPr>
                    <w:spacing w:line="240" w:lineRule="auto"/>
                    <w:ind w:firstLine="0" w:firstLineChars="0"/>
                    <w:jc w:val="center"/>
                    <w:rPr>
                      <w:rFonts w:ascii="Times New Roman" w:hAnsi="Times New Roman" w:eastAsia="宋体" w:cs="Times New Roman"/>
                      <w:color w:val="auto"/>
                      <w:sz w:val="21"/>
                      <w:highlight w:val="none"/>
                    </w:rPr>
                  </w:pPr>
                  <w:r>
                    <w:rPr>
                      <w:rFonts w:hint="eastAsia" w:ascii="Times New Roman" w:hAnsi="Times New Roman" w:eastAsia="宋体" w:cs="Times New Roman"/>
                      <w:color w:val="auto"/>
                      <w:sz w:val="21"/>
                      <w:highlight w:val="none"/>
                    </w:rPr>
                    <w:t>28</w:t>
                  </w:r>
                </w:p>
              </w:tc>
              <w:tc>
                <w:tcPr>
                  <w:tcW w:w="590" w:type="pct"/>
                  <w:vAlign w:val="center"/>
                </w:tcPr>
                <w:p w14:paraId="00317B49">
                  <w:pPr>
                    <w:spacing w:line="240" w:lineRule="auto"/>
                    <w:ind w:firstLine="0" w:firstLineChars="0"/>
                    <w:jc w:val="center"/>
                    <w:rPr>
                      <w:rFonts w:ascii="Times New Roman" w:hAnsi="Times New Roman" w:eastAsia="宋体" w:cs="Times New Roman"/>
                      <w:color w:val="auto"/>
                      <w:sz w:val="21"/>
                      <w:highlight w:val="none"/>
                    </w:rPr>
                  </w:pPr>
                  <w:r>
                    <w:rPr>
                      <w:rFonts w:hint="eastAsia" w:ascii="Times New Roman" w:hAnsi="Times New Roman" w:eastAsia="宋体" w:cs="Times New Roman"/>
                      <w:color w:val="auto"/>
                      <w:sz w:val="21"/>
                      <w:highlight w:val="none"/>
                    </w:rPr>
                    <w:t>50</w:t>
                  </w:r>
                </w:p>
              </w:tc>
              <w:tc>
                <w:tcPr>
                  <w:tcW w:w="578" w:type="pct"/>
                  <w:vAlign w:val="center"/>
                </w:tcPr>
                <w:p w14:paraId="39571872">
                  <w:pPr>
                    <w:spacing w:line="240" w:lineRule="auto"/>
                    <w:ind w:firstLine="0" w:firstLineChars="0"/>
                    <w:jc w:val="center"/>
                    <w:rPr>
                      <w:rFonts w:ascii="Times New Roman" w:hAnsi="Times New Roman" w:eastAsia="宋体" w:cs="Times New Roman"/>
                      <w:color w:val="auto"/>
                      <w:sz w:val="21"/>
                      <w:highlight w:val="none"/>
                    </w:rPr>
                  </w:pPr>
                  <w:r>
                    <w:rPr>
                      <w:rFonts w:hint="eastAsia" w:ascii="Times New Roman" w:hAnsi="Times New Roman" w:eastAsia="宋体" w:cs="Times New Roman"/>
                      <w:color w:val="auto"/>
                      <w:sz w:val="21"/>
                      <w:highlight w:val="none"/>
                    </w:rPr>
                    <w:t>11</w:t>
                  </w:r>
                </w:p>
              </w:tc>
              <w:tc>
                <w:tcPr>
                  <w:tcW w:w="603" w:type="pct"/>
                  <w:vAlign w:val="center"/>
                </w:tcPr>
                <w:p w14:paraId="36272A27">
                  <w:pPr>
                    <w:spacing w:line="240" w:lineRule="auto"/>
                    <w:ind w:firstLine="0" w:firstLineChars="0"/>
                    <w:jc w:val="center"/>
                    <w:rPr>
                      <w:rFonts w:ascii="Times New Roman" w:hAnsi="Times New Roman" w:eastAsia="宋体" w:cs="Times New Roman"/>
                      <w:color w:val="auto"/>
                      <w:sz w:val="21"/>
                      <w:highlight w:val="none"/>
                    </w:rPr>
                  </w:pPr>
                  <w:r>
                    <w:rPr>
                      <w:rFonts w:hint="eastAsia" w:ascii="Times New Roman" w:hAnsi="Times New Roman" w:eastAsia="宋体" w:cs="Times New Roman"/>
                      <w:color w:val="auto"/>
                      <w:sz w:val="21"/>
                      <w:highlight w:val="none"/>
                    </w:rPr>
                    <w:t>19</w:t>
                  </w:r>
                </w:p>
              </w:tc>
              <w:tc>
                <w:tcPr>
                  <w:tcW w:w="667" w:type="pct"/>
                  <w:vAlign w:val="center"/>
                </w:tcPr>
                <w:p w14:paraId="767E285D">
                  <w:pPr>
                    <w:spacing w:line="240" w:lineRule="auto"/>
                    <w:ind w:firstLine="0" w:firstLineChars="0"/>
                    <w:jc w:val="center"/>
                    <w:rPr>
                      <w:rFonts w:ascii="Times New Roman" w:hAnsi="Times New Roman" w:eastAsia="宋体" w:cs="Times New Roman"/>
                      <w:color w:val="auto"/>
                      <w:sz w:val="21"/>
                      <w:highlight w:val="none"/>
                    </w:rPr>
                  </w:pPr>
                  <w:r>
                    <w:rPr>
                      <w:rFonts w:hint="eastAsia" w:ascii="Times New Roman" w:hAnsi="Times New Roman" w:eastAsia="宋体" w:cs="Times New Roman"/>
                      <w:color w:val="auto"/>
                      <w:sz w:val="21"/>
                      <w:highlight w:val="none"/>
                    </w:rPr>
                    <w:t>146</w:t>
                  </w:r>
                </w:p>
              </w:tc>
              <w:tc>
                <w:tcPr>
                  <w:tcW w:w="608" w:type="pct"/>
                  <w:vAlign w:val="center"/>
                </w:tcPr>
                <w:p w14:paraId="78F11C88">
                  <w:pPr>
                    <w:spacing w:line="240" w:lineRule="auto"/>
                    <w:ind w:firstLine="0" w:firstLineChars="0"/>
                    <w:jc w:val="center"/>
                    <w:rPr>
                      <w:rFonts w:ascii="Times New Roman" w:hAnsi="Times New Roman" w:eastAsia="宋体" w:cs="Times New Roman"/>
                      <w:color w:val="auto"/>
                      <w:sz w:val="21"/>
                      <w:highlight w:val="none"/>
                    </w:rPr>
                  </w:pPr>
                  <w:r>
                    <w:rPr>
                      <w:rFonts w:hint="eastAsia" w:ascii="Times New Roman" w:hAnsi="Times New Roman" w:eastAsia="宋体" w:cs="Times New Roman"/>
                      <w:color w:val="auto"/>
                      <w:sz w:val="21"/>
                      <w:highlight w:val="none"/>
                    </w:rPr>
                    <w:t>1.4</w:t>
                  </w:r>
                </w:p>
              </w:tc>
              <w:tc>
                <w:tcPr>
                  <w:tcW w:w="387" w:type="pct"/>
                  <w:vAlign w:val="center"/>
                </w:tcPr>
                <w:p w14:paraId="06E84114">
                  <w:pPr>
                    <w:spacing w:line="240" w:lineRule="auto"/>
                    <w:ind w:firstLine="0" w:firstLineChars="0"/>
                    <w:jc w:val="center"/>
                    <w:rPr>
                      <w:rFonts w:ascii="Times New Roman" w:hAnsi="Times New Roman" w:eastAsia="宋体" w:cs="Times New Roman"/>
                      <w:color w:val="auto"/>
                      <w:sz w:val="21"/>
                      <w:highlight w:val="none"/>
                    </w:rPr>
                  </w:pPr>
                  <w:r>
                    <w:rPr>
                      <w:rFonts w:hint="eastAsia" w:ascii="Times New Roman" w:hAnsi="Times New Roman" w:eastAsia="宋体" w:cs="Times New Roman"/>
                      <w:color w:val="auto"/>
                      <w:sz w:val="21"/>
                      <w:highlight w:val="none"/>
                    </w:rPr>
                    <w:t>331</w:t>
                  </w:r>
                </w:p>
              </w:tc>
              <w:tc>
                <w:tcPr>
                  <w:tcW w:w="498" w:type="pct"/>
                  <w:vAlign w:val="center"/>
                </w:tcPr>
                <w:p w14:paraId="06AC94C7">
                  <w:pPr>
                    <w:spacing w:line="240" w:lineRule="auto"/>
                    <w:ind w:firstLine="0" w:firstLineChars="0"/>
                    <w:jc w:val="center"/>
                    <w:rPr>
                      <w:rFonts w:ascii="Times New Roman" w:hAnsi="Times New Roman" w:eastAsia="宋体" w:cs="Times New Roman"/>
                      <w:color w:val="auto"/>
                      <w:sz w:val="21"/>
                      <w:highlight w:val="none"/>
                    </w:rPr>
                  </w:pPr>
                  <w:r>
                    <w:rPr>
                      <w:rFonts w:hint="eastAsia" w:ascii="Times New Roman" w:hAnsi="Times New Roman" w:eastAsia="宋体" w:cs="Times New Roman"/>
                      <w:color w:val="auto"/>
                      <w:sz w:val="21"/>
                      <w:highlight w:val="none"/>
                    </w:rPr>
                    <w:t>90.4%</w:t>
                  </w:r>
                </w:p>
              </w:tc>
            </w:tr>
            <w:tr w14:paraId="3C20C1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10" w:type="pct"/>
                  <w:vAlign w:val="center"/>
                </w:tcPr>
                <w:p w14:paraId="63B78450">
                  <w:pPr>
                    <w:spacing w:line="240" w:lineRule="auto"/>
                    <w:ind w:firstLine="0" w:firstLineChars="0"/>
                    <w:jc w:val="center"/>
                    <w:rPr>
                      <w:rFonts w:hint="eastAsia" w:ascii="Times New Roman" w:hAnsi="Times New Roman" w:eastAsia="宋体" w:cs="Times New Roman"/>
                      <w:b/>
                      <w:bCs/>
                      <w:color w:val="auto"/>
                      <w:sz w:val="21"/>
                      <w:highlight w:val="none"/>
                      <w:lang w:eastAsia="zh-CN"/>
                    </w:rPr>
                  </w:pPr>
                  <w:r>
                    <w:rPr>
                      <w:rFonts w:hint="eastAsia" w:cs="Times New Roman"/>
                      <w:b/>
                      <w:bCs/>
                      <w:color w:val="auto"/>
                      <w:sz w:val="21"/>
                      <w:highlight w:val="none"/>
                      <w:lang w:eastAsia="zh-CN"/>
                    </w:rPr>
                    <w:t>标准值</w:t>
                  </w:r>
                </w:p>
              </w:tc>
              <w:tc>
                <w:tcPr>
                  <w:tcW w:w="556" w:type="pct"/>
                  <w:vAlign w:val="center"/>
                </w:tcPr>
                <w:p w14:paraId="047E5829">
                  <w:pPr>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35</w:t>
                  </w:r>
                </w:p>
              </w:tc>
              <w:tc>
                <w:tcPr>
                  <w:tcW w:w="590" w:type="pct"/>
                  <w:vAlign w:val="center"/>
                </w:tcPr>
                <w:p w14:paraId="29F62C00">
                  <w:pPr>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70</w:t>
                  </w:r>
                </w:p>
              </w:tc>
              <w:tc>
                <w:tcPr>
                  <w:tcW w:w="578" w:type="pct"/>
                  <w:vAlign w:val="center"/>
                </w:tcPr>
                <w:p w14:paraId="04F5EF03">
                  <w:pPr>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60</w:t>
                  </w:r>
                </w:p>
              </w:tc>
              <w:tc>
                <w:tcPr>
                  <w:tcW w:w="603" w:type="pct"/>
                  <w:vAlign w:val="center"/>
                </w:tcPr>
                <w:p w14:paraId="4417655E">
                  <w:pPr>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40</w:t>
                  </w:r>
                </w:p>
              </w:tc>
              <w:tc>
                <w:tcPr>
                  <w:tcW w:w="667" w:type="pct"/>
                  <w:vAlign w:val="center"/>
                </w:tcPr>
                <w:p w14:paraId="2996D521">
                  <w:pPr>
                    <w:spacing w:line="240" w:lineRule="auto"/>
                    <w:ind w:firstLine="0" w:firstLineChars="0"/>
                    <w:jc w:val="center"/>
                    <w:rPr>
                      <w:rFonts w:hint="default"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160</w:t>
                  </w:r>
                </w:p>
              </w:tc>
              <w:tc>
                <w:tcPr>
                  <w:tcW w:w="608" w:type="pct"/>
                  <w:vAlign w:val="center"/>
                </w:tcPr>
                <w:p w14:paraId="112A06A1">
                  <w:pPr>
                    <w:spacing w:line="240" w:lineRule="auto"/>
                    <w:ind w:firstLine="0" w:firstLineChars="0"/>
                    <w:jc w:val="center"/>
                    <w:rPr>
                      <w:rFonts w:hint="eastAsia"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4</w:t>
                  </w:r>
                </w:p>
              </w:tc>
              <w:tc>
                <w:tcPr>
                  <w:tcW w:w="387" w:type="pct"/>
                  <w:vAlign w:val="center"/>
                </w:tcPr>
                <w:p w14:paraId="3CB8758F">
                  <w:pPr>
                    <w:spacing w:line="240" w:lineRule="auto"/>
                    <w:ind w:firstLine="0" w:firstLineChars="0"/>
                    <w:jc w:val="center"/>
                    <w:rPr>
                      <w:rFonts w:hint="eastAsia"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w:t>
                  </w:r>
                </w:p>
              </w:tc>
              <w:tc>
                <w:tcPr>
                  <w:tcW w:w="498" w:type="pct"/>
                  <w:vAlign w:val="center"/>
                </w:tcPr>
                <w:p w14:paraId="1947434C">
                  <w:pPr>
                    <w:spacing w:line="240" w:lineRule="auto"/>
                    <w:ind w:firstLine="0" w:firstLineChars="0"/>
                    <w:jc w:val="center"/>
                    <w:rPr>
                      <w:rFonts w:hint="eastAsia"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w:t>
                  </w:r>
                </w:p>
              </w:tc>
            </w:tr>
            <w:tr w14:paraId="4AA285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10" w:type="pct"/>
                  <w:vAlign w:val="center"/>
                </w:tcPr>
                <w:p w14:paraId="22EE0E4C">
                  <w:pPr>
                    <w:spacing w:line="240" w:lineRule="auto"/>
                    <w:ind w:firstLine="0" w:firstLineChars="0"/>
                    <w:jc w:val="center"/>
                    <w:rPr>
                      <w:rFonts w:hint="eastAsia" w:cs="Times New Roman"/>
                      <w:b/>
                      <w:bCs/>
                      <w:color w:val="auto"/>
                      <w:sz w:val="21"/>
                      <w:highlight w:val="none"/>
                      <w:lang w:eastAsia="zh-CN"/>
                    </w:rPr>
                  </w:pPr>
                  <w:r>
                    <w:rPr>
                      <w:rFonts w:hint="eastAsia" w:cs="Times New Roman"/>
                      <w:b/>
                      <w:bCs/>
                      <w:color w:val="auto"/>
                      <w:sz w:val="21"/>
                      <w:highlight w:val="none"/>
                      <w:lang w:eastAsia="zh-CN"/>
                    </w:rPr>
                    <w:t>占标率</w:t>
                  </w:r>
                </w:p>
              </w:tc>
              <w:tc>
                <w:tcPr>
                  <w:tcW w:w="556" w:type="pct"/>
                  <w:vAlign w:val="center"/>
                </w:tcPr>
                <w:p w14:paraId="2F478C1B">
                  <w:pPr>
                    <w:spacing w:line="240" w:lineRule="auto"/>
                    <w:ind w:firstLine="0" w:firstLineChars="0"/>
                    <w:jc w:val="center"/>
                    <w:rPr>
                      <w:rFonts w:hint="default" w:cs="Times New Roman"/>
                      <w:color w:val="auto"/>
                      <w:sz w:val="21"/>
                      <w:highlight w:val="none"/>
                      <w:lang w:val="en-US" w:eastAsia="zh-CN"/>
                    </w:rPr>
                  </w:pPr>
                  <w:r>
                    <w:rPr>
                      <w:rFonts w:hint="eastAsia" w:cs="Times New Roman"/>
                      <w:color w:val="auto"/>
                      <w:sz w:val="21"/>
                      <w:highlight w:val="none"/>
                      <w:lang w:val="en-US" w:eastAsia="zh-CN"/>
                    </w:rPr>
                    <w:t>80%</w:t>
                  </w:r>
                </w:p>
              </w:tc>
              <w:tc>
                <w:tcPr>
                  <w:tcW w:w="590" w:type="pct"/>
                  <w:vAlign w:val="center"/>
                </w:tcPr>
                <w:p w14:paraId="3B95ACDA">
                  <w:pPr>
                    <w:spacing w:line="240" w:lineRule="auto"/>
                    <w:ind w:firstLine="0" w:firstLineChars="0"/>
                    <w:jc w:val="center"/>
                    <w:rPr>
                      <w:rFonts w:hint="default" w:cs="Times New Roman"/>
                      <w:color w:val="auto"/>
                      <w:sz w:val="21"/>
                      <w:highlight w:val="none"/>
                      <w:lang w:val="en-US" w:eastAsia="zh-CN"/>
                    </w:rPr>
                  </w:pPr>
                  <w:r>
                    <w:rPr>
                      <w:rFonts w:hint="eastAsia" w:cs="Times New Roman"/>
                      <w:color w:val="auto"/>
                      <w:sz w:val="21"/>
                      <w:highlight w:val="none"/>
                      <w:lang w:val="en-US" w:eastAsia="zh-CN"/>
                    </w:rPr>
                    <w:t>71.4%</w:t>
                  </w:r>
                </w:p>
              </w:tc>
              <w:tc>
                <w:tcPr>
                  <w:tcW w:w="578" w:type="pct"/>
                  <w:vAlign w:val="center"/>
                </w:tcPr>
                <w:p w14:paraId="0E836541">
                  <w:pPr>
                    <w:spacing w:line="240" w:lineRule="auto"/>
                    <w:ind w:firstLine="0" w:firstLineChars="0"/>
                    <w:jc w:val="center"/>
                    <w:rPr>
                      <w:rFonts w:hint="default" w:cs="Times New Roman"/>
                      <w:color w:val="auto"/>
                      <w:sz w:val="21"/>
                      <w:highlight w:val="none"/>
                      <w:lang w:val="en-US" w:eastAsia="zh-CN"/>
                    </w:rPr>
                  </w:pPr>
                  <w:r>
                    <w:rPr>
                      <w:rFonts w:hint="eastAsia" w:cs="Times New Roman"/>
                      <w:color w:val="auto"/>
                      <w:sz w:val="21"/>
                      <w:highlight w:val="none"/>
                      <w:lang w:val="en-US" w:eastAsia="zh-CN"/>
                    </w:rPr>
                    <w:t>18.3%</w:t>
                  </w:r>
                </w:p>
              </w:tc>
              <w:tc>
                <w:tcPr>
                  <w:tcW w:w="603" w:type="pct"/>
                  <w:vAlign w:val="center"/>
                </w:tcPr>
                <w:p w14:paraId="7223D20C">
                  <w:pPr>
                    <w:spacing w:line="240" w:lineRule="auto"/>
                    <w:ind w:firstLine="0" w:firstLineChars="0"/>
                    <w:jc w:val="center"/>
                    <w:rPr>
                      <w:rFonts w:hint="default" w:cs="Times New Roman"/>
                      <w:color w:val="auto"/>
                      <w:sz w:val="21"/>
                      <w:highlight w:val="none"/>
                      <w:lang w:val="en-US" w:eastAsia="zh-CN"/>
                    </w:rPr>
                  </w:pPr>
                  <w:r>
                    <w:rPr>
                      <w:rFonts w:hint="eastAsia" w:cs="Times New Roman"/>
                      <w:color w:val="auto"/>
                      <w:sz w:val="21"/>
                      <w:highlight w:val="none"/>
                      <w:lang w:val="en-US" w:eastAsia="zh-CN"/>
                    </w:rPr>
                    <w:t>47.5%</w:t>
                  </w:r>
                </w:p>
              </w:tc>
              <w:tc>
                <w:tcPr>
                  <w:tcW w:w="667" w:type="pct"/>
                  <w:vAlign w:val="center"/>
                </w:tcPr>
                <w:p w14:paraId="25079A52">
                  <w:pPr>
                    <w:spacing w:line="240" w:lineRule="auto"/>
                    <w:ind w:firstLine="0" w:firstLineChars="0"/>
                    <w:jc w:val="center"/>
                    <w:rPr>
                      <w:rFonts w:hint="default" w:cs="Times New Roman"/>
                      <w:color w:val="auto"/>
                      <w:sz w:val="21"/>
                      <w:highlight w:val="none"/>
                      <w:lang w:val="en-US" w:eastAsia="zh-CN"/>
                    </w:rPr>
                  </w:pPr>
                  <w:r>
                    <w:rPr>
                      <w:rFonts w:hint="eastAsia" w:cs="Times New Roman"/>
                      <w:color w:val="auto"/>
                      <w:sz w:val="21"/>
                      <w:highlight w:val="none"/>
                      <w:lang w:val="en-US" w:eastAsia="zh-CN"/>
                    </w:rPr>
                    <w:t>91.25%</w:t>
                  </w:r>
                </w:p>
              </w:tc>
              <w:tc>
                <w:tcPr>
                  <w:tcW w:w="608" w:type="pct"/>
                  <w:vAlign w:val="center"/>
                </w:tcPr>
                <w:p w14:paraId="36DE5919">
                  <w:pPr>
                    <w:spacing w:line="240" w:lineRule="auto"/>
                    <w:ind w:firstLine="0" w:firstLineChars="0"/>
                    <w:jc w:val="center"/>
                    <w:rPr>
                      <w:rFonts w:hint="default" w:cs="Times New Roman"/>
                      <w:color w:val="auto"/>
                      <w:sz w:val="21"/>
                      <w:highlight w:val="none"/>
                      <w:lang w:val="en-US" w:eastAsia="zh-CN"/>
                    </w:rPr>
                  </w:pPr>
                  <w:r>
                    <w:rPr>
                      <w:rFonts w:hint="eastAsia" w:cs="Times New Roman"/>
                      <w:color w:val="auto"/>
                      <w:sz w:val="21"/>
                      <w:highlight w:val="none"/>
                      <w:lang w:val="en-US" w:eastAsia="zh-CN"/>
                    </w:rPr>
                    <w:t>35%</w:t>
                  </w:r>
                </w:p>
              </w:tc>
              <w:tc>
                <w:tcPr>
                  <w:tcW w:w="387" w:type="pct"/>
                  <w:vAlign w:val="center"/>
                </w:tcPr>
                <w:p w14:paraId="23E632AE">
                  <w:pPr>
                    <w:spacing w:line="240" w:lineRule="auto"/>
                    <w:ind w:firstLine="0" w:firstLineChars="0"/>
                    <w:jc w:val="center"/>
                    <w:rPr>
                      <w:rFonts w:hint="eastAsia" w:cs="Times New Roman"/>
                      <w:color w:val="auto"/>
                      <w:sz w:val="21"/>
                      <w:highlight w:val="none"/>
                      <w:lang w:val="en-US" w:eastAsia="zh-CN"/>
                    </w:rPr>
                  </w:pPr>
                  <w:r>
                    <w:rPr>
                      <w:rFonts w:hint="eastAsia" w:cs="Times New Roman"/>
                      <w:color w:val="auto"/>
                      <w:sz w:val="21"/>
                      <w:highlight w:val="none"/>
                      <w:lang w:val="en-US" w:eastAsia="zh-CN"/>
                    </w:rPr>
                    <w:t>-</w:t>
                  </w:r>
                </w:p>
              </w:tc>
              <w:tc>
                <w:tcPr>
                  <w:tcW w:w="498" w:type="pct"/>
                  <w:vAlign w:val="center"/>
                </w:tcPr>
                <w:p w14:paraId="79E97A40">
                  <w:pPr>
                    <w:spacing w:line="240" w:lineRule="auto"/>
                    <w:ind w:firstLine="0" w:firstLineChars="0"/>
                    <w:jc w:val="center"/>
                    <w:rPr>
                      <w:rFonts w:hint="eastAsia" w:cs="Times New Roman"/>
                      <w:color w:val="auto"/>
                      <w:sz w:val="21"/>
                      <w:highlight w:val="none"/>
                      <w:lang w:val="en-US" w:eastAsia="zh-CN"/>
                    </w:rPr>
                  </w:pPr>
                  <w:r>
                    <w:rPr>
                      <w:rFonts w:hint="eastAsia" w:cs="Times New Roman"/>
                      <w:color w:val="auto"/>
                      <w:sz w:val="21"/>
                      <w:highlight w:val="none"/>
                      <w:lang w:val="en-US" w:eastAsia="zh-CN"/>
                    </w:rPr>
                    <w:t>-</w:t>
                  </w:r>
                </w:p>
              </w:tc>
            </w:tr>
            <w:tr w14:paraId="66F03D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10" w:type="pct"/>
                  <w:tcBorders>
                    <w:bottom w:val="single" w:color="auto" w:sz="12" w:space="0"/>
                  </w:tcBorders>
                  <w:vAlign w:val="center"/>
                </w:tcPr>
                <w:p w14:paraId="37EA4042">
                  <w:pPr>
                    <w:spacing w:line="240" w:lineRule="auto"/>
                    <w:ind w:firstLine="0" w:firstLineChars="0"/>
                    <w:jc w:val="center"/>
                    <w:rPr>
                      <w:rFonts w:hint="eastAsia" w:cs="Times New Roman"/>
                      <w:b/>
                      <w:bCs/>
                      <w:color w:val="auto"/>
                      <w:sz w:val="21"/>
                      <w:highlight w:val="none"/>
                      <w:lang w:eastAsia="zh-CN"/>
                    </w:rPr>
                  </w:pPr>
                  <w:r>
                    <w:rPr>
                      <w:rFonts w:hint="eastAsia" w:cs="Times New Roman"/>
                      <w:b/>
                      <w:bCs/>
                      <w:color w:val="auto"/>
                      <w:sz w:val="21"/>
                      <w:highlight w:val="none"/>
                      <w:lang w:eastAsia="zh-CN"/>
                    </w:rPr>
                    <w:t>达标情况</w:t>
                  </w:r>
                </w:p>
              </w:tc>
              <w:tc>
                <w:tcPr>
                  <w:tcW w:w="556" w:type="pct"/>
                  <w:tcBorders>
                    <w:bottom w:val="single" w:color="auto" w:sz="12" w:space="0"/>
                  </w:tcBorders>
                  <w:vAlign w:val="center"/>
                </w:tcPr>
                <w:p w14:paraId="17B0B021">
                  <w:pPr>
                    <w:spacing w:line="240" w:lineRule="auto"/>
                    <w:ind w:firstLine="0" w:firstLineChars="0"/>
                    <w:jc w:val="center"/>
                    <w:rPr>
                      <w:rFonts w:hint="eastAsia" w:cs="Times New Roman"/>
                      <w:color w:val="auto"/>
                      <w:sz w:val="21"/>
                      <w:highlight w:val="none"/>
                      <w:lang w:val="en-US" w:eastAsia="zh-CN"/>
                    </w:rPr>
                  </w:pPr>
                  <w:r>
                    <w:rPr>
                      <w:rFonts w:hint="eastAsia" w:cs="Times New Roman"/>
                      <w:color w:val="auto"/>
                      <w:sz w:val="21"/>
                      <w:highlight w:val="none"/>
                      <w:lang w:eastAsia="zh-CN"/>
                    </w:rPr>
                    <w:t>达标</w:t>
                  </w:r>
                </w:p>
              </w:tc>
              <w:tc>
                <w:tcPr>
                  <w:tcW w:w="590" w:type="pct"/>
                  <w:tcBorders>
                    <w:bottom w:val="single" w:color="auto" w:sz="12" w:space="0"/>
                  </w:tcBorders>
                  <w:vAlign w:val="center"/>
                </w:tcPr>
                <w:p w14:paraId="3D030CD3">
                  <w:pPr>
                    <w:spacing w:line="240" w:lineRule="auto"/>
                    <w:ind w:firstLine="0" w:firstLineChars="0"/>
                    <w:jc w:val="center"/>
                    <w:rPr>
                      <w:rFonts w:hint="eastAsia" w:cs="Times New Roman"/>
                      <w:color w:val="auto"/>
                      <w:sz w:val="21"/>
                      <w:highlight w:val="none"/>
                      <w:lang w:val="en-US" w:eastAsia="zh-CN"/>
                    </w:rPr>
                  </w:pPr>
                  <w:r>
                    <w:rPr>
                      <w:rFonts w:hint="eastAsia" w:cs="Times New Roman"/>
                      <w:color w:val="auto"/>
                      <w:sz w:val="21"/>
                      <w:highlight w:val="none"/>
                      <w:lang w:eastAsia="zh-CN"/>
                    </w:rPr>
                    <w:t>达标</w:t>
                  </w:r>
                </w:p>
              </w:tc>
              <w:tc>
                <w:tcPr>
                  <w:tcW w:w="578" w:type="pct"/>
                  <w:tcBorders>
                    <w:bottom w:val="single" w:color="auto" w:sz="12" w:space="0"/>
                  </w:tcBorders>
                  <w:vAlign w:val="center"/>
                </w:tcPr>
                <w:p w14:paraId="462D9A01">
                  <w:pPr>
                    <w:spacing w:line="240" w:lineRule="auto"/>
                    <w:ind w:firstLine="0" w:firstLineChars="0"/>
                    <w:jc w:val="center"/>
                    <w:rPr>
                      <w:rFonts w:hint="eastAsia" w:cs="Times New Roman"/>
                      <w:color w:val="auto"/>
                      <w:sz w:val="21"/>
                      <w:highlight w:val="none"/>
                      <w:lang w:val="en-US" w:eastAsia="zh-CN"/>
                    </w:rPr>
                  </w:pPr>
                  <w:r>
                    <w:rPr>
                      <w:rFonts w:hint="eastAsia" w:cs="Times New Roman"/>
                      <w:color w:val="auto"/>
                      <w:sz w:val="21"/>
                      <w:highlight w:val="none"/>
                      <w:lang w:eastAsia="zh-CN"/>
                    </w:rPr>
                    <w:t>达标</w:t>
                  </w:r>
                </w:p>
              </w:tc>
              <w:tc>
                <w:tcPr>
                  <w:tcW w:w="603" w:type="pct"/>
                  <w:tcBorders>
                    <w:bottom w:val="single" w:color="auto" w:sz="12" w:space="0"/>
                  </w:tcBorders>
                  <w:vAlign w:val="center"/>
                </w:tcPr>
                <w:p w14:paraId="08C9D2A2">
                  <w:pPr>
                    <w:spacing w:line="240" w:lineRule="auto"/>
                    <w:ind w:firstLine="0" w:firstLineChars="0"/>
                    <w:jc w:val="center"/>
                    <w:rPr>
                      <w:rFonts w:hint="eastAsia" w:cs="Times New Roman"/>
                      <w:color w:val="auto"/>
                      <w:sz w:val="21"/>
                      <w:highlight w:val="none"/>
                      <w:lang w:val="en-US" w:eastAsia="zh-CN"/>
                    </w:rPr>
                  </w:pPr>
                  <w:r>
                    <w:rPr>
                      <w:rFonts w:hint="eastAsia" w:cs="Times New Roman"/>
                      <w:color w:val="auto"/>
                      <w:sz w:val="21"/>
                      <w:highlight w:val="none"/>
                      <w:lang w:eastAsia="zh-CN"/>
                    </w:rPr>
                    <w:t>达标</w:t>
                  </w:r>
                </w:p>
              </w:tc>
              <w:tc>
                <w:tcPr>
                  <w:tcW w:w="667" w:type="pct"/>
                  <w:tcBorders>
                    <w:bottom w:val="single" w:color="auto" w:sz="12" w:space="0"/>
                  </w:tcBorders>
                  <w:vAlign w:val="center"/>
                </w:tcPr>
                <w:p w14:paraId="15A1F7F7">
                  <w:pPr>
                    <w:spacing w:line="240" w:lineRule="auto"/>
                    <w:ind w:firstLine="0" w:firstLineChars="0"/>
                    <w:jc w:val="center"/>
                    <w:rPr>
                      <w:rFonts w:hint="eastAsia" w:cs="Times New Roman"/>
                      <w:color w:val="auto"/>
                      <w:sz w:val="21"/>
                      <w:highlight w:val="none"/>
                      <w:lang w:val="en-US" w:eastAsia="zh-CN"/>
                    </w:rPr>
                  </w:pPr>
                  <w:r>
                    <w:rPr>
                      <w:rFonts w:hint="eastAsia" w:cs="Times New Roman"/>
                      <w:color w:val="auto"/>
                      <w:sz w:val="21"/>
                      <w:highlight w:val="none"/>
                      <w:lang w:eastAsia="zh-CN"/>
                    </w:rPr>
                    <w:t>达标</w:t>
                  </w:r>
                </w:p>
              </w:tc>
              <w:tc>
                <w:tcPr>
                  <w:tcW w:w="608" w:type="pct"/>
                  <w:tcBorders>
                    <w:bottom w:val="single" w:color="auto" w:sz="12" w:space="0"/>
                  </w:tcBorders>
                  <w:vAlign w:val="center"/>
                </w:tcPr>
                <w:p w14:paraId="3426C142">
                  <w:pPr>
                    <w:spacing w:line="240" w:lineRule="auto"/>
                    <w:ind w:firstLine="0" w:firstLineChars="0"/>
                    <w:jc w:val="center"/>
                    <w:rPr>
                      <w:rFonts w:hint="eastAsia" w:cs="Times New Roman"/>
                      <w:color w:val="auto"/>
                      <w:sz w:val="21"/>
                      <w:highlight w:val="none"/>
                      <w:lang w:val="en-US" w:eastAsia="zh-CN"/>
                    </w:rPr>
                  </w:pPr>
                  <w:r>
                    <w:rPr>
                      <w:rFonts w:hint="eastAsia" w:cs="Times New Roman"/>
                      <w:color w:val="auto"/>
                      <w:sz w:val="21"/>
                      <w:highlight w:val="none"/>
                      <w:lang w:eastAsia="zh-CN"/>
                    </w:rPr>
                    <w:t>达标</w:t>
                  </w:r>
                </w:p>
              </w:tc>
              <w:tc>
                <w:tcPr>
                  <w:tcW w:w="387" w:type="pct"/>
                  <w:tcBorders>
                    <w:bottom w:val="single" w:color="auto" w:sz="12" w:space="0"/>
                  </w:tcBorders>
                  <w:vAlign w:val="center"/>
                </w:tcPr>
                <w:p w14:paraId="42B19CBF">
                  <w:pPr>
                    <w:spacing w:line="240" w:lineRule="auto"/>
                    <w:ind w:firstLine="0" w:firstLineChars="0"/>
                    <w:jc w:val="center"/>
                    <w:rPr>
                      <w:rFonts w:hint="eastAsia" w:cs="Times New Roman"/>
                      <w:color w:val="auto"/>
                      <w:sz w:val="21"/>
                      <w:highlight w:val="none"/>
                      <w:lang w:val="en-US" w:eastAsia="zh-CN"/>
                    </w:rPr>
                  </w:pPr>
                  <w:r>
                    <w:rPr>
                      <w:rFonts w:hint="eastAsia" w:cs="Times New Roman"/>
                      <w:color w:val="auto"/>
                      <w:sz w:val="21"/>
                      <w:highlight w:val="none"/>
                      <w:lang w:val="en-US" w:eastAsia="zh-CN"/>
                    </w:rPr>
                    <w:t>-</w:t>
                  </w:r>
                </w:p>
              </w:tc>
              <w:tc>
                <w:tcPr>
                  <w:tcW w:w="498" w:type="pct"/>
                  <w:tcBorders>
                    <w:bottom w:val="single" w:color="auto" w:sz="12" w:space="0"/>
                  </w:tcBorders>
                  <w:vAlign w:val="center"/>
                </w:tcPr>
                <w:p w14:paraId="2B98D5FC">
                  <w:pPr>
                    <w:spacing w:line="240" w:lineRule="auto"/>
                    <w:ind w:firstLine="0" w:firstLineChars="0"/>
                    <w:jc w:val="center"/>
                    <w:rPr>
                      <w:rFonts w:hint="eastAsia" w:cs="Times New Roman"/>
                      <w:color w:val="auto"/>
                      <w:sz w:val="21"/>
                      <w:highlight w:val="none"/>
                      <w:lang w:val="en-US" w:eastAsia="zh-CN"/>
                    </w:rPr>
                  </w:pPr>
                  <w:r>
                    <w:rPr>
                      <w:rFonts w:hint="eastAsia" w:cs="Times New Roman"/>
                      <w:color w:val="auto"/>
                      <w:sz w:val="21"/>
                      <w:highlight w:val="none"/>
                      <w:lang w:val="en-US" w:eastAsia="zh-CN"/>
                    </w:rPr>
                    <w:t>-</w:t>
                  </w:r>
                </w:p>
              </w:tc>
            </w:tr>
          </w:tbl>
          <w:p w14:paraId="149DF8EA">
            <w:pPr>
              <w:bidi w:val="0"/>
              <w:rPr>
                <w:color w:val="auto"/>
                <w:highlight w:val="none"/>
              </w:rPr>
            </w:pPr>
            <w:r>
              <w:rPr>
                <w:color w:val="auto"/>
                <w:highlight w:val="none"/>
              </w:rPr>
              <w:t>由表可见，</w:t>
            </w:r>
            <w:r>
              <w:rPr>
                <w:rFonts w:hint="eastAsia"/>
                <w:color w:val="auto"/>
                <w:highlight w:val="none"/>
              </w:rPr>
              <w:t>项目区域基本因子</w:t>
            </w:r>
            <w:r>
              <w:rPr>
                <w:color w:val="auto"/>
                <w:highlight w:val="none"/>
              </w:rPr>
              <w:t>均符合《环境空气质量标准》(GB3095</w:t>
            </w:r>
            <w:r>
              <w:rPr>
                <w:rFonts w:hint="eastAsia"/>
                <w:color w:val="auto"/>
                <w:highlight w:val="none"/>
                <w:lang w:val="en-US" w:eastAsia="zh-CN"/>
              </w:rPr>
              <w:t>-</w:t>
            </w:r>
            <w:r>
              <w:rPr>
                <w:color w:val="auto"/>
                <w:highlight w:val="none"/>
              </w:rPr>
              <w:t>2012)中二级标准，该区域</w:t>
            </w:r>
            <w:r>
              <w:rPr>
                <w:rFonts w:hint="eastAsia"/>
                <w:color w:val="auto"/>
                <w:highlight w:val="none"/>
              </w:rPr>
              <w:t>属于环境空气质量</w:t>
            </w:r>
            <w:r>
              <w:rPr>
                <w:color w:val="auto"/>
                <w:highlight w:val="none"/>
              </w:rPr>
              <w:t>达标区。</w:t>
            </w:r>
          </w:p>
          <w:p w14:paraId="3FF5B3CB">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（2）其他污染物</w:t>
            </w:r>
          </w:p>
          <w:p w14:paraId="4FFF459B">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本项目位于辽宁省朝阳市北票市</w:t>
            </w:r>
            <w:r>
              <w:rPr>
                <w:rFonts w:hint="eastAsia" w:eastAsia="宋体" w:cs="Times New Roman"/>
                <w:color w:val="auto"/>
                <w:sz w:val="24"/>
                <w:szCs w:val="24"/>
                <w:highlight w:val="none"/>
                <w:lang w:eastAsia="zh-CN"/>
              </w:rPr>
              <w:t>建设路</w:t>
            </w:r>
            <w:r>
              <w:rPr>
                <w:rFonts w:hint="eastAsia" w:ascii="Times New Roman" w:hAnsi="Times New Roman" w:eastAsia="Times New Roman" w:cs="Times New Roman"/>
                <w:color w:val="auto"/>
                <w:sz w:val="24"/>
                <w:szCs w:val="24"/>
                <w:highlight w:val="none"/>
              </w:rPr>
              <w:t>，</w:t>
            </w:r>
            <w:r>
              <w:rPr>
                <w:rFonts w:hint="eastAsia" w:ascii="Times New Roman" w:hAnsi="Times New Roman" w:eastAsia="宋体" w:cs="Times New Roman"/>
                <w:color w:val="auto"/>
                <w:highlight w:val="none"/>
              </w:rPr>
              <w:t>北票发电有限责任公司厂区内，</w:t>
            </w:r>
            <w:r>
              <w:rPr>
                <w:rFonts w:hint="eastAsia"/>
                <w:color w:val="auto"/>
                <w:highlight w:val="none"/>
              </w:rPr>
              <w:t>现当季主导风向为西南风，</w:t>
            </w:r>
            <w:r>
              <w:rPr>
                <w:rFonts w:ascii="Times New Roman" w:hAnsi="Times New Roman" w:eastAsia="Times New Roman" w:cs="Times New Roman"/>
                <w:color w:val="auto"/>
                <w:sz w:val="24"/>
                <w:szCs w:val="24"/>
                <w:highlight w:val="none"/>
              </w:rPr>
              <w:t>辽宁中环祥瑞工程技术有限公司于202</w:t>
            </w:r>
            <w:r>
              <w:rPr>
                <w:rFonts w:hint="eastAsia" w:eastAsia="宋体" w:cs="Times New Roman"/>
                <w:color w:val="auto"/>
                <w:sz w:val="24"/>
                <w:szCs w:val="24"/>
                <w:highlight w:val="none"/>
                <w:lang w:val="en-US" w:eastAsia="zh-CN"/>
              </w:rPr>
              <w:t>5</w:t>
            </w:r>
            <w:r>
              <w:rPr>
                <w:rFonts w:ascii="Times New Roman" w:hAnsi="Times New Roman" w:eastAsia="Times New Roman" w:cs="Times New Roman"/>
                <w:color w:val="auto"/>
                <w:sz w:val="24"/>
                <w:szCs w:val="24"/>
                <w:highlight w:val="none"/>
              </w:rPr>
              <w:t>年</w:t>
            </w:r>
            <w:r>
              <w:rPr>
                <w:rFonts w:hint="eastAsia" w:cs="Times New Roman"/>
                <w:color w:val="auto"/>
                <w:sz w:val="24"/>
                <w:szCs w:val="24"/>
                <w:highlight w:val="none"/>
                <w:lang w:val="en-US" w:eastAsia="zh-CN"/>
              </w:rPr>
              <w:t>5</w:t>
            </w:r>
            <w:r>
              <w:rPr>
                <w:rFonts w:ascii="Times New Roman" w:hAnsi="Times New Roman" w:eastAsia="Times New Roman" w:cs="Times New Roman"/>
                <w:color w:val="auto"/>
                <w:sz w:val="24"/>
                <w:szCs w:val="24"/>
                <w:highlight w:val="none"/>
              </w:rPr>
              <w:t>月</w:t>
            </w:r>
            <w:r>
              <w:rPr>
                <w:rFonts w:hint="eastAsia" w:cs="Times New Roman"/>
                <w:color w:val="auto"/>
                <w:sz w:val="24"/>
                <w:szCs w:val="24"/>
                <w:highlight w:val="none"/>
                <w:lang w:val="en-US" w:eastAsia="zh-CN"/>
              </w:rPr>
              <w:t>13</w:t>
            </w:r>
            <w:r>
              <w:rPr>
                <w:rFonts w:ascii="Times New Roman" w:hAnsi="Times New Roman" w:eastAsia="Times New Roman" w:cs="Times New Roman"/>
                <w:color w:val="auto"/>
                <w:sz w:val="24"/>
                <w:szCs w:val="24"/>
                <w:highlight w:val="none"/>
              </w:rPr>
              <w:t>日</w:t>
            </w:r>
            <w:r>
              <w:rPr>
                <w:rFonts w:hint="eastAsia" w:ascii="Times New Roman" w:hAnsi="Times New Roman" w:eastAsia="Times New Roman" w:cs="Times New Roman"/>
                <w:color w:val="auto"/>
                <w:sz w:val="24"/>
                <w:szCs w:val="24"/>
                <w:highlight w:val="none"/>
              </w:rPr>
              <w:t>-</w:t>
            </w:r>
            <w:r>
              <w:rPr>
                <w:rFonts w:hint="eastAsia" w:cs="Times New Roman"/>
                <w:color w:val="auto"/>
                <w:sz w:val="24"/>
                <w:szCs w:val="24"/>
                <w:highlight w:val="none"/>
                <w:lang w:val="en-US" w:eastAsia="zh-CN"/>
              </w:rPr>
              <w:t>5</w:t>
            </w:r>
            <w:r>
              <w:rPr>
                <w:rFonts w:hint="eastAsia" w:ascii="Times New Roman" w:hAnsi="Times New Roman" w:eastAsia="Times New Roman" w:cs="Times New Roman"/>
                <w:color w:val="auto"/>
                <w:sz w:val="24"/>
                <w:szCs w:val="24"/>
                <w:highlight w:val="none"/>
              </w:rPr>
              <w:t>月</w:t>
            </w:r>
            <w:r>
              <w:rPr>
                <w:rFonts w:hint="eastAsia" w:cs="Times New Roman"/>
                <w:color w:val="auto"/>
                <w:sz w:val="24"/>
                <w:szCs w:val="24"/>
                <w:highlight w:val="none"/>
                <w:lang w:val="en-US" w:eastAsia="zh-CN"/>
              </w:rPr>
              <w:t>15</w:t>
            </w:r>
            <w:r>
              <w:rPr>
                <w:rFonts w:hint="eastAsia" w:ascii="Times New Roman" w:hAnsi="Times New Roman" w:eastAsia="Times New Roman" w:cs="Times New Roman"/>
                <w:color w:val="auto"/>
                <w:sz w:val="24"/>
                <w:szCs w:val="24"/>
                <w:highlight w:val="none"/>
              </w:rPr>
              <w:t>日</w:t>
            </w:r>
            <w:r>
              <w:rPr>
                <w:rFonts w:ascii="Times New Roman" w:hAnsi="Times New Roman" w:eastAsia="Times New Roman" w:cs="Times New Roman"/>
                <w:color w:val="auto"/>
                <w:sz w:val="24"/>
                <w:szCs w:val="24"/>
                <w:highlight w:val="none"/>
              </w:rPr>
              <w:t>对环境空气进行现状检测</w:t>
            </w:r>
            <w:r>
              <w:rPr>
                <w:rFonts w:hint="eastAsia" w:ascii="Times New Roman" w:hAnsi="Times New Roman" w:eastAsia="Times New Roman" w:cs="Times New Roman"/>
                <w:color w:val="auto"/>
                <w:sz w:val="24"/>
                <w:szCs w:val="24"/>
                <w:highlight w:val="none"/>
              </w:rPr>
              <w:t>，</w:t>
            </w:r>
            <w:r>
              <w:rPr>
                <w:rFonts w:hint="eastAsia" w:ascii="Times New Roman" w:hAnsi="Times New Roman" w:eastAsia="Times New Roman" w:cs="Times New Roman"/>
                <w:color w:val="auto"/>
                <w:sz w:val="24"/>
                <w:szCs w:val="24"/>
                <w:highlight w:val="none"/>
                <w:lang w:val="en-US" w:eastAsia="zh-CN"/>
              </w:rPr>
              <w:t>监测结果</w:t>
            </w:r>
            <w:r>
              <w:rPr>
                <w:rFonts w:ascii="Times New Roman" w:hAnsi="Times New Roman" w:eastAsia="Times New Roman" w:cs="Times New Roman"/>
                <w:color w:val="auto"/>
                <w:sz w:val="24"/>
                <w:szCs w:val="24"/>
                <w:highlight w:val="none"/>
              </w:rPr>
              <w:t>如下。</w:t>
            </w:r>
          </w:p>
          <w:p w14:paraId="441B014D">
            <w:pPr>
              <w:ind w:firstLine="0" w:firstLineChars="0"/>
              <w:rPr>
                <w:rFonts w:ascii="Times New Roman" w:hAnsi="Times New Roman" w:eastAsia="Times New Roman" w:cs="Times New Roman"/>
                <w:color w:val="auto"/>
                <w:sz w:val="24"/>
                <w:szCs w:val="24"/>
                <w:highlight w:val="none"/>
              </w:rPr>
            </w:pPr>
          </w:p>
          <w:p w14:paraId="71F0CE8C">
            <w:pPr>
              <w:pStyle w:val="25"/>
              <w:numPr>
                <w:ilvl w:val="0"/>
                <w:numId w:val="4"/>
              </w:numPr>
              <w:tabs>
                <w:tab w:val="clear" w:pos="0"/>
                <w:tab w:val="clear" w:pos="420"/>
              </w:tabs>
              <w:rPr>
                <w:rFonts w:hint="eastAsia"/>
                <w:color w:val="auto"/>
                <w:highlight w:val="none"/>
              </w:rPr>
            </w:pPr>
            <w:r>
              <w:rPr>
                <w:rFonts w:hint="default"/>
                <w:color w:val="auto"/>
                <w:highlight w:val="none"/>
              </w:rPr>
              <w:t>监测点位合理性</w:t>
            </w:r>
          </w:p>
          <w:tbl>
            <w:tblPr>
              <w:tblStyle w:val="1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699"/>
              <w:gridCol w:w="1642"/>
              <w:gridCol w:w="1822"/>
              <w:gridCol w:w="1776"/>
              <w:gridCol w:w="1230"/>
            </w:tblGrid>
            <w:tr w14:paraId="19B8D8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17" w:hRule="atLeast"/>
                <w:tblHeader/>
                <w:jc w:val="center"/>
              </w:trPr>
              <w:tc>
                <w:tcPr>
                  <w:tcW w:w="1040" w:type="pct"/>
                  <w:tcMar>
                    <w:left w:w="85" w:type="dxa"/>
                    <w:right w:w="85" w:type="dxa"/>
                  </w:tcMar>
                  <w:vAlign w:val="center"/>
                </w:tcPr>
                <w:p w14:paraId="3E30B377">
                  <w:pPr>
                    <w:pStyle w:val="27"/>
                    <w:spacing w:line="240" w:lineRule="auto"/>
                    <w:rPr>
                      <w:rFonts w:hint="default"/>
                      <w:color w:val="auto"/>
                      <w:highlight w:val="none"/>
                    </w:rPr>
                  </w:pPr>
                  <w:r>
                    <w:rPr>
                      <w:color w:val="auto"/>
                      <w:highlight w:val="none"/>
                    </w:rPr>
                    <w:t>监测时间</w:t>
                  </w:r>
                </w:p>
              </w:tc>
              <w:tc>
                <w:tcPr>
                  <w:tcW w:w="1005" w:type="pct"/>
                  <w:shd w:val="clear" w:color="auto" w:fill="auto"/>
                  <w:tcMar>
                    <w:left w:w="85" w:type="dxa"/>
                    <w:right w:w="85" w:type="dxa"/>
                  </w:tcMar>
                  <w:vAlign w:val="center"/>
                </w:tcPr>
                <w:p w14:paraId="6D61B791">
                  <w:pPr>
                    <w:pStyle w:val="27"/>
                    <w:spacing w:line="240" w:lineRule="auto"/>
                    <w:rPr>
                      <w:rFonts w:hint="default"/>
                      <w:color w:val="auto"/>
                      <w:highlight w:val="none"/>
                    </w:rPr>
                  </w:pPr>
                  <w:r>
                    <w:rPr>
                      <w:color w:val="auto"/>
                      <w:highlight w:val="none"/>
                    </w:rPr>
                    <w:t>当季主导风向</w:t>
                  </w:r>
                </w:p>
              </w:tc>
              <w:tc>
                <w:tcPr>
                  <w:tcW w:w="1115" w:type="pct"/>
                  <w:shd w:val="clear" w:color="auto" w:fill="auto"/>
                  <w:tcMar>
                    <w:left w:w="85" w:type="dxa"/>
                    <w:right w:w="85" w:type="dxa"/>
                  </w:tcMar>
                  <w:vAlign w:val="center"/>
                </w:tcPr>
                <w:p w14:paraId="58CC1FA0">
                  <w:pPr>
                    <w:pStyle w:val="27"/>
                    <w:spacing w:line="240" w:lineRule="auto"/>
                    <w:rPr>
                      <w:rFonts w:hint="default"/>
                      <w:color w:val="auto"/>
                      <w:highlight w:val="none"/>
                    </w:rPr>
                  </w:pPr>
                  <w:r>
                    <w:rPr>
                      <w:color w:val="auto"/>
                      <w:highlight w:val="none"/>
                    </w:rPr>
                    <w:t>监测点位位于本项目方向</w:t>
                  </w:r>
                </w:p>
              </w:tc>
              <w:tc>
                <w:tcPr>
                  <w:tcW w:w="1087" w:type="pct"/>
                  <w:tcMar>
                    <w:left w:w="85" w:type="dxa"/>
                    <w:right w:w="85" w:type="dxa"/>
                  </w:tcMar>
                  <w:vAlign w:val="center"/>
                </w:tcPr>
                <w:p w14:paraId="29E610F9">
                  <w:pPr>
                    <w:pStyle w:val="27"/>
                    <w:spacing w:line="240" w:lineRule="auto"/>
                    <w:rPr>
                      <w:rFonts w:hint="default"/>
                      <w:color w:val="auto"/>
                      <w:highlight w:val="none"/>
                    </w:rPr>
                  </w:pPr>
                  <w:r>
                    <w:rPr>
                      <w:color w:val="auto"/>
                      <w:highlight w:val="none"/>
                    </w:rPr>
                    <w:t>监测点位要求</w:t>
                  </w:r>
                </w:p>
              </w:tc>
              <w:tc>
                <w:tcPr>
                  <w:tcW w:w="751" w:type="pct"/>
                  <w:tcMar>
                    <w:left w:w="85" w:type="dxa"/>
                    <w:right w:w="85" w:type="dxa"/>
                  </w:tcMar>
                  <w:vAlign w:val="center"/>
                </w:tcPr>
                <w:p w14:paraId="7A25DDBF">
                  <w:pPr>
                    <w:pStyle w:val="27"/>
                    <w:spacing w:line="240" w:lineRule="auto"/>
                    <w:rPr>
                      <w:rFonts w:hint="default"/>
                      <w:color w:val="auto"/>
                      <w:highlight w:val="none"/>
                    </w:rPr>
                  </w:pPr>
                  <w:r>
                    <w:rPr>
                      <w:color w:val="auto"/>
                      <w:highlight w:val="none"/>
                    </w:rPr>
                    <w:t>符合性</w:t>
                  </w:r>
                </w:p>
              </w:tc>
            </w:tr>
            <w:tr w14:paraId="7B5D10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40" w:type="pct"/>
                  <w:tcMar>
                    <w:left w:w="85" w:type="dxa"/>
                    <w:right w:w="85" w:type="dxa"/>
                  </w:tcMar>
                  <w:vAlign w:val="center"/>
                </w:tcPr>
                <w:p w14:paraId="63589647">
                  <w:pPr>
                    <w:pStyle w:val="24"/>
                    <w:spacing w:line="240" w:lineRule="auto"/>
                    <w:rPr>
                      <w:rFonts w:hint="default" w:eastAsiaTheme="minorEastAsia"/>
                      <w:color w:val="auto"/>
                      <w:highlight w:val="none"/>
                      <w:lang w:val="en-US" w:eastAsia="zh-CN"/>
                    </w:rPr>
                  </w:pPr>
                  <w:r>
                    <w:rPr>
                      <w:rFonts w:hint="eastAsia"/>
                      <w:color w:val="auto"/>
                      <w:highlight w:val="none"/>
                    </w:rPr>
                    <w:t>2024.</w:t>
                  </w:r>
                  <w:r>
                    <w:rPr>
                      <w:rFonts w:hint="eastAsia"/>
                      <w:color w:val="auto"/>
                      <w:highlight w:val="none"/>
                      <w:lang w:val="en-US" w:eastAsia="zh-CN"/>
                    </w:rPr>
                    <w:t>5</w:t>
                  </w:r>
                  <w:r>
                    <w:rPr>
                      <w:rFonts w:hint="eastAsia"/>
                      <w:color w:val="auto"/>
                      <w:highlight w:val="none"/>
                    </w:rPr>
                    <w:t>.</w:t>
                  </w:r>
                  <w:r>
                    <w:rPr>
                      <w:rFonts w:hint="eastAsia"/>
                      <w:color w:val="auto"/>
                      <w:highlight w:val="none"/>
                      <w:lang w:val="en-US" w:eastAsia="zh-CN"/>
                    </w:rPr>
                    <w:t>13</w:t>
                  </w:r>
                  <w:r>
                    <w:rPr>
                      <w:rFonts w:hint="eastAsia"/>
                      <w:color w:val="auto"/>
                      <w:highlight w:val="none"/>
                    </w:rPr>
                    <w:t>-2024.</w:t>
                  </w:r>
                  <w:r>
                    <w:rPr>
                      <w:rFonts w:hint="eastAsia"/>
                      <w:color w:val="auto"/>
                      <w:highlight w:val="none"/>
                      <w:lang w:val="en-US" w:eastAsia="zh-CN"/>
                    </w:rPr>
                    <w:t>5</w:t>
                  </w:r>
                  <w:r>
                    <w:rPr>
                      <w:rFonts w:hint="eastAsia"/>
                      <w:color w:val="auto"/>
                      <w:highlight w:val="none"/>
                    </w:rPr>
                    <w:t>.</w:t>
                  </w:r>
                  <w:r>
                    <w:rPr>
                      <w:rFonts w:hint="eastAsia"/>
                      <w:color w:val="auto"/>
                      <w:highlight w:val="none"/>
                      <w:lang w:val="en-US" w:eastAsia="zh-CN"/>
                    </w:rPr>
                    <w:t>15</w:t>
                  </w:r>
                </w:p>
              </w:tc>
              <w:tc>
                <w:tcPr>
                  <w:tcW w:w="1005" w:type="pct"/>
                  <w:tcMar>
                    <w:left w:w="85" w:type="dxa"/>
                    <w:right w:w="85" w:type="dxa"/>
                  </w:tcMar>
                  <w:vAlign w:val="center"/>
                </w:tcPr>
                <w:p w14:paraId="588A01B3">
                  <w:pPr>
                    <w:pStyle w:val="24"/>
                    <w:spacing w:line="240" w:lineRule="auto"/>
                    <w:rPr>
                      <w:color w:val="auto"/>
                      <w:highlight w:val="none"/>
                    </w:rPr>
                  </w:pPr>
                  <w:r>
                    <w:rPr>
                      <w:rFonts w:hint="eastAsia"/>
                      <w:color w:val="auto"/>
                      <w:highlight w:val="none"/>
                    </w:rPr>
                    <w:t>西南风</w:t>
                  </w:r>
                </w:p>
              </w:tc>
              <w:tc>
                <w:tcPr>
                  <w:tcW w:w="1115" w:type="pct"/>
                  <w:tcMar>
                    <w:left w:w="85" w:type="dxa"/>
                    <w:right w:w="85" w:type="dxa"/>
                  </w:tcMar>
                  <w:vAlign w:val="center"/>
                </w:tcPr>
                <w:p w14:paraId="41701D0C">
                  <w:pPr>
                    <w:pStyle w:val="24"/>
                    <w:spacing w:line="240" w:lineRule="auto"/>
                    <w:rPr>
                      <w:color w:val="auto"/>
                      <w:highlight w:val="none"/>
                    </w:rPr>
                  </w:pPr>
                  <w:r>
                    <w:rPr>
                      <w:rFonts w:hint="eastAsia"/>
                      <w:color w:val="auto"/>
                      <w:highlight w:val="none"/>
                    </w:rPr>
                    <w:t>东北</w:t>
                  </w:r>
                </w:p>
              </w:tc>
              <w:tc>
                <w:tcPr>
                  <w:tcW w:w="1087" w:type="pct"/>
                  <w:tcMar>
                    <w:left w:w="85" w:type="dxa"/>
                    <w:right w:w="85" w:type="dxa"/>
                  </w:tcMar>
                  <w:vAlign w:val="center"/>
                </w:tcPr>
                <w:p w14:paraId="05173A37">
                  <w:pPr>
                    <w:pStyle w:val="24"/>
                    <w:spacing w:line="240" w:lineRule="auto"/>
                    <w:rPr>
                      <w:color w:val="auto"/>
                      <w:highlight w:val="none"/>
                    </w:rPr>
                  </w:pPr>
                  <w:r>
                    <w:rPr>
                      <w:rFonts w:hint="eastAsia"/>
                      <w:color w:val="auto"/>
                      <w:highlight w:val="none"/>
                    </w:rPr>
                    <w:t>当季主导风向下风向1个点位</w:t>
                  </w:r>
                </w:p>
              </w:tc>
              <w:tc>
                <w:tcPr>
                  <w:tcW w:w="751" w:type="pct"/>
                  <w:tcMar>
                    <w:left w:w="85" w:type="dxa"/>
                    <w:right w:w="85" w:type="dxa"/>
                  </w:tcMar>
                  <w:vAlign w:val="center"/>
                </w:tcPr>
                <w:p w14:paraId="67211630">
                  <w:pPr>
                    <w:pStyle w:val="24"/>
                    <w:spacing w:line="240" w:lineRule="auto"/>
                    <w:rPr>
                      <w:color w:val="auto"/>
                      <w:highlight w:val="none"/>
                    </w:rPr>
                  </w:pPr>
                  <w:r>
                    <w:rPr>
                      <w:rFonts w:hint="eastAsia"/>
                      <w:color w:val="auto"/>
                      <w:highlight w:val="none"/>
                    </w:rPr>
                    <w:t>符合</w:t>
                  </w:r>
                </w:p>
              </w:tc>
            </w:tr>
          </w:tbl>
          <w:p w14:paraId="06E7B45E">
            <w:pPr>
              <w:pStyle w:val="25"/>
              <w:numPr>
                <w:ilvl w:val="-1"/>
                <w:numId w:val="0"/>
              </w:numPr>
              <w:bidi w:val="0"/>
              <w:jc w:val="both"/>
              <w:rPr>
                <w:color w:val="auto"/>
                <w:highlight w:val="none"/>
              </w:rPr>
            </w:pPr>
          </w:p>
          <w:p w14:paraId="111D688A">
            <w:pPr>
              <w:pStyle w:val="25"/>
              <w:bidi w:val="0"/>
              <w:rPr>
                <w:color w:val="auto"/>
                <w:highlight w:val="none"/>
              </w:rPr>
            </w:pPr>
            <w:r>
              <w:rPr>
                <w:rFonts w:hint="eastAsia"/>
                <w:color w:val="auto"/>
                <w:highlight w:val="none"/>
              </w:rPr>
              <w:t>特征污染物环境质量监测结果</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699"/>
              <w:gridCol w:w="1642"/>
              <w:gridCol w:w="1821"/>
              <w:gridCol w:w="1456"/>
              <w:gridCol w:w="1545"/>
            </w:tblGrid>
            <w:tr w14:paraId="2159BC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1040" w:type="pct"/>
                  <w:tcMar>
                    <w:left w:w="85" w:type="dxa"/>
                    <w:right w:w="85" w:type="dxa"/>
                  </w:tcMar>
                  <w:vAlign w:val="center"/>
                </w:tcPr>
                <w:p w14:paraId="3040293C">
                  <w:pPr>
                    <w:pStyle w:val="27"/>
                    <w:spacing w:line="240" w:lineRule="auto"/>
                    <w:rPr>
                      <w:rFonts w:hint="default"/>
                      <w:color w:val="auto"/>
                      <w:highlight w:val="none"/>
                    </w:rPr>
                  </w:pPr>
                  <w:r>
                    <w:rPr>
                      <w:rFonts w:eastAsia="宋体"/>
                      <w:b/>
                      <w:color w:val="auto"/>
                      <w:sz w:val="21"/>
                      <w:highlight w:val="none"/>
                    </w:rPr>
                    <w:t>大气监测指标</w:t>
                  </w:r>
                </w:p>
              </w:tc>
              <w:tc>
                <w:tcPr>
                  <w:tcW w:w="1005" w:type="pct"/>
                  <w:tcMar>
                    <w:left w:w="85" w:type="dxa"/>
                    <w:right w:w="85" w:type="dxa"/>
                  </w:tcMar>
                  <w:vAlign w:val="center"/>
                </w:tcPr>
                <w:p w14:paraId="287AB7FE">
                  <w:pPr>
                    <w:pStyle w:val="27"/>
                    <w:spacing w:line="240" w:lineRule="auto"/>
                    <w:rPr>
                      <w:rFonts w:hint="default"/>
                      <w:color w:val="auto"/>
                      <w:highlight w:val="none"/>
                    </w:rPr>
                  </w:pPr>
                  <w:r>
                    <w:rPr>
                      <w:rFonts w:eastAsia="宋体"/>
                      <w:b/>
                      <w:color w:val="auto"/>
                      <w:sz w:val="21"/>
                      <w:highlight w:val="none"/>
                    </w:rPr>
                    <w:t>浓度范围（m</w:t>
                  </w:r>
                  <w:r>
                    <w:rPr>
                      <w:rFonts w:hint="default" w:eastAsia="宋体"/>
                      <w:b/>
                      <w:color w:val="auto"/>
                      <w:sz w:val="21"/>
                      <w:highlight w:val="none"/>
                    </w:rPr>
                    <w:t>g/</w:t>
                  </w:r>
                  <w:r>
                    <w:rPr>
                      <w:rFonts w:eastAsia="宋体"/>
                      <w:b/>
                      <w:color w:val="auto"/>
                      <w:sz w:val="21"/>
                      <w:highlight w:val="none"/>
                    </w:rPr>
                    <w:t>m</w:t>
                  </w:r>
                  <w:r>
                    <w:rPr>
                      <w:rFonts w:eastAsia="宋体"/>
                      <w:b/>
                      <w:color w:val="auto"/>
                      <w:sz w:val="21"/>
                      <w:highlight w:val="none"/>
                      <w:vertAlign w:val="superscript"/>
                    </w:rPr>
                    <w:t>3</w:t>
                  </w:r>
                  <w:r>
                    <w:rPr>
                      <w:rFonts w:eastAsia="宋体"/>
                      <w:b/>
                      <w:color w:val="auto"/>
                      <w:sz w:val="21"/>
                      <w:highlight w:val="none"/>
                    </w:rPr>
                    <w:t>）</w:t>
                  </w:r>
                </w:p>
              </w:tc>
              <w:tc>
                <w:tcPr>
                  <w:tcW w:w="1115" w:type="pct"/>
                  <w:tcMar>
                    <w:left w:w="85" w:type="dxa"/>
                    <w:right w:w="85" w:type="dxa"/>
                  </w:tcMar>
                  <w:vAlign w:val="center"/>
                </w:tcPr>
                <w:p w14:paraId="06F152E9">
                  <w:pPr>
                    <w:pStyle w:val="27"/>
                    <w:spacing w:line="240" w:lineRule="auto"/>
                    <w:rPr>
                      <w:rFonts w:hint="default"/>
                      <w:color w:val="auto"/>
                      <w:highlight w:val="none"/>
                    </w:rPr>
                  </w:pPr>
                  <w:r>
                    <w:rPr>
                      <w:rFonts w:eastAsia="宋体"/>
                      <w:b/>
                      <w:color w:val="auto"/>
                      <w:sz w:val="21"/>
                      <w:highlight w:val="none"/>
                    </w:rPr>
                    <w:t>标准（</w:t>
                  </w:r>
                  <w:r>
                    <w:rPr>
                      <w:rFonts w:hint="default" w:eastAsia="宋体"/>
                      <w:b/>
                      <w:color w:val="auto"/>
                      <w:sz w:val="21"/>
                      <w:highlight w:val="none"/>
                    </w:rPr>
                    <w:t>μg/</w:t>
                  </w:r>
                  <w:r>
                    <w:rPr>
                      <w:rFonts w:eastAsia="宋体"/>
                      <w:b/>
                      <w:color w:val="auto"/>
                      <w:sz w:val="21"/>
                      <w:highlight w:val="none"/>
                    </w:rPr>
                    <w:t>m</w:t>
                  </w:r>
                  <w:r>
                    <w:rPr>
                      <w:rFonts w:eastAsia="宋体"/>
                      <w:b/>
                      <w:color w:val="auto"/>
                      <w:sz w:val="21"/>
                      <w:highlight w:val="none"/>
                      <w:vertAlign w:val="superscript"/>
                    </w:rPr>
                    <w:t>3</w:t>
                  </w:r>
                  <w:r>
                    <w:rPr>
                      <w:rFonts w:eastAsia="宋体"/>
                      <w:b/>
                      <w:color w:val="auto"/>
                      <w:sz w:val="21"/>
                      <w:highlight w:val="none"/>
                    </w:rPr>
                    <w:t>）</w:t>
                  </w:r>
                </w:p>
              </w:tc>
              <w:tc>
                <w:tcPr>
                  <w:tcW w:w="891" w:type="pct"/>
                  <w:tcMar>
                    <w:left w:w="85" w:type="dxa"/>
                    <w:right w:w="85" w:type="dxa"/>
                  </w:tcMar>
                  <w:vAlign w:val="center"/>
                </w:tcPr>
                <w:p w14:paraId="73065AA1">
                  <w:pPr>
                    <w:pStyle w:val="27"/>
                    <w:spacing w:line="240" w:lineRule="auto"/>
                    <w:rPr>
                      <w:rFonts w:hint="default"/>
                      <w:color w:val="auto"/>
                      <w:highlight w:val="none"/>
                    </w:rPr>
                  </w:pPr>
                  <w:r>
                    <w:rPr>
                      <w:rFonts w:eastAsia="宋体"/>
                      <w:b/>
                      <w:color w:val="auto"/>
                      <w:sz w:val="21"/>
                      <w:highlight w:val="none"/>
                    </w:rPr>
                    <w:t>超标率（%</w:t>
                  </w:r>
                  <w:r>
                    <w:rPr>
                      <w:rFonts w:hint="eastAsia" w:eastAsia="宋体"/>
                      <w:b/>
                      <w:color w:val="auto"/>
                      <w:sz w:val="21"/>
                      <w:highlight w:val="none"/>
                      <w:lang w:eastAsia="zh-CN"/>
                    </w:rPr>
                    <w:t>）</w:t>
                  </w:r>
                </w:p>
              </w:tc>
              <w:tc>
                <w:tcPr>
                  <w:tcW w:w="946" w:type="pct"/>
                  <w:tcMar>
                    <w:left w:w="85" w:type="dxa"/>
                    <w:right w:w="85" w:type="dxa"/>
                  </w:tcMar>
                  <w:vAlign w:val="center"/>
                </w:tcPr>
                <w:p w14:paraId="55CFD636">
                  <w:pPr>
                    <w:pStyle w:val="27"/>
                    <w:spacing w:line="240" w:lineRule="auto"/>
                    <w:rPr>
                      <w:rFonts w:hint="default"/>
                      <w:color w:val="auto"/>
                      <w:highlight w:val="none"/>
                    </w:rPr>
                  </w:pPr>
                  <w:r>
                    <w:rPr>
                      <w:rFonts w:eastAsia="宋体"/>
                      <w:b/>
                      <w:color w:val="auto"/>
                      <w:sz w:val="21"/>
                      <w:highlight w:val="none"/>
                    </w:rPr>
                    <w:t>最大超标倍数</w:t>
                  </w:r>
                </w:p>
              </w:tc>
            </w:tr>
            <w:tr w14:paraId="6E909C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40" w:type="pct"/>
                  <w:tcMar>
                    <w:left w:w="85" w:type="dxa"/>
                    <w:right w:w="85" w:type="dxa"/>
                  </w:tcMar>
                  <w:vAlign w:val="center"/>
                </w:tcPr>
                <w:p w14:paraId="269F37A1">
                  <w:pPr>
                    <w:pStyle w:val="24"/>
                    <w:spacing w:line="240" w:lineRule="auto"/>
                    <w:rPr>
                      <w:color w:val="auto"/>
                      <w:highlight w:val="none"/>
                    </w:rPr>
                  </w:pPr>
                  <w:r>
                    <w:rPr>
                      <w:rFonts w:hint="eastAsia"/>
                      <w:color w:val="auto"/>
                      <w:highlight w:val="none"/>
                    </w:rPr>
                    <w:t>非甲烷总烃</w:t>
                  </w:r>
                </w:p>
              </w:tc>
              <w:tc>
                <w:tcPr>
                  <w:tcW w:w="1005" w:type="pct"/>
                  <w:tcMar>
                    <w:left w:w="85" w:type="dxa"/>
                    <w:right w:w="85" w:type="dxa"/>
                  </w:tcMar>
                  <w:vAlign w:val="center"/>
                </w:tcPr>
                <w:p w14:paraId="4525EAD6">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0.33-0.43</w:t>
                  </w:r>
                </w:p>
              </w:tc>
              <w:tc>
                <w:tcPr>
                  <w:tcW w:w="1115" w:type="pct"/>
                  <w:tcMar>
                    <w:left w:w="85" w:type="dxa"/>
                    <w:right w:w="85" w:type="dxa"/>
                  </w:tcMar>
                  <w:vAlign w:val="center"/>
                </w:tcPr>
                <w:p w14:paraId="5AAEFB4B">
                  <w:pPr>
                    <w:pStyle w:val="24"/>
                    <w:spacing w:line="240" w:lineRule="auto"/>
                    <w:rPr>
                      <w:color w:val="auto"/>
                      <w:highlight w:val="none"/>
                    </w:rPr>
                  </w:pPr>
                  <w:r>
                    <w:rPr>
                      <w:rFonts w:hint="eastAsia"/>
                      <w:color w:val="auto"/>
                      <w:highlight w:val="none"/>
                    </w:rPr>
                    <w:t>2.0</w:t>
                  </w:r>
                </w:p>
              </w:tc>
              <w:tc>
                <w:tcPr>
                  <w:tcW w:w="891" w:type="pct"/>
                  <w:tcMar>
                    <w:left w:w="85" w:type="dxa"/>
                    <w:right w:w="85" w:type="dxa"/>
                  </w:tcMar>
                  <w:vAlign w:val="center"/>
                </w:tcPr>
                <w:p w14:paraId="05EB4723">
                  <w:pPr>
                    <w:pStyle w:val="24"/>
                    <w:spacing w:line="240" w:lineRule="auto"/>
                    <w:rPr>
                      <w:rFonts w:hint="eastAsia" w:eastAsiaTheme="minorEastAsia"/>
                      <w:color w:val="auto"/>
                      <w:highlight w:val="none"/>
                      <w:lang w:eastAsia="zh-CN"/>
                    </w:rPr>
                  </w:pPr>
                  <w:r>
                    <w:rPr>
                      <w:rFonts w:hint="eastAsia"/>
                      <w:color w:val="auto"/>
                      <w:highlight w:val="none"/>
                      <w:lang w:val="en-US" w:eastAsia="zh-CN"/>
                    </w:rPr>
                    <w:t>0</w:t>
                  </w:r>
                </w:p>
              </w:tc>
              <w:tc>
                <w:tcPr>
                  <w:tcW w:w="946" w:type="pct"/>
                  <w:tcMar>
                    <w:left w:w="85" w:type="dxa"/>
                    <w:right w:w="85" w:type="dxa"/>
                  </w:tcMar>
                  <w:vAlign w:val="center"/>
                </w:tcPr>
                <w:p w14:paraId="2E14C9DB">
                  <w:pPr>
                    <w:pStyle w:val="24"/>
                    <w:spacing w:line="240" w:lineRule="auto"/>
                    <w:rPr>
                      <w:color w:val="auto"/>
                      <w:highlight w:val="none"/>
                    </w:rPr>
                  </w:pPr>
                  <w:r>
                    <w:rPr>
                      <w:rFonts w:hint="eastAsia"/>
                      <w:color w:val="auto"/>
                      <w:highlight w:val="none"/>
                    </w:rPr>
                    <w:t>/</w:t>
                  </w:r>
                </w:p>
              </w:tc>
            </w:tr>
            <w:tr w14:paraId="60A57B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40" w:type="pct"/>
                  <w:tcMar>
                    <w:left w:w="85" w:type="dxa"/>
                    <w:right w:w="85" w:type="dxa"/>
                  </w:tcMar>
                  <w:vAlign w:val="center"/>
                </w:tcPr>
                <w:p w14:paraId="3462A9FD">
                  <w:pPr>
                    <w:pStyle w:val="24"/>
                    <w:spacing w:line="240" w:lineRule="auto"/>
                    <w:rPr>
                      <w:rFonts w:hint="eastAsia" w:eastAsiaTheme="minorEastAsia"/>
                      <w:color w:val="auto"/>
                      <w:highlight w:val="none"/>
                      <w:lang w:eastAsia="zh-CN"/>
                    </w:rPr>
                  </w:pPr>
                  <w:r>
                    <w:rPr>
                      <w:rFonts w:hint="eastAsia"/>
                      <w:color w:val="auto"/>
                      <w:highlight w:val="none"/>
                      <w:lang w:eastAsia="zh-CN"/>
                    </w:rPr>
                    <w:t>硫酸雾</w:t>
                  </w:r>
                </w:p>
              </w:tc>
              <w:tc>
                <w:tcPr>
                  <w:tcW w:w="1005" w:type="pct"/>
                  <w:tcMar>
                    <w:left w:w="85" w:type="dxa"/>
                    <w:right w:w="85" w:type="dxa"/>
                  </w:tcMar>
                  <w:vAlign w:val="center"/>
                </w:tcPr>
                <w:p w14:paraId="33CB0BEC">
                  <w:pPr>
                    <w:pStyle w:val="24"/>
                    <w:spacing w:line="240" w:lineRule="auto"/>
                    <w:rPr>
                      <w:rFonts w:hint="eastAsia"/>
                      <w:color w:val="auto"/>
                      <w:highlight w:val="none"/>
                      <w:lang w:val="en-US" w:eastAsia="zh-CN"/>
                    </w:rPr>
                  </w:pPr>
                  <w:r>
                    <w:rPr>
                      <w:rFonts w:hint="eastAsia"/>
                      <w:color w:val="auto"/>
                      <w:highlight w:val="none"/>
                      <w:lang w:val="en-US" w:eastAsia="zh-CN"/>
                    </w:rPr>
                    <w:t>&lt;0.005</w:t>
                  </w:r>
                </w:p>
              </w:tc>
              <w:tc>
                <w:tcPr>
                  <w:tcW w:w="1115" w:type="pct"/>
                  <w:tcMar>
                    <w:left w:w="85" w:type="dxa"/>
                    <w:right w:w="85" w:type="dxa"/>
                  </w:tcMar>
                  <w:vAlign w:val="center"/>
                </w:tcPr>
                <w:p w14:paraId="3AAF13FA">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0.3</w:t>
                  </w:r>
                </w:p>
              </w:tc>
              <w:tc>
                <w:tcPr>
                  <w:tcW w:w="891" w:type="pct"/>
                  <w:tcMar>
                    <w:left w:w="85" w:type="dxa"/>
                    <w:right w:w="85" w:type="dxa"/>
                  </w:tcMar>
                  <w:vAlign w:val="center"/>
                </w:tcPr>
                <w:p w14:paraId="08BEE724">
                  <w:pPr>
                    <w:pStyle w:val="24"/>
                    <w:spacing w:line="240" w:lineRule="auto"/>
                    <w:rPr>
                      <w:rFonts w:hint="default"/>
                      <w:color w:val="auto"/>
                      <w:highlight w:val="none"/>
                      <w:lang w:val="en-US" w:eastAsia="zh-CN"/>
                    </w:rPr>
                  </w:pPr>
                  <w:r>
                    <w:rPr>
                      <w:rFonts w:hint="eastAsia"/>
                      <w:color w:val="auto"/>
                      <w:highlight w:val="none"/>
                      <w:lang w:val="en-US" w:eastAsia="zh-CN"/>
                    </w:rPr>
                    <w:t>0</w:t>
                  </w:r>
                </w:p>
              </w:tc>
              <w:tc>
                <w:tcPr>
                  <w:tcW w:w="946" w:type="pct"/>
                  <w:tcMar>
                    <w:left w:w="85" w:type="dxa"/>
                    <w:right w:w="85" w:type="dxa"/>
                  </w:tcMar>
                  <w:vAlign w:val="center"/>
                </w:tcPr>
                <w:p w14:paraId="4F9BAAE8">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w:t>
                  </w:r>
                </w:p>
              </w:tc>
            </w:tr>
          </w:tbl>
          <w:p w14:paraId="3CD52CDE">
            <w:pPr>
              <w:keepNext w:val="0"/>
              <w:keepLines w:val="0"/>
              <w:pageBreakBefore w:val="0"/>
              <w:widowControl w:val="0"/>
              <w:kinsoku/>
              <w:wordWrap/>
              <w:overflowPunct/>
              <w:topLinePunct w:val="0"/>
              <w:autoSpaceDE w:val="0"/>
              <w:autoSpaceDN w:val="0"/>
              <w:bidi w:val="0"/>
              <w:ind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由分析结果可知，建设项目所在地非甲烷总烃的监测结果满足《大气污染物综合排放标准详解》2.0mg/m</w:t>
            </w:r>
            <w:r>
              <w:rPr>
                <w:rFonts w:hint="eastAsia" w:ascii="Times New Roman" w:hAnsi="Times New Roman" w:eastAsia="Times New Roman" w:cs="Times New Roman"/>
                <w:color w:val="auto"/>
                <w:sz w:val="24"/>
                <w:szCs w:val="24"/>
                <w:highlight w:val="none"/>
                <w:vertAlign w:val="superscript"/>
              </w:rPr>
              <w:t>3</w:t>
            </w:r>
            <w:r>
              <w:rPr>
                <w:rFonts w:hint="eastAsia" w:eastAsia="宋体" w:cs="Times New Roman"/>
                <w:color w:val="auto"/>
                <w:sz w:val="24"/>
                <w:szCs w:val="24"/>
                <w:highlight w:val="none"/>
                <w:vertAlign w:val="baseline"/>
                <w:lang w:val="en-US" w:eastAsia="zh-CN"/>
              </w:rPr>
              <w:t>，</w:t>
            </w:r>
            <w:r>
              <w:rPr>
                <w:rFonts w:hint="eastAsia" w:ascii="Times New Roman" w:hAnsi="Times New Roman" w:eastAsia="宋体" w:cs="Times New Roman"/>
                <w:color w:val="auto"/>
                <w:sz w:val="24"/>
                <w:szCs w:val="24"/>
                <w:highlight w:val="none"/>
                <w:u w:val="none"/>
                <w:lang w:val="en-US" w:eastAsia="zh-CN"/>
              </w:rPr>
              <w:t>硫酸雾的检测结果满足《环境影响评价技术导则 大气环境》附录D中300</w:t>
            </w:r>
            <w:r>
              <w:rPr>
                <w:rFonts w:hint="default" w:ascii="Times New Roman" w:hAnsi="Times New Roman" w:eastAsia="宋体" w:cs="Times New Roman"/>
                <w:color w:val="auto"/>
                <w:sz w:val="24"/>
                <w:szCs w:val="24"/>
                <w:highlight w:val="none"/>
                <w:u w:val="none"/>
                <w:lang w:val="en-US" w:eastAsia="zh-CN"/>
              </w:rPr>
              <w:t>μ</w:t>
            </w:r>
            <w:r>
              <w:rPr>
                <w:rFonts w:hint="eastAsia" w:ascii="Times New Roman" w:hAnsi="Times New Roman" w:eastAsia="宋体" w:cs="Times New Roman"/>
                <w:color w:val="auto"/>
                <w:sz w:val="24"/>
                <w:szCs w:val="24"/>
                <w:highlight w:val="none"/>
                <w:u w:val="none"/>
                <w:lang w:val="en-US" w:eastAsia="zh-CN"/>
              </w:rPr>
              <w:t>g/m</w:t>
            </w:r>
            <w:r>
              <w:rPr>
                <w:rFonts w:hint="eastAsia" w:ascii="Times New Roman" w:hAnsi="Times New Roman" w:eastAsia="宋体" w:cs="Times New Roman"/>
                <w:color w:val="auto"/>
                <w:sz w:val="24"/>
                <w:szCs w:val="24"/>
                <w:highlight w:val="none"/>
                <w:u w:val="none"/>
                <w:vertAlign w:val="superscript"/>
                <w:lang w:val="en-US" w:eastAsia="zh-CN"/>
              </w:rPr>
              <w:t>3</w:t>
            </w:r>
            <w:r>
              <w:rPr>
                <w:rFonts w:hint="eastAsia" w:ascii="Times New Roman" w:hAnsi="Times New Roman" w:eastAsia="宋体" w:cs="Times New Roman"/>
                <w:color w:val="auto"/>
                <w:sz w:val="24"/>
                <w:szCs w:val="24"/>
                <w:highlight w:val="none"/>
                <w:u w:val="none"/>
                <w:lang w:val="en-US" w:eastAsia="zh-CN"/>
              </w:rPr>
              <w:t>（1h平均）。</w:t>
            </w:r>
          </w:p>
          <w:p w14:paraId="592727F9">
            <w:pPr>
              <w:bidi w:val="0"/>
              <w:rPr>
                <w:rFonts w:hint="default"/>
                <w:b/>
                <w:bCs/>
                <w:color w:val="auto"/>
                <w:highlight w:val="none"/>
              </w:rPr>
            </w:pPr>
            <w:r>
              <w:rPr>
                <w:b/>
                <w:bCs/>
                <w:color w:val="auto"/>
                <w:highlight w:val="none"/>
              </w:rPr>
              <w:t>2地表水环境</w:t>
            </w:r>
          </w:p>
          <w:p w14:paraId="3B96E774">
            <w:pPr>
              <w:bidi w:val="0"/>
              <w:rPr>
                <w:color w:val="auto"/>
                <w:highlight w:val="none"/>
              </w:rPr>
            </w:pPr>
            <w:r>
              <w:rPr>
                <w:rFonts w:hint="eastAsia"/>
                <w:color w:val="auto"/>
                <w:highlight w:val="none"/>
              </w:rPr>
              <w:t>本项目位于辽宁省朝阳市北票市</w:t>
            </w:r>
            <w:r>
              <w:rPr>
                <w:rFonts w:hint="eastAsia"/>
                <w:color w:val="auto"/>
                <w:highlight w:val="none"/>
                <w:lang w:eastAsia="zh-CN"/>
              </w:rPr>
              <w:t>建设路</w:t>
            </w:r>
            <w:r>
              <w:rPr>
                <w:rFonts w:hint="eastAsia"/>
                <w:color w:val="auto"/>
                <w:highlight w:val="none"/>
              </w:rPr>
              <w:t>，北票发电有限责任公司厂区内，距离本项目最近地表水体为</w:t>
            </w:r>
            <w:r>
              <w:rPr>
                <w:rFonts w:hint="eastAsia"/>
                <w:color w:val="auto"/>
                <w:highlight w:val="none"/>
                <w:lang w:eastAsia="zh-CN"/>
              </w:rPr>
              <w:t>下</w:t>
            </w:r>
            <w:r>
              <w:rPr>
                <w:rFonts w:hint="eastAsia"/>
                <w:color w:val="auto"/>
                <w:highlight w:val="none"/>
                <w:lang w:val="en-US" w:eastAsia="zh-CN"/>
              </w:rPr>
              <w:t>凉水河上游的东官营子河</w:t>
            </w:r>
            <w:r>
              <w:rPr>
                <w:rFonts w:hint="eastAsia"/>
                <w:color w:val="auto"/>
                <w:highlight w:val="none"/>
              </w:rPr>
              <w:t>，约</w:t>
            </w:r>
            <w:r>
              <w:rPr>
                <w:rFonts w:hint="eastAsia"/>
                <w:color w:val="auto"/>
                <w:highlight w:val="none"/>
                <w:lang w:val="en-US" w:eastAsia="zh-CN"/>
              </w:rPr>
              <w:t>970</w:t>
            </w:r>
            <w:r>
              <w:rPr>
                <w:rFonts w:hint="eastAsia"/>
                <w:color w:val="auto"/>
                <w:highlight w:val="none"/>
              </w:rPr>
              <w:t>m，距离本项目最近国家地表水考核断面为</w:t>
            </w:r>
            <w:r>
              <w:rPr>
                <w:rFonts w:hint="eastAsia"/>
                <w:color w:val="auto"/>
                <w:highlight w:val="none"/>
                <w:lang w:eastAsia="zh-CN"/>
              </w:rPr>
              <w:t>下凉水河</w:t>
            </w:r>
            <w:r>
              <w:rPr>
                <w:rFonts w:hint="eastAsia"/>
                <w:color w:val="auto"/>
                <w:highlight w:val="none"/>
              </w:rPr>
              <w:t>断面，根据朝阳市生态环境局于202</w:t>
            </w:r>
            <w:r>
              <w:rPr>
                <w:rFonts w:hint="eastAsia"/>
                <w:color w:val="auto"/>
                <w:highlight w:val="none"/>
                <w:lang w:val="en-US" w:eastAsia="zh-CN"/>
              </w:rPr>
              <w:t>5</w:t>
            </w:r>
            <w:r>
              <w:rPr>
                <w:rFonts w:hint="eastAsia"/>
                <w:color w:val="auto"/>
                <w:highlight w:val="none"/>
              </w:rPr>
              <w:t>年</w:t>
            </w:r>
            <w:r>
              <w:rPr>
                <w:rFonts w:hint="eastAsia"/>
                <w:color w:val="auto"/>
                <w:highlight w:val="none"/>
                <w:lang w:val="en-US" w:eastAsia="zh-CN"/>
              </w:rPr>
              <w:t>5</w:t>
            </w:r>
            <w:r>
              <w:rPr>
                <w:rFonts w:hint="eastAsia"/>
                <w:color w:val="auto"/>
                <w:highlight w:val="none"/>
              </w:rPr>
              <w:t>月</w:t>
            </w:r>
            <w:r>
              <w:rPr>
                <w:rFonts w:hint="eastAsia"/>
                <w:color w:val="auto"/>
                <w:highlight w:val="none"/>
                <w:lang w:val="en-US" w:eastAsia="zh-CN"/>
              </w:rPr>
              <w:t>6</w:t>
            </w:r>
            <w:r>
              <w:rPr>
                <w:rFonts w:hint="eastAsia"/>
                <w:color w:val="auto"/>
                <w:highlight w:val="none"/>
              </w:rPr>
              <w:t>日发布的《202</w:t>
            </w:r>
            <w:r>
              <w:rPr>
                <w:rFonts w:hint="eastAsia"/>
                <w:color w:val="auto"/>
                <w:highlight w:val="none"/>
                <w:lang w:val="en-US" w:eastAsia="zh-CN"/>
              </w:rPr>
              <w:t>5</w:t>
            </w:r>
            <w:r>
              <w:rPr>
                <w:rFonts w:hint="eastAsia"/>
                <w:color w:val="auto"/>
                <w:highlight w:val="none"/>
              </w:rPr>
              <w:t>年</w:t>
            </w:r>
            <w:r>
              <w:rPr>
                <w:rFonts w:hint="eastAsia"/>
                <w:color w:val="auto"/>
                <w:highlight w:val="none"/>
                <w:lang w:val="en-US" w:eastAsia="zh-CN"/>
              </w:rPr>
              <w:t>3</w:t>
            </w:r>
            <w:r>
              <w:rPr>
                <w:rFonts w:hint="eastAsia"/>
                <w:color w:val="auto"/>
                <w:highlight w:val="none"/>
              </w:rPr>
              <w:t>月份朝阳市地表水水质简报》，</w:t>
            </w:r>
            <w:r>
              <w:rPr>
                <w:rFonts w:hint="eastAsia"/>
                <w:color w:val="auto"/>
                <w:highlight w:val="none"/>
                <w:lang w:val="en-US" w:eastAsia="zh-CN"/>
              </w:rPr>
              <w:t>下凉水河</w:t>
            </w:r>
            <w:r>
              <w:rPr>
                <w:rFonts w:hint="eastAsia"/>
                <w:color w:val="auto"/>
                <w:highlight w:val="none"/>
              </w:rPr>
              <w:t>断面水质为</w:t>
            </w:r>
            <w:r>
              <w:rPr>
                <w:rFonts w:hint="default"/>
                <w:color w:val="auto"/>
                <w:highlight w:val="none"/>
              </w:rPr>
              <w:t>Ⅲ</w:t>
            </w:r>
            <w:r>
              <w:rPr>
                <w:rFonts w:hint="eastAsia"/>
                <w:color w:val="auto"/>
                <w:highlight w:val="none"/>
              </w:rPr>
              <w:t>类，项目区域地表水环境质量良好。</w:t>
            </w:r>
            <w:r>
              <w:rPr>
                <w:rFonts w:hint="eastAsia"/>
                <w:color w:val="auto"/>
                <w:highlight w:val="none"/>
                <w:lang w:eastAsia="zh-CN"/>
              </w:rPr>
              <w:t>本</w:t>
            </w:r>
            <w:r>
              <w:rPr>
                <w:rFonts w:hint="eastAsia"/>
                <w:color w:val="auto"/>
                <w:highlight w:val="none"/>
              </w:rPr>
              <w:t>项目生产无废水产生及外排，不向地表水体直接排放污染物。</w:t>
            </w:r>
          </w:p>
          <w:p w14:paraId="71DC1656">
            <w:pPr>
              <w:bidi w:val="0"/>
              <w:rPr>
                <w:rFonts w:hint="default"/>
                <w:b/>
                <w:bCs/>
                <w:color w:val="auto"/>
                <w:highlight w:val="none"/>
              </w:rPr>
            </w:pPr>
            <w:r>
              <w:rPr>
                <w:b/>
                <w:bCs/>
                <w:color w:val="auto"/>
                <w:highlight w:val="none"/>
              </w:rPr>
              <w:t>3声环境质量现状</w:t>
            </w:r>
          </w:p>
          <w:p w14:paraId="62CF0031">
            <w:pPr>
              <w:keepNext w:val="0"/>
              <w:keepLines w:val="0"/>
              <w:pageBreakBefore w:val="0"/>
              <w:widowControl w:val="0"/>
              <w:shd w:val="clear"/>
              <w:kinsoku/>
              <w:wordWrap/>
              <w:overflowPunct/>
              <w:topLinePunct w:val="0"/>
              <w:autoSpaceDE w:val="0"/>
              <w:autoSpaceDN w:val="0"/>
              <w:bidi w:val="0"/>
              <w:ind w:firstLineChars="200"/>
              <w:jc w:val="both"/>
              <w:textAlignment w:val="auto"/>
              <w:rPr>
                <w:rFonts w:ascii="Times New Roman" w:hAnsi="Times New Roman" w:eastAsia="Times New Roman" w:cs="Times New Roman"/>
                <w:color w:val="auto"/>
                <w:sz w:val="24"/>
                <w:szCs w:val="24"/>
                <w:highlight w:val="none"/>
              </w:rPr>
            </w:pPr>
            <w:r>
              <w:rPr>
                <w:rFonts w:hint="eastAsia"/>
                <w:color w:val="auto"/>
                <w:highlight w:val="none"/>
              </w:rPr>
              <w:t>根据</w:t>
            </w:r>
            <w:r>
              <w:rPr>
                <w:rFonts w:hint="eastAsia"/>
                <w:color w:val="auto"/>
                <w:highlight w:val="none"/>
                <w:lang w:eastAsia="zh-CN"/>
              </w:rPr>
              <w:t>公司以往环评</w:t>
            </w:r>
            <w:r>
              <w:rPr>
                <w:rFonts w:hint="eastAsia"/>
                <w:color w:val="auto"/>
                <w:highlight w:val="none"/>
                <w:lang w:val="en-US" w:eastAsia="zh-CN"/>
              </w:rPr>
              <w:t>及其批复，本项目</w:t>
            </w:r>
            <w:r>
              <w:rPr>
                <w:rFonts w:hint="eastAsia"/>
                <w:color w:val="auto"/>
                <w:highlight w:val="none"/>
              </w:rPr>
              <w:t>所在地声环境为</w:t>
            </w:r>
            <w:r>
              <w:rPr>
                <w:rFonts w:hint="eastAsia"/>
                <w:color w:val="auto"/>
                <w:highlight w:val="none"/>
                <w:lang w:val="en-US" w:eastAsia="zh-CN"/>
              </w:rPr>
              <w:t>2</w:t>
            </w:r>
            <w:r>
              <w:rPr>
                <w:rFonts w:hint="eastAsia"/>
                <w:color w:val="auto"/>
                <w:highlight w:val="none"/>
              </w:rPr>
              <w:t>类功能区，执行《声环境质量标准》（GB3096-2008）中</w:t>
            </w:r>
            <w:r>
              <w:rPr>
                <w:rFonts w:hint="eastAsia"/>
                <w:color w:val="auto"/>
                <w:highlight w:val="none"/>
                <w:lang w:val="en-US" w:eastAsia="zh-CN"/>
              </w:rPr>
              <w:t>2</w:t>
            </w:r>
            <w:r>
              <w:rPr>
                <w:rFonts w:hint="eastAsia"/>
                <w:color w:val="auto"/>
                <w:highlight w:val="none"/>
              </w:rPr>
              <w:t>类标准</w:t>
            </w:r>
            <w:r>
              <w:rPr>
                <w:rFonts w:hint="eastAsia"/>
                <w:color w:val="auto"/>
                <w:highlight w:val="none"/>
                <w:lang w:eastAsia="zh-CN"/>
              </w:rPr>
              <w:t>，</w:t>
            </w:r>
            <w:r>
              <w:rPr>
                <w:rFonts w:hint="eastAsia"/>
                <w:color w:val="auto"/>
                <w:highlight w:val="none"/>
                <w:lang w:val="en-US" w:eastAsia="zh-CN"/>
              </w:rPr>
              <w:t>即</w:t>
            </w:r>
            <w:r>
              <w:rPr>
                <w:rFonts w:hint="eastAsia"/>
                <w:color w:val="auto"/>
                <w:highlight w:val="none"/>
              </w:rPr>
              <w:t>昼间</w:t>
            </w:r>
            <w:r>
              <w:rPr>
                <w:rFonts w:hint="eastAsia"/>
                <w:color w:val="auto"/>
                <w:highlight w:val="none"/>
                <w:lang w:val="en-US" w:eastAsia="zh-CN"/>
              </w:rPr>
              <w:t>60</w:t>
            </w:r>
            <w:r>
              <w:rPr>
                <w:rFonts w:hint="eastAsia"/>
                <w:color w:val="auto"/>
                <w:highlight w:val="none"/>
              </w:rPr>
              <w:t>dB(A)、夜间</w:t>
            </w:r>
            <w:r>
              <w:rPr>
                <w:rFonts w:hint="eastAsia"/>
                <w:color w:val="auto"/>
                <w:highlight w:val="none"/>
                <w:lang w:val="en-US" w:eastAsia="zh-CN"/>
              </w:rPr>
              <w:t>50</w:t>
            </w:r>
            <w:r>
              <w:rPr>
                <w:rFonts w:hint="eastAsia"/>
                <w:color w:val="auto"/>
                <w:highlight w:val="none"/>
              </w:rPr>
              <w:t>dB(A)。</w:t>
            </w:r>
            <w:r>
              <w:rPr>
                <w:rFonts w:hint="eastAsia" w:ascii="Times New Roman" w:hAnsi="Times New Roman" w:eastAsia="Times New Roman" w:cs="Times New Roman"/>
                <w:color w:val="auto"/>
                <w:sz w:val="24"/>
                <w:szCs w:val="24"/>
                <w:highlight w:val="none"/>
              </w:rPr>
              <w:t>辽宁中环祥瑞工程技术有限公司于</w:t>
            </w:r>
            <w:r>
              <w:rPr>
                <w:rFonts w:hint="eastAsia" w:eastAsia="宋体" w:cs="Times New Roman"/>
                <w:color w:val="auto"/>
                <w:sz w:val="24"/>
                <w:szCs w:val="24"/>
                <w:highlight w:val="none"/>
                <w:lang w:val="en-US" w:eastAsia="zh-CN"/>
              </w:rPr>
              <w:t>2025</w:t>
            </w:r>
            <w:r>
              <w:rPr>
                <w:rFonts w:hint="eastAsia" w:ascii="Times New Roman" w:hAnsi="Times New Roman" w:eastAsia="Times New Roman" w:cs="Times New Roman"/>
                <w:color w:val="auto"/>
                <w:sz w:val="24"/>
                <w:szCs w:val="24"/>
                <w:highlight w:val="none"/>
              </w:rPr>
              <w:t>年</w:t>
            </w:r>
            <w:r>
              <w:rPr>
                <w:rFonts w:hint="eastAsia" w:cs="Times New Roman"/>
                <w:color w:val="auto"/>
                <w:sz w:val="24"/>
                <w:szCs w:val="24"/>
                <w:highlight w:val="none"/>
                <w:lang w:val="en-US" w:eastAsia="zh-CN"/>
              </w:rPr>
              <w:t>5</w:t>
            </w:r>
            <w:r>
              <w:rPr>
                <w:rFonts w:hint="eastAsia" w:ascii="Times New Roman" w:hAnsi="Times New Roman" w:eastAsia="Times New Roman" w:cs="Times New Roman"/>
                <w:color w:val="auto"/>
                <w:sz w:val="24"/>
                <w:szCs w:val="24"/>
                <w:highlight w:val="none"/>
              </w:rPr>
              <w:t>月</w:t>
            </w:r>
            <w:r>
              <w:rPr>
                <w:rFonts w:hint="eastAsia" w:cs="Times New Roman"/>
                <w:color w:val="auto"/>
                <w:sz w:val="24"/>
                <w:szCs w:val="24"/>
                <w:highlight w:val="none"/>
                <w:lang w:val="en-US" w:eastAsia="zh-CN"/>
              </w:rPr>
              <w:t>13</w:t>
            </w:r>
            <w:r>
              <w:rPr>
                <w:rFonts w:hint="eastAsia" w:ascii="Times New Roman" w:hAnsi="Times New Roman" w:eastAsia="Times New Roman" w:cs="Times New Roman"/>
                <w:color w:val="auto"/>
                <w:sz w:val="24"/>
                <w:szCs w:val="24"/>
                <w:highlight w:val="none"/>
              </w:rPr>
              <w:t>日对所在区域声环境质量现状</w:t>
            </w:r>
            <w:r>
              <w:rPr>
                <w:rFonts w:hint="eastAsia" w:eastAsia="宋体" w:cs="Times New Roman"/>
                <w:color w:val="auto"/>
                <w:sz w:val="24"/>
                <w:szCs w:val="24"/>
                <w:highlight w:val="none"/>
                <w:lang w:val="en-US" w:eastAsia="zh-CN"/>
              </w:rPr>
              <w:t>进行了监测，</w:t>
            </w:r>
            <w:r>
              <w:rPr>
                <w:rFonts w:hint="eastAsia" w:ascii="Times New Roman" w:hAnsi="Times New Roman" w:eastAsia="Times New Roman" w:cs="Times New Roman"/>
                <w:color w:val="auto"/>
                <w:sz w:val="24"/>
                <w:szCs w:val="24"/>
                <w:highlight w:val="none"/>
              </w:rPr>
              <w:t>监测结果见下表。</w:t>
            </w:r>
          </w:p>
          <w:p w14:paraId="43E051E3">
            <w:pPr>
              <w:pStyle w:val="25"/>
              <w:bidi w:val="0"/>
              <w:rPr>
                <w:color w:val="auto"/>
                <w:highlight w:val="none"/>
              </w:rPr>
            </w:pPr>
            <w:r>
              <w:rPr>
                <w:color w:val="auto"/>
                <w:highlight w:val="none"/>
              </w:rPr>
              <w:t>声环境现状监测结果</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1"/>
              <w:gridCol w:w="2035"/>
              <w:gridCol w:w="1251"/>
              <w:gridCol w:w="1192"/>
              <w:gridCol w:w="1238"/>
              <w:gridCol w:w="1156"/>
            </w:tblGrid>
            <w:tr w14:paraId="7A9B41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pct"/>
                  <w:vMerge w:val="restart"/>
                  <w:vAlign w:val="center"/>
                </w:tcPr>
                <w:p w14:paraId="0FB24A42">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采样时间</w:t>
                  </w:r>
                </w:p>
              </w:tc>
              <w:tc>
                <w:tcPr>
                  <w:tcW w:w="1246" w:type="pct"/>
                  <w:vMerge w:val="restart"/>
                  <w:vAlign w:val="center"/>
                </w:tcPr>
                <w:p w14:paraId="45D782D1">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测点名称</w:t>
                  </w:r>
                </w:p>
              </w:tc>
              <w:tc>
                <w:tcPr>
                  <w:tcW w:w="2962" w:type="pct"/>
                  <w:gridSpan w:val="4"/>
                  <w:vAlign w:val="center"/>
                </w:tcPr>
                <w:p w14:paraId="77C278A5">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检测结果 单位：dB(A)</w:t>
                  </w:r>
                </w:p>
              </w:tc>
            </w:tr>
            <w:tr w14:paraId="184D5E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pct"/>
                  <w:vMerge w:val="continue"/>
                  <w:vAlign w:val="center"/>
                </w:tcPr>
                <w:p w14:paraId="3124645D">
                  <w:pPr>
                    <w:pStyle w:val="27"/>
                    <w:spacing w:line="240" w:lineRule="auto"/>
                    <w:rPr>
                      <w:rFonts w:hint="default" w:ascii="Times New Roman" w:hAnsi="Times New Roman" w:eastAsia="宋体" w:cs="Times New Roman"/>
                      <w:color w:val="auto"/>
                      <w:sz w:val="21"/>
                      <w:szCs w:val="21"/>
                      <w:highlight w:val="none"/>
                    </w:rPr>
                  </w:pPr>
                </w:p>
              </w:tc>
              <w:tc>
                <w:tcPr>
                  <w:tcW w:w="1246" w:type="pct"/>
                  <w:vMerge w:val="continue"/>
                  <w:vAlign w:val="center"/>
                </w:tcPr>
                <w:p w14:paraId="5C2B0B57">
                  <w:pPr>
                    <w:pStyle w:val="27"/>
                    <w:spacing w:line="240" w:lineRule="auto"/>
                    <w:rPr>
                      <w:rFonts w:hint="default" w:ascii="Times New Roman" w:hAnsi="Times New Roman" w:eastAsia="宋体" w:cs="Times New Roman"/>
                      <w:color w:val="auto"/>
                      <w:sz w:val="21"/>
                      <w:szCs w:val="21"/>
                      <w:highlight w:val="none"/>
                    </w:rPr>
                  </w:pPr>
                </w:p>
              </w:tc>
              <w:tc>
                <w:tcPr>
                  <w:tcW w:w="1496" w:type="pct"/>
                  <w:gridSpan w:val="2"/>
                  <w:vAlign w:val="center"/>
                </w:tcPr>
                <w:p w14:paraId="7A5EF459">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昼间</w:t>
                  </w:r>
                </w:p>
              </w:tc>
              <w:tc>
                <w:tcPr>
                  <w:tcW w:w="1466" w:type="pct"/>
                  <w:gridSpan w:val="2"/>
                  <w:vAlign w:val="center"/>
                </w:tcPr>
                <w:p w14:paraId="27D1022E">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夜间</w:t>
                  </w:r>
                </w:p>
              </w:tc>
            </w:tr>
            <w:tr w14:paraId="033100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pct"/>
                  <w:vMerge w:val="continue"/>
                  <w:vAlign w:val="center"/>
                </w:tcPr>
                <w:p w14:paraId="6B287828">
                  <w:pPr>
                    <w:pStyle w:val="27"/>
                    <w:spacing w:line="240" w:lineRule="auto"/>
                    <w:rPr>
                      <w:rFonts w:hint="default" w:ascii="Times New Roman" w:hAnsi="Times New Roman" w:eastAsia="宋体" w:cs="Times New Roman"/>
                      <w:color w:val="auto"/>
                      <w:sz w:val="21"/>
                      <w:szCs w:val="21"/>
                      <w:highlight w:val="none"/>
                    </w:rPr>
                  </w:pPr>
                </w:p>
              </w:tc>
              <w:tc>
                <w:tcPr>
                  <w:tcW w:w="1246" w:type="pct"/>
                  <w:vMerge w:val="continue"/>
                  <w:vAlign w:val="center"/>
                </w:tcPr>
                <w:p w14:paraId="0A9686DA">
                  <w:pPr>
                    <w:pStyle w:val="27"/>
                    <w:spacing w:line="240" w:lineRule="auto"/>
                    <w:rPr>
                      <w:rFonts w:hint="default" w:ascii="Times New Roman" w:hAnsi="Times New Roman" w:eastAsia="宋体" w:cs="Times New Roman"/>
                      <w:color w:val="auto"/>
                      <w:sz w:val="21"/>
                      <w:szCs w:val="21"/>
                      <w:highlight w:val="none"/>
                    </w:rPr>
                  </w:pPr>
                </w:p>
              </w:tc>
              <w:tc>
                <w:tcPr>
                  <w:tcW w:w="766" w:type="pct"/>
                  <w:vAlign w:val="center"/>
                </w:tcPr>
                <w:p w14:paraId="4BC01776">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Leq</w:t>
                  </w:r>
                </w:p>
              </w:tc>
              <w:tc>
                <w:tcPr>
                  <w:tcW w:w="730" w:type="pct"/>
                  <w:vAlign w:val="center"/>
                </w:tcPr>
                <w:p w14:paraId="2350E189">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SD</w:t>
                  </w:r>
                </w:p>
              </w:tc>
              <w:tc>
                <w:tcPr>
                  <w:tcW w:w="758" w:type="pct"/>
                  <w:vAlign w:val="center"/>
                </w:tcPr>
                <w:p w14:paraId="70E90C2C">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Leq</w:t>
                  </w:r>
                </w:p>
              </w:tc>
              <w:tc>
                <w:tcPr>
                  <w:tcW w:w="708" w:type="pct"/>
                  <w:vAlign w:val="center"/>
                </w:tcPr>
                <w:p w14:paraId="3784F829">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SD</w:t>
                  </w:r>
                </w:p>
              </w:tc>
            </w:tr>
            <w:tr w14:paraId="5900B1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pct"/>
                  <w:vMerge w:val="restart"/>
                  <w:vAlign w:val="center"/>
                </w:tcPr>
                <w:p w14:paraId="09E3A2C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bookmarkStart w:id="1" w:name="OLE_LINK2" w:colFirst="2" w:colLast="6"/>
                  <w:r>
                    <w:rPr>
                      <w:rFonts w:hint="eastAsia" w:ascii="Times New Roman" w:hAnsi="Times New Roman" w:eastAsia="宋体" w:cs="Times New Roman"/>
                      <w:color w:val="auto"/>
                      <w:sz w:val="21"/>
                      <w:szCs w:val="21"/>
                      <w:highlight w:val="none"/>
                      <w:lang w:val="en-US" w:eastAsia="zh-CN"/>
                    </w:rPr>
                    <w:t>2025.</w:t>
                  </w:r>
                  <w:r>
                    <w:rPr>
                      <w:rFonts w:hint="eastAsia" w:cs="Times New Roman"/>
                      <w:color w:val="auto"/>
                      <w:sz w:val="21"/>
                      <w:szCs w:val="21"/>
                      <w:highlight w:val="none"/>
                      <w:lang w:val="en-US" w:eastAsia="zh-CN"/>
                    </w:rPr>
                    <w:t>5.13</w:t>
                  </w:r>
                </w:p>
              </w:tc>
              <w:tc>
                <w:tcPr>
                  <w:tcW w:w="1246" w:type="pct"/>
                  <w:vAlign w:val="center"/>
                </w:tcPr>
                <w:p w14:paraId="7CE81B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厂界东侧</w:t>
                  </w:r>
                </w:p>
              </w:tc>
              <w:tc>
                <w:tcPr>
                  <w:tcW w:w="766" w:type="pct"/>
                  <w:vAlign w:val="center"/>
                </w:tcPr>
                <w:p w14:paraId="6F6BA76F">
                  <w:pPr>
                    <w:pStyle w:val="10"/>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53</w:t>
                  </w:r>
                </w:p>
              </w:tc>
              <w:tc>
                <w:tcPr>
                  <w:tcW w:w="730" w:type="pct"/>
                  <w:vAlign w:val="center"/>
                </w:tcPr>
                <w:p w14:paraId="10033BD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1.7</w:t>
                  </w:r>
                </w:p>
              </w:tc>
              <w:tc>
                <w:tcPr>
                  <w:tcW w:w="758" w:type="pct"/>
                  <w:vAlign w:val="center"/>
                </w:tcPr>
                <w:p w14:paraId="671BA44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45</w:t>
                  </w:r>
                </w:p>
              </w:tc>
              <w:tc>
                <w:tcPr>
                  <w:tcW w:w="708" w:type="pct"/>
                  <w:vAlign w:val="center"/>
                </w:tcPr>
                <w:p w14:paraId="2A7B588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2.5</w:t>
                  </w:r>
                </w:p>
              </w:tc>
            </w:tr>
            <w:tr w14:paraId="1A42F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pct"/>
                  <w:vMerge w:val="continue"/>
                  <w:vAlign w:val="center"/>
                </w:tcPr>
                <w:p w14:paraId="0A9DB0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color w:val="auto"/>
                      <w:sz w:val="21"/>
                      <w:szCs w:val="21"/>
                      <w:highlight w:val="none"/>
                    </w:rPr>
                  </w:pPr>
                </w:p>
              </w:tc>
              <w:tc>
                <w:tcPr>
                  <w:tcW w:w="1246" w:type="pct"/>
                  <w:vAlign w:val="center"/>
                </w:tcPr>
                <w:p w14:paraId="5E7708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厂界南侧</w:t>
                  </w:r>
                </w:p>
              </w:tc>
              <w:tc>
                <w:tcPr>
                  <w:tcW w:w="766" w:type="pct"/>
                  <w:vAlign w:val="center"/>
                </w:tcPr>
                <w:p w14:paraId="178B68E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45</w:t>
                  </w:r>
                </w:p>
              </w:tc>
              <w:tc>
                <w:tcPr>
                  <w:tcW w:w="730" w:type="pct"/>
                  <w:vAlign w:val="center"/>
                </w:tcPr>
                <w:p w14:paraId="5A4388C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1.7</w:t>
                  </w:r>
                </w:p>
              </w:tc>
              <w:tc>
                <w:tcPr>
                  <w:tcW w:w="758" w:type="pct"/>
                  <w:vAlign w:val="center"/>
                </w:tcPr>
                <w:p w14:paraId="6BE342F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44</w:t>
                  </w:r>
                </w:p>
              </w:tc>
              <w:tc>
                <w:tcPr>
                  <w:tcW w:w="708" w:type="pct"/>
                  <w:vAlign w:val="center"/>
                </w:tcPr>
                <w:p w14:paraId="088CBD3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2.5</w:t>
                  </w:r>
                </w:p>
              </w:tc>
            </w:tr>
            <w:tr w14:paraId="03120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pct"/>
                  <w:vMerge w:val="continue"/>
                  <w:vAlign w:val="center"/>
                </w:tcPr>
                <w:p w14:paraId="0B3779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color w:val="auto"/>
                      <w:sz w:val="21"/>
                      <w:szCs w:val="21"/>
                      <w:highlight w:val="none"/>
                    </w:rPr>
                  </w:pPr>
                </w:p>
              </w:tc>
              <w:tc>
                <w:tcPr>
                  <w:tcW w:w="1246" w:type="pct"/>
                  <w:vAlign w:val="center"/>
                </w:tcPr>
                <w:p w14:paraId="2F097F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厂界西侧</w:t>
                  </w:r>
                </w:p>
              </w:tc>
              <w:tc>
                <w:tcPr>
                  <w:tcW w:w="766" w:type="pct"/>
                  <w:vAlign w:val="center"/>
                </w:tcPr>
                <w:p w14:paraId="740AA55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58</w:t>
                  </w:r>
                </w:p>
              </w:tc>
              <w:tc>
                <w:tcPr>
                  <w:tcW w:w="730" w:type="pct"/>
                  <w:vAlign w:val="center"/>
                </w:tcPr>
                <w:p w14:paraId="0833CE0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2.7</w:t>
                  </w:r>
                </w:p>
              </w:tc>
              <w:tc>
                <w:tcPr>
                  <w:tcW w:w="758" w:type="pct"/>
                  <w:vAlign w:val="center"/>
                </w:tcPr>
                <w:p w14:paraId="4673960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48</w:t>
                  </w:r>
                </w:p>
              </w:tc>
              <w:tc>
                <w:tcPr>
                  <w:tcW w:w="708" w:type="pct"/>
                  <w:vAlign w:val="center"/>
                </w:tcPr>
                <w:p w14:paraId="5B4F0F7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1.8</w:t>
                  </w:r>
                </w:p>
              </w:tc>
            </w:tr>
            <w:tr w14:paraId="5F6E26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pct"/>
                  <w:vMerge w:val="continue"/>
                  <w:vAlign w:val="center"/>
                </w:tcPr>
                <w:p w14:paraId="47A6F7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sz w:val="21"/>
                      <w:szCs w:val="21"/>
                      <w:highlight w:val="none"/>
                    </w:rPr>
                  </w:pPr>
                </w:p>
              </w:tc>
              <w:tc>
                <w:tcPr>
                  <w:tcW w:w="1246" w:type="pct"/>
                  <w:vAlign w:val="center"/>
                </w:tcPr>
                <w:p w14:paraId="1552FE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厂界北侧</w:t>
                  </w:r>
                </w:p>
              </w:tc>
              <w:tc>
                <w:tcPr>
                  <w:tcW w:w="766" w:type="pct"/>
                  <w:vAlign w:val="center"/>
                </w:tcPr>
                <w:p w14:paraId="4725155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53</w:t>
                  </w:r>
                </w:p>
              </w:tc>
              <w:tc>
                <w:tcPr>
                  <w:tcW w:w="730" w:type="pct"/>
                  <w:vAlign w:val="center"/>
                </w:tcPr>
                <w:p w14:paraId="4AE03C9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2.4</w:t>
                  </w:r>
                </w:p>
              </w:tc>
              <w:tc>
                <w:tcPr>
                  <w:tcW w:w="758" w:type="pct"/>
                  <w:vAlign w:val="center"/>
                </w:tcPr>
                <w:p w14:paraId="440267B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46</w:t>
                  </w:r>
                </w:p>
              </w:tc>
              <w:tc>
                <w:tcPr>
                  <w:tcW w:w="708" w:type="pct"/>
                  <w:vAlign w:val="center"/>
                </w:tcPr>
                <w:p w14:paraId="3A31489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1.7</w:t>
                  </w:r>
                </w:p>
              </w:tc>
            </w:tr>
            <w:tr w14:paraId="26F4B4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0" w:type="pct"/>
                  <w:vAlign w:val="center"/>
                </w:tcPr>
                <w:p w14:paraId="338925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2025.6.16</w:t>
                  </w:r>
                </w:p>
              </w:tc>
              <w:tc>
                <w:tcPr>
                  <w:tcW w:w="1246" w:type="pct"/>
                  <w:vAlign w:val="center"/>
                </w:tcPr>
                <w:p w14:paraId="6AFC99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银河小区</w:t>
                  </w:r>
                </w:p>
              </w:tc>
              <w:tc>
                <w:tcPr>
                  <w:tcW w:w="766" w:type="pct"/>
                  <w:vAlign w:val="center"/>
                </w:tcPr>
                <w:p w14:paraId="05EBF6A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48</w:t>
                  </w:r>
                </w:p>
              </w:tc>
              <w:tc>
                <w:tcPr>
                  <w:tcW w:w="730" w:type="pct"/>
                  <w:vAlign w:val="center"/>
                </w:tcPr>
                <w:p w14:paraId="7111686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w:t>
                  </w:r>
                </w:p>
              </w:tc>
              <w:tc>
                <w:tcPr>
                  <w:tcW w:w="758" w:type="pct"/>
                  <w:vAlign w:val="center"/>
                </w:tcPr>
                <w:p w14:paraId="10335DE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43</w:t>
                  </w:r>
                </w:p>
              </w:tc>
              <w:tc>
                <w:tcPr>
                  <w:tcW w:w="708" w:type="pct"/>
                  <w:vAlign w:val="center"/>
                </w:tcPr>
                <w:p w14:paraId="19D7ADC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w:t>
                  </w:r>
                </w:p>
              </w:tc>
            </w:tr>
            <w:tr w14:paraId="5166F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7" w:type="pct"/>
                  <w:gridSpan w:val="2"/>
                  <w:vAlign w:val="center"/>
                </w:tcPr>
                <w:p w14:paraId="7B1E8742">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标准值</w:t>
                  </w:r>
                </w:p>
              </w:tc>
              <w:tc>
                <w:tcPr>
                  <w:tcW w:w="766" w:type="pct"/>
                  <w:vAlign w:val="center"/>
                </w:tcPr>
                <w:p w14:paraId="1589B978">
                  <w:pPr>
                    <w:pStyle w:val="24"/>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60</w:t>
                  </w:r>
                </w:p>
              </w:tc>
              <w:tc>
                <w:tcPr>
                  <w:tcW w:w="730" w:type="pct"/>
                  <w:vAlign w:val="center"/>
                </w:tcPr>
                <w:p w14:paraId="7F625C62">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758" w:type="pct"/>
                  <w:vAlign w:val="center"/>
                </w:tcPr>
                <w:p w14:paraId="2D4C7CEB">
                  <w:pPr>
                    <w:pStyle w:val="24"/>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50</w:t>
                  </w:r>
                </w:p>
              </w:tc>
              <w:tc>
                <w:tcPr>
                  <w:tcW w:w="708" w:type="pct"/>
                  <w:vAlign w:val="center"/>
                </w:tcPr>
                <w:p w14:paraId="7DA2E8F6">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r>
            <w:bookmarkEnd w:id="1"/>
          </w:tbl>
          <w:p w14:paraId="65C211B2">
            <w:pPr>
              <w:bidi w:val="0"/>
              <w:rPr>
                <w:color w:val="auto"/>
                <w:highlight w:val="none"/>
              </w:rPr>
            </w:pPr>
            <w:r>
              <w:rPr>
                <w:color w:val="auto"/>
                <w:highlight w:val="none"/>
              </w:rPr>
              <w:t>由表可见</w:t>
            </w:r>
            <w:r>
              <w:rPr>
                <w:rFonts w:hint="eastAsia"/>
                <w:color w:val="auto"/>
                <w:highlight w:val="none"/>
              </w:rPr>
              <w:t>，</w:t>
            </w:r>
            <w:r>
              <w:rPr>
                <w:color w:val="auto"/>
                <w:highlight w:val="none"/>
              </w:rPr>
              <w:t>该区域声环境质量较好</w:t>
            </w:r>
            <w:r>
              <w:rPr>
                <w:rFonts w:hint="eastAsia"/>
                <w:color w:val="auto"/>
                <w:highlight w:val="none"/>
              </w:rPr>
              <w:t>，</w:t>
            </w:r>
            <w:r>
              <w:rPr>
                <w:color w:val="auto"/>
                <w:highlight w:val="none"/>
              </w:rPr>
              <w:t>昼夜间各厂界均符合</w:t>
            </w:r>
            <w:r>
              <w:rPr>
                <w:rFonts w:hint="eastAsia"/>
                <w:color w:val="auto"/>
                <w:highlight w:val="none"/>
              </w:rPr>
              <w:t>《声环境质量标准》（GB3096-2008）中</w:t>
            </w:r>
            <w:r>
              <w:rPr>
                <w:rFonts w:hint="eastAsia"/>
                <w:color w:val="auto"/>
                <w:highlight w:val="none"/>
                <w:lang w:val="en-US" w:eastAsia="zh-CN"/>
              </w:rPr>
              <w:t>2</w:t>
            </w:r>
            <w:r>
              <w:rPr>
                <w:rFonts w:hint="eastAsia"/>
                <w:color w:val="auto"/>
                <w:highlight w:val="none"/>
              </w:rPr>
              <w:t>类标准。</w:t>
            </w:r>
          </w:p>
          <w:p w14:paraId="3A7791F5">
            <w:pPr>
              <w:bidi w:val="0"/>
              <w:rPr>
                <w:rFonts w:hint="eastAsia"/>
                <w:b/>
                <w:bCs/>
                <w:color w:val="auto"/>
                <w:highlight w:val="none"/>
                <w:lang w:val="en-US" w:eastAsia="zh-CN"/>
              </w:rPr>
            </w:pPr>
            <w:r>
              <w:rPr>
                <w:rFonts w:hint="eastAsia"/>
                <w:b/>
                <w:bCs/>
                <w:color w:val="auto"/>
                <w:highlight w:val="none"/>
                <w:lang w:val="en-US" w:eastAsia="zh-CN"/>
              </w:rPr>
              <w:t>4地下水环境质量现状</w:t>
            </w:r>
          </w:p>
          <w:p w14:paraId="44B05626">
            <w:pPr>
              <w:bidi w:val="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w:t>
            </w:r>
            <w:r>
              <w:rPr>
                <w:rFonts w:hint="eastAsia" w:cs="Times New Roman"/>
                <w:color w:val="auto"/>
                <w:kern w:val="2"/>
                <w:sz w:val="24"/>
                <w:szCs w:val="24"/>
                <w:highlight w:val="none"/>
                <w:lang w:val="en-US" w:eastAsia="zh-CN" w:bidi="ar-SA"/>
              </w:rPr>
              <w:t>位于北票市城区内，厂区内及厂区外周边地区</w:t>
            </w:r>
            <w:r>
              <w:rPr>
                <w:rFonts w:hint="eastAsia" w:ascii="Times New Roman" w:hAnsi="Times New Roman" w:eastAsia="宋体" w:cs="Times New Roman"/>
                <w:color w:val="auto"/>
                <w:kern w:val="2"/>
                <w:sz w:val="24"/>
                <w:szCs w:val="24"/>
                <w:highlight w:val="none"/>
                <w:lang w:val="en-US" w:eastAsia="zh-CN" w:bidi="ar-SA"/>
              </w:rPr>
              <w:t>用水</w:t>
            </w:r>
            <w:r>
              <w:rPr>
                <w:rFonts w:hint="eastAsia" w:cs="Times New Roman"/>
                <w:color w:val="auto"/>
                <w:kern w:val="2"/>
                <w:sz w:val="24"/>
                <w:szCs w:val="24"/>
                <w:highlight w:val="none"/>
                <w:lang w:val="en-US" w:eastAsia="zh-CN" w:bidi="ar-SA"/>
              </w:rPr>
              <w:t>均</w:t>
            </w:r>
            <w:r>
              <w:rPr>
                <w:rFonts w:hint="eastAsia" w:ascii="Times New Roman" w:hAnsi="Times New Roman" w:eastAsia="宋体" w:cs="Times New Roman"/>
                <w:color w:val="auto"/>
                <w:kern w:val="2"/>
                <w:sz w:val="24"/>
                <w:szCs w:val="24"/>
                <w:highlight w:val="none"/>
                <w:lang w:val="en-US" w:eastAsia="zh-CN" w:bidi="ar-SA"/>
              </w:rPr>
              <w:t>依托城市政供水管网供给，不开采地下水。本项目所在边界外500m范围内不存在地下水集中式饮用水水源和热水、矿泉水、温泉等特殊地下水资源。</w:t>
            </w:r>
          </w:p>
          <w:p w14:paraId="332C09D0">
            <w:pPr>
              <w:bidi w:val="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正常情况下，本项目对地下水基本无影响，故本评价不开展地下水环境质量现状调查。</w:t>
            </w:r>
          </w:p>
          <w:p w14:paraId="1D2476BE">
            <w:pPr>
              <w:bidi w:val="0"/>
              <w:rPr>
                <w:rFonts w:hint="default"/>
                <w:b/>
                <w:bCs/>
                <w:color w:val="auto"/>
                <w:highlight w:val="none"/>
              </w:rPr>
            </w:pPr>
            <w:r>
              <w:rPr>
                <w:rFonts w:hint="eastAsia"/>
                <w:b/>
                <w:bCs/>
                <w:color w:val="auto"/>
                <w:highlight w:val="none"/>
                <w:lang w:val="en-US" w:eastAsia="zh-CN"/>
              </w:rPr>
              <w:t>5</w:t>
            </w:r>
            <w:r>
              <w:rPr>
                <w:b/>
                <w:bCs/>
                <w:color w:val="auto"/>
                <w:highlight w:val="none"/>
              </w:rPr>
              <w:t>土壤质量现状</w:t>
            </w:r>
          </w:p>
          <w:p w14:paraId="1AEC0FE6">
            <w:pPr>
              <w:bidi w:val="0"/>
              <w:rPr>
                <w:color w:val="auto"/>
                <w:highlight w:val="none"/>
              </w:rPr>
            </w:pPr>
            <w:r>
              <w:rPr>
                <w:rFonts w:hint="eastAsia"/>
                <w:color w:val="auto"/>
                <w:highlight w:val="none"/>
              </w:rPr>
              <w:t>辽宁中环祥瑞工程技术有限公司于</w:t>
            </w:r>
            <w:r>
              <w:rPr>
                <w:rFonts w:hint="eastAsia"/>
                <w:color w:val="auto"/>
                <w:highlight w:val="none"/>
                <w:lang w:val="en-US" w:eastAsia="zh-CN"/>
              </w:rPr>
              <w:t>2025</w:t>
            </w:r>
            <w:r>
              <w:rPr>
                <w:rFonts w:hint="eastAsia"/>
                <w:color w:val="auto"/>
                <w:highlight w:val="none"/>
              </w:rPr>
              <w:t>年</w:t>
            </w:r>
            <w:r>
              <w:rPr>
                <w:rFonts w:hint="eastAsia"/>
                <w:color w:val="auto"/>
                <w:highlight w:val="none"/>
                <w:lang w:val="en-US" w:eastAsia="zh-CN"/>
              </w:rPr>
              <w:t>5</w:t>
            </w:r>
            <w:r>
              <w:rPr>
                <w:rFonts w:hint="eastAsia"/>
                <w:color w:val="auto"/>
                <w:highlight w:val="none"/>
              </w:rPr>
              <w:t>月</w:t>
            </w:r>
            <w:r>
              <w:rPr>
                <w:rFonts w:hint="eastAsia"/>
                <w:color w:val="auto"/>
                <w:highlight w:val="none"/>
                <w:lang w:val="en-US" w:eastAsia="zh-CN"/>
              </w:rPr>
              <w:t>13</w:t>
            </w:r>
            <w:r>
              <w:rPr>
                <w:rFonts w:hint="eastAsia"/>
                <w:color w:val="auto"/>
                <w:highlight w:val="none"/>
              </w:rPr>
              <w:t>日对本项目区域</w:t>
            </w:r>
            <w:r>
              <w:rPr>
                <w:rFonts w:hint="eastAsia"/>
                <w:color w:val="auto"/>
                <w:highlight w:val="none"/>
                <w:lang w:eastAsia="zh-CN"/>
              </w:rPr>
              <w:t>土壤进行了</w:t>
            </w:r>
            <w:r>
              <w:rPr>
                <w:rFonts w:hint="eastAsia"/>
                <w:color w:val="auto"/>
                <w:highlight w:val="none"/>
              </w:rPr>
              <w:t>监测。</w:t>
            </w:r>
          </w:p>
          <w:p w14:paraId="3391BF30">
            <w:pPr>
              <w:pStyle w:val="25"/>
              <w:bidi w:val="0"/>
              <w:rPr>
                <w:color w:val="auto"/>
                <w:highlight w:val="none"/>
              </w:rPr>
            </w:pPr>
            <w:r>
              <w:rPr>
                <w:rFonts w:hint="eastAsia"/>
                <w:color w:val="auto"/>
                <w:highlight w:val="none"/>
              </w:rPr>
              <w:t>监测结果</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99"/>
              <w:gridCol w:w="1771"/>
              <w:gridCol w:w="1335"/>
              <w:gridCol w:w="1484"/>
              <w:gridCol w:w="1487"/>
              <w:gridCol w:w="1487"/>
            </w:tblGrid>
            <w:tr w14:paraId="091C50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367" w:type="pct"/>
                  <w:tcMar>
                    <w:left w:w="85" w:type="dxa"/>
                    <w:right w:w="85" w:type="dxa"/>
                  </w:tcMar>
                  <w:vAlign w:val="center"/>
                </w:tcPr>
                <w:p w14:paraId="79605E04">
                  <w:pPr>
                    <w:pStyle w:val="27"/>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采样点位</w:t>
                  </w:r>
                </w:p>
              </w:tc>
              <w:tc>
                <w:tcPr>
                  <w:tcW w:w="1084" w:type="pct"/>
                  <w:tcMar>
                    <w:left w:w="85" w:type="dxa"/>
                    <w:right w:w="85" w:type="dxa"/>
                  </w:tcMar>
                  <w:vAlign w:val="center"/>
                </w:tcPr>
                <w:p w14:paraId="0103A788">
                  <w:pPr>
                    <w:pStyle w:val="27"/>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检测项目</w:t>
                  </w:r>
                </w:p>
              </w:tc>
              <w:tc>
                <w:tcPr>
                  <w:tcW w:w="817" w:type="pct"/>
                  <w:tcMar>
                    <w:left w:w="85" w:type="dxa"/>
                    <w:right w:w="85" w:type="dxa"/>
                  </w:tcMar>
                  <w:vAlign w:val="center"/>
                </w:tcPr>
                <w:p w14:paraId="043ECB6D">
                  <w:pPr>
                    <w:pStyle w:val="27"/>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检测结果</w:t>
                  </w:r>
                </w:p>
              </w:tc>
              <w:tc>
                <w:tcPr>
                  <w:tcW w:w="908" w:type="pct"/>
                  <w:tcMar>
                    <w:left w:w="85" w:type="dxa"/>
                    <w:right w:w="85" w:type="dxa"/>
                  </w:tcMar>
                  <w:vAlign w:val="center"/>
                </w:tcPr>
                <w:p w14:paraId="780EBEDB">
                  <w:pPr>
                    <w:pStyle w:val="27"/>
                    <w:keepNext w:val="0"/>
                    <w:keepLines w:val="0"/>
                    <w:pageBreakBefore w:val="0"/>
                    <w:kinsoku/>
                    <w:wordWrap/>
                    <w:overflowPunct/>
                    <w:topLinePunct w:val="0"/>
                    <w:bidi w:val="0"/>
                    <w:spacing w:line="240" w:lineRule="auto"/>
                    <w:ind w:firstLine="0" w:firstLineChars="0"/>
                    <w:rPr>
                      <w:rFonts w:hint="eastAsia" w:ascii="Times New Roman" w:hAnsi="Times New Roman" w:eastAsia="宋体" w:cs="Times New Roman"/>
                      <w:color w:val="auto"/>
                      <w:sz w:val="21"/>
                      <w:szCs w:val="21"/>
                      <w:highlight w:val="none"/>
                      <w:lang w:eastAsia="zh-CN"/>
                    </w:rPr>
                  </w:pPr>
                  <w:r>
                    <w:rPr>
                      <w:rFonts w:ascii="Times New Roman" w:hAnsi="Times New Roman" w:eastAsia="宋体" w:cs="Times New Roman"/>
                      <w:b/>
                      <w:color w:val="auto"/>
                      <w:sz w:val="21"/>
                      <w:szCs w:val="21"/>
                      <w:highlight w:val="none"/>
                    </w:rPr>
                    <w:t>标准限值</w:t>
                  </w:r>
                  <w:r>
                    <w:rPr>
                      <w:rFonts w:hint="eastAsia" w:ascii="Times New Roman" w:hAnsi="Times New Roman" w:eastAsia="宋体" w:cs="Times New Roman"/>
                      <w:b/>
                      <w:color w:val="auto"/>
                      <w:sz w:val="21"/>
                      <w:szCs w:val="21"/>
                      <w:highlight w:val="none"/>
                      <w:lang w:eastAsia="zh-CN"/>
                    </w:rPr>
                    <w:t>（</w:t>
                  </w:r>
                  <w:r>
                    <w:rPr>
                      <w:rFonts w:hint="eastAsia" w:ascii="Times New Roman" w:hAnsi="Times New Roman" w:eastAsia="宋体" w:cs="Times New Roman"/>
                      <w:b/>
                      <w:color w:val="auto"/>
                      <w:sz w:val="21"/>
                      <w:szCs w:val="21"/>
                      <w:highlight w:val="none"/>
                      <w:lang w:val="en-US" w:eastAsia="zh-CN"/>
                    </w:rPr>
                    <w:t>mg/kg</w:t>
                  </w:r>
                  <w:r>
                    <w:rPr>
                      <w:rFonts w:hint="eastAsia" w:ascii="Times New Roman" w:hAnsi="Times New Roman" w:eastAsia="宋体" w:cs="Times New Roman"/>
                      <w:b/>
                      <w:color w:val="auto"/>
                      <w:sz w:val="21"/>
                      <w:szCs w:val="21"/>
                      <w:highlight w:val="none"/>
                      <w:lang w:eastAsia="zh-CN"/>
                    </w:rPr>
                    <w:t>）</w:t>
                  </w:r>
                </w:p>
              </w:tc>
              <w:tc>
                <w:tcPr>
                  <w:tcW w:w="910" w:type="pct"/>
                  <w:tcMar>
                    <w:left w:w="85" w:type="dxa"/>
                    <w:right w:w="85" w:type="dxa"/>
                  </w:tcMar>
                  <w:vAlign w:val="center"/>
                </w:tcPr>
                <w:p w14:paraId="68BCCDFA">
                  <w:pPr>
                    <w:pStyle w:val="27"/>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单位</w:t>
                  </w:r>
                </w:p>
              </w:tc>
              <w:tc>
                <w:tcPr>
                  <w:tcW w:w="910" w:type="pct"/>
                  <w:tcMar>
                    <w:left w:w="85" w:type="dxa"/>
                    <w:right w:w="85" w:type="dxa"/>
                  </w:tcMar>
                  <w:vAlign w:val="center"/>
                </w:tcPr>
                <w:p w14:paraId="2E36D87F">
                  <w:pPr>
                    <w:pStyle w:val="27"/>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达标情况</w:t>
                  </w:r>
                </w:p>
              </w:tc>
            </w:tr>
            <w:tr w14:paraId="2340EB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restart"/>
                  <w:tcMar>
                    <w:left w:w="85" w:type="dxa"/>
                    <w:right w:w="85" w:type="dxa"/>
                  </w:tcMar>
                  <w:vAlign w:val="center"/>
                </w:tcPr>
                <w:p w14:paraId="1E478DEB">
                  <w:pPr>
                    <w:pStyle w:val="24"/>
                    <w:keepNext w:val="0"/>
                    <w:keepLines w:val="0"/>
                    <w:pageBreakBefore w:val="0"/>
                    <w:kinsoku/>
                    <w:wordWrap/>
                    <w:overflowPunct/>
                    <w:topLinePunct w:val="0"/>
                    <w:bidi w:val="0"/>
                    <w:spacing w:line="240" w:lineRule="auto"/>
                    <w:ind w:firstLine="0" w:firstLineChars="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危废</w:t>
                  </w:r>
                  <w:r>
                    <w:rPr>
                      <w:rFonts w:hint="eastAsia" w:eastAsia="宋体" w:cs="Times New Roman"/>
                      <w:color w:val="auto"/>
                      <w:sz w:val="21"/>
                      <w:szCs w:val="21"/>
                      <w:highlight w:val="none"/>
                      <w:lang w:eastAsia="zh-CN"/>
                    </w:rPr>
                    <w:t>贮存点</w:t>
                  </w:r>
                </w:p>
              </w:tc>
              <w:tc>
                <w:tcPr>
                  <w:tcW w:w="1084" w:type="pct"/>
                  <w:tcMar>
                    <w:left w:w="85" w:type="dxa"/>
                    <w:right w:w="85" w:type="dxa"/>
                  </w:tcMar>
                  <w:vAlign w:val="center"/>
                </w:tcPr>
                <w:p w14:paraId="3A1C3C0D">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汞</w:t>
                  </w:r>
                </w:p>
              </w:tc>
              <w:tc>
                <w:tcPr>
                  <w:tcW w:w="817" w:type="pct"/>
                  <w:tcMar>
                    <w:left w:w="85" w:type="dxa"/>
                    <w:right w:w="85" w:type="dxa"/>
                  </w:tcMar>
                  <w:vAlign w:val="center"/>
                </w:tcPr>
                <w:p w14:paraId="683883BB">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kern w:val="0"/>
                      <w:sz w:val="21"/>
                      <w:szCs w:val="21"/>
                      <w:highlight w:val="none"/>
                      <w:lang w:val="en-US" w:eastAsia="zh-CN" w:bidi="ar"/>
                    </w:rPr>
                    <w:t>1.33</w:t>
                  </w:r>
                </w:p>
              </w:tc>
              <w:tc>
                <w:tcPr>
                  <w:tcW w:w="908" w:type="pct"/>
                  <w:tcMar>
                    <w:left w:w="85" w:type="dxa"/>
                    <w:right w:w="85" w:type="dxa"/>
                  </w:tcMar>
                  <w:vAlign w:val="center"/>
                </w:tcPr>
                <w:p w14:paraId="5B2281F0">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38</w:t>
                  </w:r>
                </w:p>
              </w:tc>
              <w:tc>
                <w:tcPr>
                  <w:tcW w:w="910" w:type="pct"/>
                  <w:tcMar>
                    <w:left w:w="85" w:type="dxa"/>
                    <w:right w:w="85" w:type="dxa"/>
                  </w:tcMar>
                  <w:vAlign w:val="center"/>
                </w:tcPr>
                <w:p w14:paraId="55DFA855">
                  <w:pPr>
                    <w:keepNext w:val="0"/>
                    <w:keepLines w:val="0"/>
                    <w:pageBreakBefore w:val="0"/>
                    <w:widowControl/>
                    <w:kinsoku/>
                    <w:wordWrap/>
                    <w:overflowPunct/>
                    <w:topLinePunct w:val="0"/>
                    <w:bidi w:val="0"/>
                    <w:adjustRightInd w:val="0"/>
                    <w:snapToGri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mg/kg</w:t>
                  </w:r>
                </w:p>
              </w:tc>
              <w:tc>
                <w:tcPr>
                  <w:tcW w:w="910" w:type="pct"/>
                  <w:tcMar>
                    <w:left w:w="85" w:type="dxa"/>
                    <w:right w:w="85" w:type="dxa"/>
                  </w:tcMar>
                  <w:vAlign w:val="center"/>
                </w:tcPr>
                <w:p w14:paraId="00499E0C">
                  <w:pPr>
                    <w:pStyle w:val="24"/>
                    <w:keepNext w:val="0"/>
                    <w:keepLines w:val="0"/>
                    <w:pageBreakBefore w:val="0"/>
                    <w:kinsoku/>
                    <w:wordWrap/>
                    <w:overflowPunct/>
                    <w:topLinePunct w:val="0"/>
                    <w:bidi w:val="0"/>
                    <w:spacing w:line="240" w:lineRule="auto"/>
                    <w:ind w:firstLine="0" w:firstLineChars="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达标</w:t>
                  </w:r>
                </w:p>
              </w:tc>
            </w:tr>
            <w:tr w14:paraId="21A8F0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tcMar>
                    <w:left w:w="85" w:type="dxa"/>
                    <w:right w:w="85" w:type="dxa"/>
                  </w:tcMar>
                  <w:vAlign w:val="center"/>
                </w:tcPr>
                <w:p w14:paraId="0C9E4A55">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shd w:val="clear" w:color="auto" w:fill="auto"/>
                  <w:tcMar>
                    <w:left w:w="85" w:type="dxa"/>
                    <w:right w:w="85" w:type="dxa"/>
                  </w:tcMar>
                  <w:vAlign w:val="center"/>
                </w:tcPr>
                <w:p w14:paraId="2F9651C2">
                  <w:pPr>
                    <w:pStyle w:val="45"/>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rPr>
                    <w:t>砷</w:t>
                  </w:r>
                </w:p>
              </w:tc>
              <w:tc>
                <w:tcPr>
                  <w:tcW w:w="817" w:type="pct"/>
                  <w:shd w:val="clear" w:color="auto" w:fill="auto"/>
                  <w:tcMar>
                    <w:left w:w="85" w:type="dxa"/>
                    <w:right w:w="85" w:type="dxa"/>
                  </w:tcMar>
                  <w:vAlign w:val="center"/>
                </w:tcPr>
                <w:p w14:paraId="34CB3FC4">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kern w:val="2"/>
                      <w:sz w:val="21"/>
                      <w:szCs w:val="21"/>
                      <w:highlight w:val="none"/>
                      <w:lang w:val="en-US" w:eastAsia="zh-CN" w:bidi="ar-SA"/>
                    </w:rPr>
                    <w:t>3.38</w:t>
                  </w:r>
                </w:p>
              </w:tc>
              <w:tc>
                <w:tcPr>
                  <w:tcW w:w="908" w:type="pct"/>
                  <w:shd w:val="clear" w:color="auto" w:fill="auto"/>
                  <w:tcMar>
                    <w:left w:w="85" w:type="dxa"/>
                    <w:right w:w="85" w:type="dxa"/>
                  </w:tcMar>
                  <w:vAlign w:val="center"/>
                </w:tcPr>
                <w:p w14:paraId="745A1632">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910" w:type="pct"/>
                  <w:shd w:val="clear" w:color="auto" w:fill="auto"/>
                  <w:tcMar>
                    <w:left w:w="85" w:type="dxa"/>
                    <w:right w:w="85" w:type="dxa"/>
                  </w:tcMar>
                  <w:vAlign w:val="center"/>
                </w:tcPr>
                <w:p w14:paraId="3F126DC1">
                  <w:pPr>
                    <w:keepNext w:val="0"/>
                    <w:keepLines w:val="0"/>
                    <w:pageBreakBefore w:val="0"/>
                    <w:widowControl/>
                    <w:kinsoku/>
                    <w:wordWrap/>
                    <w:overflowPunct/>
                    <w:topLinePunct w:val="0"/>
                    <w:bidi w:val="0"/>
                    <w:adjustRightInd w:val="0"/>
                    <w:snapToGri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mg/kg</w:t>
                  </w:r>
                </w:p>
              </w:tc>
              <w:tc>
                <w:tcPr>
                  <w:tcW w:w="910" w:type="pct"/>
                  <w:shd w:val="clear" w:color="auto" w:fill="auto"/>
                  <w:tcMar>
                    <w:left w:w="85" w:type="dxa"/>
                    <w:right w:w="85" w:type="dxa"/>
                  </w:tcMar>
                  <w:vAlign w:val="center"/>
                </w:tcPr>
                <w:p w14:paraId="41096D0A">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301A1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690C01E5">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0CB19C7D">
                  <w:pPr>
                    <w:pStyle w:val="45"/>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rPr>
                    <w:t>镉</w:t>
                  </w:r>
                </w:p>
              </w:tc>
              <w:tc>
                <w:tcPr>
                  <w:tcW w:w="817" w:type="pct"/>
                  <w:vAlign w:val="center"/>
                </w:tcPr>
                <w:p w14:paraId="14CD2946">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kern w:val="0"/>
                      <w:sz w:val="21"/>
                      <w:szCs w:val="21"/>
                      <w:highlight w:val="none"/>
                      <w:lang w:val="en-US" w:eastAsia="zh-CN" w:bidi="ar"/>
                    </w:rPr>
                    <w:t>0.09</w:t>
                  </w:r>
                </w:p>
              </w:tc>
              <w:tc>
                <w:tcPr>
                  <w:tcW w:w="908" w:type="pct"/>
                  <w:vAlign w:val="center"/>
                </w:tcPr>
                <w:p w14:paraId="1DB52F4F">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65</w:t>
                  </w:r>
                </w:p>
              </w:tc>
              <w:tc>
                <w:tcPr>
                  <w:tcW w:w="910" w:type="pct"/>
                  <w:vAlign w:val="center"/>
                </w:tcPr>
                <w:p w14:paraId="4AE4AB1C">
                  <w:pPr>
                    <w:keepNext w:val="0"/>
                    <w:keepLines w:val="0"/>
                    <w:pageBreakBefore w:val="0"/>
                    <w:widowControl/>
                    <w:kinsoku/>
                    <w:wordWrap/>
                    <w:overflowPunct/>
                    <w:topLinePunct w:val="0"/>
                    <w:bidi w:val="0"/>
                    <w:spacing w:line="240" w:lineRule="auto"/>
                    <w:ind w:firstLine="0" w:firstLineChars="0"/>
                    <w:jc w:val="center"/>
                    <w:textAlignment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mg/kg</w:t>
                  </w:r>
                </w:p>
              </w:tc>
              <w:tc>
                <w:tcPr>
                  <w:tcW w:w="910" w:type="pct"/>
                  <w:vAlign w:val="center"/>
                </w:tcPr>
                <w:p w14:paraId="418540F7">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391433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74F8BB31">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05323613">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六价铬</w:t>
                  </w:r>
                </w:p>
              </w:tc>
              <w:tc>
                <w:tcPr>
                  <w:tcW w:w="817" w:type="pct"/>
                  <w:vAlign w:val="center"/>
                </w:tcPr>
                <w:p w14:paraId="72512056">
                  <w:pPr>
                    <w:keepNext w:val="0"/>
                    <w:keepLines w:val="0"/>
                    <w:pageBreakBefore w:val="0"/>
                    <w:widowControl/>
                    <w:kinsoku/>
                    <w:wordWrap/>
                    <w:overflowPunct/>
                    <w:topLinePunct w:val="0"/>
                    <w:bidi w:val="0"/>
                    <w:spacing w:line="240" w:lineRule="auto"/>
                    <w:ind w:firstLine="0" w:firstLineChars="0"/>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&lt;0.5</w:t>
                  </w:r>
                </w:p>
              </w:tc>
              <w:tc>
                <w:tcPr>
                  <w:tcW w:w="908" w:type="pct"/>
                  <w:vAlign w:val="center"/>
                </w:tcPr>
                <w:p w14:paraId="2D526E3E">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5.7</w:t>
                  </w:r>
                </w:p>
              </w:tc>
              <w:tc>
                <w:tcPr>
                  <w:tcW w:w="910" w:type="pct"/>
                  <w:vAlign w:val="center"/>
                </w:tcPr>
                <w:p w14:paraId="4E5C02AF">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mg/kg</w:t>
                  </w:r>
                </w:p>
              </w:tc>
              <w:tc>
                <w:tcPr>
                  <w:tcW w:w="910" w:type="pct"/>
                  <w:vAlign w:val="center"/>
                </w:tcPr>
                <w:p w14:paraId="3ADFDC53">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7A2D05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57066757">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2BB76706">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铜</w:t>
                  </w:r>
                </w:p>
              </w:tc>
              <w:tc>
                <w:tcPr>
                  <w:tcW w:w="817" w:type="pct"/>
                  <w:vAlign w:val="center"/>
                </w:tcPr>
                <w:p w14:paraId="35F812AB">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kern w:val="0"/>
                      <w:sz w:val="21"/>
                      <w:szCs w:val="21"/>
                      <w:highlight w:val="none"/>
                      <w:lang w:val="en-US" w:eastAsia="zh-CN" w:bidi="ar"/>
                    </w:rPr>
                    <w:t>24</w:t>
                  </w:r>
                </w:p>
              </w:tc>
              <w:tc>
                <w:tcPr>
                  <w:tcW w:w="908" w:type="pct"/>
                  <w:vAlign w:val="center"/>
                </w:tcPr>
                <w:p w14:paraId="08F0FA86">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18000</w:t>
                  </w:r>
                </w:p>
              </w:tc>
              <w:tc>
                <w:tcPr>
                  <w:tcW w:w="910" w:type="pct"/>
                  <w:vAlign w:val="center"/>
                </w:tcPr>
                <w:p w14:paraId="1FC79656">
                  <w:pPr>
                    <w:keepNext w:val="0"/>
                    <w:keepLines w:val="0"/>
                    <w:pageBreakBefore w:val="0"/>
                    <w:widowControl/>
                    <w:kinsoku/>
                    <w:wordWrap/>
                    <w:overflowPunct/>
                    <w:topLinePunct w:val="0"/>
                    <w:bidi w:val="0"/>
                    <w:spacing w:line="240" w:lineRule="auto"/>
                    <w:ind w:firstLine="0" w:firstLineChars="0"/>
                    <w:jc w:val="center"/>
                    <w:textAlignment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mg/kg</w:t>
                  </w:r>
                </w:p>
              </w:tc>
              <w:tc>
                <w:tcPr>
                  <w:tcW w:w="910" w:type="pct"/>
                  <w:vAlign w:val="center"/>
                </w:tcPr>
                <w:p w14:paraId="46DF28CC">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7F70E0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2C46840B">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2844599D">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镍</w:t>
                  </w:r>
                </w:p>
              </w:tc>
              <w:tc>
                <w:tcPr>
                  <w:tcW w:w="817" w:type="pct"/>
                  <w:vAlign w:val="center"/>
                </w:tcPr>
                <w:p w14:paraId="612E97AD">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kern w:val="0"/>
                      <w:sz w:val="21"/>
                      <w:szCs w:val="21"/>
                      <w:highlight w:val="none"/>
                      <w:lang w:val="en-US" w:eastAsia="zh-CN" w:bidi="ar"/>
                    </w:rPr>
                    <w:t>31</w:t>
                  </w:r>
                </w:p>
              </w:tc>
              <w:tc>
                <w:tcPr>
                  <w:tcW w:w="908" w:type="pct"/>
                  <w:vAlign w:val="center"/>
                </w:tcPr>
                <w:p w14:paraId="537DB82A">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900</w:t>
                  </w:r>
                </w:p>
              </w:tc>
              <w:tc>
                <w:tcPr>
                  <w:tcW w:w="910" w:type="pct"/>
                  <w:vAlign w:val="center"/>
                </w:tcPr>
                <w:p w14:paraId="190F07D0">
                  <w:pPr>
                    <w:keepNext w:val="0"/>
                    <w:keepLines w:val="0"/>
                    <w:pageBreakBefore w:val="0"/>
                    <w:widowControl/>
                    <w:kinsoku/>
                    <w:wordWrap/>
                    <w:overflowPunct/>
                    <w:topLinePunct w:val="0"/>
                    <w:bidi w:val="0"/>
                    <w:spacing w:line="240" w:lineRule="auto"/>
                    <w:ind w:firstLine="0" w:firstLineChars="0"/>
                    <w:jc w:val="center"/>
                    <w:textAlignment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mg/kg</w:t>
                  </w:r>
                </w:p>
              </w:tc>
              <w:tc>
                <w:tcPr>
                  <w:tcW w:w="910" w:type="pct"/>
                  <w:vAlign w:val="center"/>
                </w:tcPr>
                <w:p w14:paraId="70AB8742">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64B73C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286F8216">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58DE4CF3">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铅</w:t>
                  </w:r>
                </w:p>
              </w:tc>
              <w:tc>
                <w:tcPr>
                  <w:tcW w:w="817" w:type="pct"/>
                  <w:vAlign w:val="center"/>
                </w:tcPr>
                <w:p w14:paraId="633AE0A4">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kern w:val="0"/>
                      <w:sz w:val="21"/>
                      <w:szCs w:val="21"/>
                      <w:highlight w:val="none"/>
                      <w:lang w:val="en-US" w:eastAsia="zh-CN" w:bidi="ar"/>
                    </w:rPr>
                    <w:t>44</w:t>
                  </w:r>
                </w:p>
              </w:tc>
              <w:tc>
                <w:tcPr>
                  <w:tcW w:w="908" w:type="pct"/>
                  <w:vAlign w:val="center"/>
                </w:tcPr>
                <w:p w14:paraId="64C8CFAA">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800</w:t>
                  </w:r>
                </w:p>
              </w:tc>
              <w:tc>
                <w:tcPr>
                  <w:tcW w:w="910" w:type="pct"/>
                  <w:vAlign w:val="center"/>
                </w:tcPr>
                <w:p w14:paraId="06D38FAB">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mg/kg</w:t>
                  </w:r>
                </w:p>
              </w:tc>
              <w:tc>
                <w:tcPr>
                  <w:tcW w:w="910" w:type="pct"/>
                  <w:vAlign w:val="center"/>
                </w:tcPr>
                <w:p w14:paraId="7D3B3D9A">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50B20B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64A34D45">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67D84BFF">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0"/>
                      <w:sz w:val="21"/>
                      <w:szCs w:val="21"/>
                      <w:highlight w:val="none"/>
                    </w:rPr>
                    <w:t>氯甲烷</w:t>
                  </w:r>
                </w:p>
              </w:tc>
              <w:tc>
                <w:tcPr>
                  <w:tcW w:w="817" w:type="pct"/>
                  <w:vAlign w:val="center"/>
                </w:tcPr>
                <w:p w14:paraId="6FE8601B">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&lt;1.0</w:t>
                  </w:r>
                </w:p>
              </w:tc>
              <w:tc>
                <w:tcPr>
                  <w:tcW w:w="908" w:type="pct"/>
                  <w:vAlign w:val="center"/>
                </w:tcPr>
                <w:p w14:paraId="40BBF048">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37</w:t>
                  </w:r>
                </w:p>
              </w:tc>
              <w:tc>
                <w:tcPr>
                  <w:tcW w:w="910" w:type="pct"/>
                  <w:vAlign w:val="center"/>
                </w:tcPr>
                <w:p w14:paraId="04FDD965">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1989A600">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4BF4C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5965262E">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18768D74">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0"/>
                      <w:sz w:val="21"/>
                      <w:szCs w:val="21"/>
                      <w:highlight w:val="none"/>
                    </w:rPr>
                    <w:t>氯乙烯</w:t>
                  </w:r>
                </w:p>
              </w:tc>
              <w:tc>
                <w:tcPr>
                  <w:tcW w:w="817" w:type="pct"/>
                  <w:vAlign w:val="center"/>
                </w:tcPr>
                <w:p w14:paraId="171D4D58">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&lt;1.0</w:t>
                  </w:r>
                </w:p>
              </w:tc>
              <w:tc>
                <w:tcPr>
                  <w:tcW w:w="908" w:type="pct"/>
                  <w:vAlign w:val="center"/>
                </w:tcPr>
                <w:p w14:paraId="5A2CF744">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0.43</w:t>
                  </w:r>
                </w:p>
              </w:tc>
              <w:tc>
                <w:tcPr>
                  <w:tcW w:w="910" w:type="pct"/>
                  <w:vAlign w:val="center"/>
                </w:tcPr>
                <w:p w14:paraId="0A16E4CA">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2B53E13E">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7E5537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07D353DF">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5145530C">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1,1-二氯乙烯</w:t>
                  </w:r>
                </w:p>
              </w:tc>
              <w:tc>
                <w:tcPr>
                  <w:tcW w:w="817" w:type="pct"/>
                  <w:vAlign w:val="center"/>
                </w:tcPr>
                <w:p w14:paraId="6B8FE6AC">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&lt;1.0</w:t>
                  </w:r>
                </w:p>
              </w:tc>
              <w:tc>
                <w:tcPr>
                  <w:tcW w:w="908" w:type="pct"/>
                  <w:vAlign w:val="center"/>
                </w:tcPr>
                <w:p w14:paraId="0A91433B">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66</w:t>
                  </w:r>
                </w:p>
              </w:tc>
              <w:tc>
                <w:tcPr>
                  <w:tcW w:w="910" w:type="pct"/>
                  <w:vAlign w:val="center"/>
                </w:tcPr>
                <w:p w14:paraId="01CCF3E5">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2EB55A48">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3A665F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2641F4D2">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4B59DDDA">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二氯甲烷</w:t>
                  </w:r>
                </w:p>
              </w:tc>
              <w:tc>
                <w:tcPr>
                  <w:tcW w:w="817" w:type="pct"/>
                  <w:vAlign w:val="center"/>
                </w:tcPr>
                <w:p w14:paraId="51A0CB90">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&lt;1.5</w:t>
                  </w:r>
                </w:p>
              </w:tc>
              <w:tc>
                <w:tcPr>
                  <w:tcW w:w="908" w:type="pct"/>
                  <w:vAlign w:val="center"/>
                </w:tcPr>
                <w:p w14:paraId="20AE2536">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616</w:t>
                  </w:r>
                </w:p>
              </w:tc>
              <w:tc>
                <w:tcPr>
                  <w:tcW w:w="910" w:type="pct"/>
                  <w:vAlign w:val="center"/>
                </w:tcPr>
                <w:p w14:paraId="53D6508C">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5FDCF315">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6A61CD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0478AF6E">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24EEB208">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反-1,2-二氯乙烯</w:t>
                  </w:r>
                </w:p>
              </w:tc>
              <w:tc>
                <w:tcPr>
                  <w:tcW w:w="817" w:type="pct"/>
                  <w:vAlign w:val="center"/>
                </w:tcPr>
                <w:p w14:paraId="743090AE">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&lt;1.4</w:t>
                  </w:r>
                </w:p>
              </w:tc>
              <w:tc>
                <w:tcPr>
                  <w:tcW w:w="908" w:type="pct"/>
                  <w:vAlign w:val="center"/>
                </w:tcPr>
                <w:p w14:paraId="062B50C3">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54</w:t>
                  </w:r>
                </w:p>
              </w:tc>
              <w:tc>
                <w:tcPr>
                  <w:tcW w:w="910" w:type="pct"/>
                  <w:vAlign w:val="center"/>
                </w:tcPr>
                <w:p w14:paraId="46C5EB88">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31E99E11">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75C91F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452743C3">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0E5F712D">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1,1-二氯乙烷</w:t>
                  </w:r>
                </w:p>
              </w:tc>
              <w:tc>
                <w:tcPr>
                  <w:tcW w:w="817" w:type="pct"/>
                  <w:vAlign w:val="center"/>
                </w:tcPr>
                <w:p w14:paraId="7E857CF2">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&lt;1.2</w:t>
                  </w:r>
                </w:p>
              </w:tc>
              <w:tc>
                <w:tcPr>
                  <w:tcW w:w="908" w:type="pct"/>
                  <w:vAlign w:val="center"/>
                </w:tcPr>
                <w:p w14:paraId="6217598E">
                  <w:pPr>
                    <w:pStyle w:val="24"/>
                    <w:keepNext w:val="0"/>
                    <w:keepLines w:val="0"/>
                    <w:pageBreakBefore w:val="0"/>
                    <w:kinsoku/>
                    <w:wordWrap/>
                    <w:overflowPunct/>
                    <w:topLinePunct w:val="0"/>
                    <w:bidi w:val="0"/>
                    <w:spacing w:line="240" w:lineRule="auto"/>
                    <w:ind w:firstLine="0" w:firstLineChars="0"/>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9</w:t>
                  </w:r>
                </w:p>
              </w:tc>
              <w:tc>
                <w:tcPr>
                  <w:tcW w:w="910" w:type="pct"/>
                  <w:vAlign w:val="center"/>
                </w:tcPr>
                <w:p w14:paraId="34D3905A">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33559886">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3CFDC2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3FCF19E3">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0720EE83">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顺-1,2-二氯乙烯</w:t>
                  </w:r>
                </w:p>
              </w:tc>
              <w:tc>
                <w:tcPr>
                  <w:tcW w:w="817" w:type="pct"/>
                  <w:vAlign w:val="center"/>
                </w:tcPr>
                <w:p w14:paraId="156AD14A">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&lt;1.3</w:t>
                  </w:r>
                </w:p>
              </w:tc>
              <w:tc>
                <w:tcPr>
                  <w:tcW w:w="908" w:type="pct"/>
                  <w:vAlign w:val="center"/>
                </w:tcPr>
                <w:p w14:paraId="3DEBB21D">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596</w:t>
                  </w:r>
                </w:p>
              </w:tc>
              <w:tc>
                <w:tcPr>
                  <w:tcW w:w="910" w:type="pct"/>
                  <w:vAlign w:val="center"/>
                </w:tcPr>
                <w:p w14:paraId="161CDF26">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6CA97BC2">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72AAFC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6E102120">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7BD3B977">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氯仿</w:t>
                  </w:r>
                </w:p>
              </w:tc>
              <w:tc>
                <w:tcPr>
                  <w:tcW w:w="817" w:type="pct"/>
                  <w:vAlign w:val="center"/>
                </w:tcPr>
                <w:p w14:paraId="047EF95A">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&lt;1.1</w:t>
                  </w:r>
                </w:p>
              </w:tc>
              <w:tc>
                <w:tcPr>
                  <w:tcW w:w="908" w:type="pct"/>
                  <w:vAlign w:val="center"/>
                </w:tcPr>
                <w:p w14:paraId="1630B38F">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0.9</w:t>
                  </w:r>
                </w:p>
              </w:tc>
              <w:tc>
                <w:tcPr>
                  <w:tcW w:w="910" w:type="pct"/>
                  <w:vAlign w:val="center"/>
                </w:tcPr>
                <w:p w14:paraId="656541D3">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789B236D">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5868D2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24A16278">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5E4B5CD9">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1,1,1-三氯乙烷</w:t>
                  </w:r>
                </w:p>
              </w:tc>
              <w:tc>
                <w:tcPr>
                  <w:tcW w:w="817" w:type="pct"/>
                  <w:vAlign w:val="center"/>
                </w:tcPr>
                <w:p w14:paraId="0C35E713">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&lt;1.3</w:t>
                  </w:r>
                </w:p>
              </w:tc>
              <w:tc>
                <w:tcPr>
                  <w:tcW w:w="908" w:type="pct"/>
                  <w:vAlign w:val="center"/>
                </w:tcPr>
                <w:p w14:paraId="0AEE6925">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840</w:t>
                  </w:r>
                </w:p>
              </w:tc>
              <w:tc>
                <w:tcPr>
                  <w:tcW w:w="910" w:type="pct"/>
                  <w:vAlign w:val="center"/>
                </w:tcPr>
                <w:p w14:paraId="77446E7B">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174F4DD0">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0D955C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484ED3A7">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131A777A">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四氯化碳</w:t>
                  </w:r>
                </w:p>
              </w:tc>
              <w:tc>
                <w:tcPr>
                  <w:tcW w:w="817" w:type="pct"/>
                  <w:vAlign w:val="center"/>
                </w:tcPr>
                <w:p w14:paraId="79663392">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&lt;1.3</w:t>
                  </w:r>
                </w:p>
              </w:tc>
              <w:tc>
                <w:tcPr>
                  <w:tcW w:w="908" w:type="pct"/>
                  <w:vAlign w:val="center"/>
                </w:tcPr>
                <w:p w14:paraId="60D56757">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2.8</w:t>
                  </w:r>
                </w:p>
              </w:tc>
              <w:tc>
                <w:tcPr>
                  <w:tcW w:w="910" w:type="pct"/>
                  <w:vAlign w:val="center"/>
                </w:tcPr>
                <w:p w14:paraId="75EA65D2">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3C5114BD">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4080E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360752D5">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520186AD">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苯</w:t>
                  </w:r>
                </w:p>
              </w:tc>
              <w:tc>
                <w:tcPr>
                  <w:tcW w:w="817" w:type="pct"/>
                  <w:vAlign w:val="center"/>
                </w:tcPr>
                <w:p w14:paraId="1F9877C3">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&lt;1.9</w:t>
                  </w:r>
                </w:p>
              </w:tc>
              <w:tc>
                <w:tcPr>
                  <w:tcW w:w="908" w:type="pct"/>
                  <w:vAlign w:val="center"/>
                </w:tcPr>
                <w:p w14:paraId="3737304F">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4</w:t>
                  </w:r>
                </w:p>
              </w:tc>
              <w:tc>
                <w:tcPr>
                  <w:tcW w:w="910" w:type="pct"/>
                  <w:vAlign w:val="center"/>
                </w:tcPr>
                <w:p w14:paraId="5B451094">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0399DB5B">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7BBE06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2B31F31C">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364833C4">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1,2-二氯乙烷</w:t>
                  </w:r>
                </w:p>
              </w:tc>
              <w:tc>
                <w:tcPr>
                  <w:tcW w:w="817" w:type="pct"/>
                  <w:vAlign w:val="center"/>
                </w:tcPr>
                <w:p w14:paraId="0AF6C1B2">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&lt;1.3</w:t>
                  </w:r>
                </w:p>
              </w:tc>
              <w:tc>
                <w:tcPr>
                  <w:tcW w:w="908" w:type="pct"/>
                  <w:vAlign w:val="center"/>
                </w:tcPr>
                <w:p w14:paraId="377174D3">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5</w:t>
                  </w:r>
                </w:p>
              </w:tc>
              <w:tc>
                <w:tcPr>
                  <w:tcW w:w="910" w:type="pct"/>
                  <w:vAlign w:val="center"/>
                </w:tcPr>
                <w:p w14:paraId="169B8E1C">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68A77846">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5E153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44179321">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57743CB7">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三氯乙烯</w:t>
                  </w:r>
                </w:p>
              </w:tc>
              <w:tc>
                <w:tcPr>
                  <w:tcW w:w="817" w:type="pct"/>
                  <w:vAlign w:val="center"/>
                </w:tcPr>
                <w:p w14:paraId="214A2F9E">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&lt;1.2</w:t>
                  </w:r>
                </w:p>
              </w:tc>
              <w:tc>
                <w:tcPr>
                  <w:tcW w:w="908" w:type="pct"/>
                  <w:vAlign w:val="center"/>
                </w:tcPr>
                <w:p w14:paraId="361192E5">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2.8</w:t>
                  </w:r>
                </w:p>
              </w:tc>
              <w:tc>
                <w:tcPr>
                  <w:tcW w:w="910" w:type="pct"/>
                  <w:vAlign w:val="center"/>
                </w:tcPr>
                <w:p w14:paraId="5B3D3481">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5614267B">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701FB2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6E4F5356">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743CEEA5">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1,2-二氯丙烷</w:t>
                  </w:r>
                </w:p>
              </w:tc>
              <w:tc>
                <w:tcPr>
                  <w:tcW w:w="817" w:type="pct"/>
                  <w:vAlign w:val="center"/>
                </w:tcPr>
                <w:p w14:paraId="609C1910">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&lt;1.1</w:t>
                  </w:r>
                </w:p>
              </w:tc>
              <w:tc>
                <w:tcPr>
                  <w:tcW w:w="908" w:type="pct"/>
                  <w:vAlign w:val="center"/>
                </w:tcPr>
                <w:p w14:paraId="5F7A7505">
                  <w:pPr>
                    <w:pStyle w:val="24"/>
                    <w:keepNext w:val="0"/>
                    <w:keepLines w:val="0"/>
                    <w:pageBreakBefore w:val="0"/>
                    <w:tabs>
                      <w:tab w:val="left" w:pos="551"/>
                      <w:tab w:val="center" w:pos="779"/>
                    </w:tabs>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5</w:t>
                  </w:r>
                </w:p>
              </w:tc>
              <w:tc>
                <w:tcPr>
                  <w:tcW w:w="910" w:type="pct"/>
                  <w:vAlign w:val="center"/>
                </w:tcPr>
                <w:p w14:paraId="77E82478">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1FCBFFC4">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3A0867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0B10EB51">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23204916">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甲苯</w:t>
                  </w:r>
                </w:p>
              </w:tc>
              <w:tc>
                <w:tcPr>
                  <w:tcW w:w="817" w:type="pct"/>
                  <w:vAlign w:val="center"/>
                </w:tcPr>
                <w:p w14:paraId="28A08F7C">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&lt;1.3</w:t>
                  </w:r>
                </w:p>
              </w:tc>
              <w:tc>
                <w:tcPr>
                  <w:tcW w:w="908" w:type="pct"/>
                  <w:vAlign w:val="center"/>
                </w:tcPr>
                <w:p w14:paraId="32AD4E41">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1200</w:t>
                  </w:r>
                </w:p>
              </w:tc>
              <w:tc>
                <w:tcPr>
                  <w:tcW w:w="910" w:type="pct"/>
                  <w:vAlign w:val="center"/>
                </w:tcPr>
                <w:p w14:paraId="3D9FF505">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3C879FC0">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7EE8B2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6F872358">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2E63CEAC">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1,1,2-三氯乙烷</w:t>
                  </w:r>
                </w:p>
              </w:tc>
              <w:tc>
                <w:tcPr>
                  <w:tcW w:w="817" w:type="pct"/>
                  <w:vAlign w:val="center"/>
                </w:tcPr>
                <w:p w14:paraId="45FC5EF2">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&lt;1.2</w:t>
                  </w:r>
                </w:p>
              </w:tc>
              <w:tc>
                <w:tcPr>
                  <w:tcW w:w="908" w:type="pct"/>
                  <w:vAlign w:val="center"/>
                </w:tcPr>
                <w:p w14:paraId="7DD3482C">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2.8</w:t>
                  </w:r>
                </w:p>
              </w:tc>
              <w:tc>
                <w:tcPr>
                  <w:tcW w:w="910" w:type="pct"/>
                  <w:vAlign w:val="center"/>
                </w:tcPr>
                <w:p w14:paraId="2D84AD28">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55F3A408">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1EF2DB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400952ED">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40BF2670">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四氯乙烯</w:t>
                  </w:r>
                </w:p>
              </w:tc>
              <w:tc>
                <w:tcPr>
                  <w:tcW w:w="817" w:type="pct"/>
                  <w:vAlign w:val="center"/>
                </w:tcPr>
                <w:p w14:paraId="00327673">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&lt;1.4</w:t>
                  </w:r>
                </w:p>
              </w:tc>
              <w:tc>
                <w:tcPr>
                  <w:tcW w:w="908" w:type="pct"/>
                  <w:vAlign w:val="center"/>
                </w:tcPr>
                <w:p w14:paraId="2AF6D280">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53</w:t>
                  </w:r>
                </w:p>
              </w:tc>
              <w:tc>
                <w:tcPr>
                  <w:tcW w:w="910" w:type="pct"/>
                  <w:vAlign w:val="center"/>
                </w:tcPr>
                <w:p w14:paraId="59F63F3C">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56E4B4A4">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708DB0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65D15699">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2AF42890">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氯苯</w:t>
                  </w:r>
                </w:p>
              </w:tc>
              <w:tc>
                <w:tcPr>
                  <w:tcW w:w="817" w:type="pct"/>
                  <w:vAlign w:val="center"/>
                </w:tcPr>
                <w:p w14:paraId="73C4F540">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&lt;1.2</w:t>
                  </w:r>
                </w:p>
              </w:tc>
              <w:tc>
                <w:tcPr>
                  <w:tcW w:w="908" w:type="pct"/>
                  <w:vAlign w:val="center"/>
                </w:tcPr>
                <w:p w14:paraId="66018964">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270</w:t>
                  </w:r>
                </w:p>
              </w:tc>
              <w:tc>
                <w:tcPr>
                  <w:tcW w:w="910" w:type="pct"/>
                  <w:vAlign w:val="center"/>
                </w:tcPr>
                <w:p w14:paraId="6400A5F4">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07EB7FAC">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168E0F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06C7F8A4">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409A6EF0">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1,1,1,2-四氯乙烷</w:t>
                  </w:r>
                </w:p>
              </w:tc>
              <w:tc>
                <w:tcPr>
                  <w:tcW w:w="817" w:type="pct"/>
                  <w:vAlign w:val="center"/>
                </w:tcPr>
                <w:p w14:paraId="7F9ED256">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&lt;1.2</w:t>
                  </w:r>
                </w:p>
              </w:tc>
              <w:tc>
                <w:tcPr>
                  <w:tcW w:w="908" w:type="pct"/>
                  <w:vAlign w:val="center"/>
                </w:tcPr>
                <w:p w14:paraId="0AF835B1">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10</w:t>
                  </w:r>
                </w:p>
              </w:tc>
              <w:tc>
                <w:tcPr>
                  <w:tcW w:w="910" w:type="pct"/>
                  <w:vAlign w:val="center"/>
                </w:tcPr>
                <w:p w14:paraId="6F3071EF">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308FC53A">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689F4C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62E3218F">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3E8B569F">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乙苯</w:t>
                  </w:r>
                </w:p>
              </w:tc>
              <w:tc>
                <w:tcPr>
                  <w:tcW w:w="817" w:type="pct"/>
                  <w:vAlign w:val="center"/>
                </w:tcPr>
                <w:p w14:paraId="0286EC47">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&lt;1.2</w:t>
                  </w:r>
                </w:p>
              </w:tc>
              <w:tc>
                <w:tcPr>
                  <w:tcW w:w="908" w:type="pct"/>
                  <w:vAlign w:val="center"/>
                </w:tcPr>
                <w:p w14:paraId="0D232375">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28</w:t>
                  </w:r>
                </w:p>
              </w:tc>
              <w:tc>
                <w:tcPr>
                  <w:tcW w:w="910" w:type="pct"/>
                  <w:vAlign w:val="center"/>
                </w:tcPr>
                <w:p w14:paraId="1813F3CF">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507D0E6D">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2115C1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42360FE0">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26454D90">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间，对二甲苯</w:t>
                  </w:r>
                </w:p>
              </w:tc>
              <w:tc>
                <w:tcPr>
                  <w:tcW w:w="817" w:type="pct"/>
                  <w:vAlign w:val="center"/>
                </w:tcPr>
                <w:p w14:paraId="77979BC9">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&lt;1.2</w:t>
                  </w:r>
                </w:p>
              </w:tc>
              <w:tc>
                <w:tcPr>
                  <w:tcW w:w="908" w:type="pct"/>
                  <w:vAlign w:val="center"/>
                </w:tcPr>
                <w:p w14:paraId="0E405B32">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570</w:t>
                  </w:r>
                </w:p>
              </w:tc>
              <w:tc>
                <w:tcPr>
                  <w:tcW w:w="910" w:type="pct"/>
                  <w:vAlign w:val="center"/>
                </w:tcPr>
                <w:p w14:paraId="55F7334D">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0777FC46">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4D7218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5A9DDAB6">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74DC50E8">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邻</w:t>
                  </w:r>
                  <w:r>
                    <w:rPr>
                      <w:rFonts w:hint="default"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bidi="ar"/>
                    </w:rPr>
                    <w:t>二甲苯</w:t>
                  </w:r>
                </w:p>
              </w:tc>
              <w:tc>
                <w:tcPr>
                  <w:tcW w:w="817" w:type="pct"/>
                  <w:vAlign w:val="center"/>
                </w:tcPr>
                <w:p w14:paraId="4318B77D">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&lt;1.2</w:t>
                  </w:r>
                </w:p>
              </w:tc>
              <w:tc>
                <w:tcPr>
                  <w:tcW w:w="908" w:type="pct"/>
                  <w:vAlign w:val="center"/>
                </w:tcPr>
                <w:p w14:paraId="2643FCC5">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640</w:t>
                  </w:r>
                </w:p>
              </w:tc>
              <w:tc>
                <w:tcPr>
                  <w:tcW w:w="910" w:type="pct"/>
                  <w:vAlign w:val="center"/>
                </w:tcPr>
                <w:p w14:paraId="1944DA8D">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0181038E">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04F24C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2D149703">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09F2180C">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苯乙烯</w:t>
                  </w:r>
                </w:p>
              </w:tc>
              <w:tc>
                <w:tcPr>
                  <w:tcW w:w="817" w:type="pct"/>
                  <w:vAlign w:val="center"/>
                </w:tcPr>
                <w:p w14:paraId="2791428D">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&lt;1.1</w:t>
                  </w:r>
                </w:p>
              </w:tc>
              <w:tc>
                <w:tcPr>
                  <w:tcW w:w="908" w:type="pct"/>
                  <w:vAlign w:val="center"/>
                </w:tcPr>
                <w:p w14:paraId="0AB2EBED">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1290</w:t>
                  </w:r>
                </w:p>
              </w:tc>
              <w:tc>
                <w:tcPr>
                  <w:tcW w:w="910" w:type="pct"/>
                  <w:vAlign w:val="center"/>
                </w:tcPr>
                <w:p w14:paraId="0D118844">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74A54FC6">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57D913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5E612DE4">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512A71F9">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1,1,2,2-四氯乙烷</w:t>
                  </w:r>
                </w:p>
              </w:tc>
              <w:tc>
                <w:tcPr>
                  <w:tcW w:w="817" w:type="pct"/>
                  <w:vAlign w:val="center"/>
                </w:tcPr>
                <w:p w14:paraId="646337BE">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&lt;1.2</w:t>
                  </w:r>
                </w:p>
              </w:tc>
              <w:tc>
                <w:tcPr>
                  <w:tcW w:w="908" w:type="pct"/>
                  <w:vAlign w:val="center"/>
                </w:tcPr>
                <w:p w14:paraId="4D5E6F81">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6.8</w:t>
                  </w:r>
                </w:p>
              </w:tc>
              <w:tc>
                <w:tcPr>
                  <w:tcW w:w="910" w:type="pct"/>
                  <w:vAlign w:val="center"/>
                </w:tcPr>
                <w:p w14:paraId="3AE88EE4">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06BE914E">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13811D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3DDF87CE">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4369AF98">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1,2,3-三氯丙烷</w:t>
                  </w:r>
                </w:p>
              </w:tc>
              <w:tc>
                <w:tcPr>
                  <w:tcW w:w="817" w:type="pct"/>
                  <w:vAlign w:val="center"/>
                </w:tcPr>
                <w:p w14:paraId="4882382E">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&lt;1.2</w:t>
                  </w:r>
                </w:p>
              </w:tc>
              <w:tc>
                <w:tcPr>
                  <w:tcW w:w="908" w:type="pct"/>
                  <w:vAlign w:val="center"/>
                </w:tcPr>
                <w:p w14:paraId="46B20E02">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0.5</w:t>
                  </w:r>
                </w:p>
              </w:tc>
              <w:tc>
                <w:tcPr>
                  <w:tcW w:w="910" w:type="pct"/>
                  <w:vAlign w:val="center"/>
                </w:tcPr>
                <w:p w14:paraId="37D03FA3">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4B26330B">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243D0F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5B4B8ABF">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7C169634">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1,4-二氯苯</w:t>
                  </w:r>
                </w:p>
              </w:tc>
              <w:tc>
                <w:tcPr>
                  <w:tcW w:w="817" w:type="pct"/>
                  <w:vAlign w:val="center"/>
                </w:tcPr>
                <w:p w14:paraId="098D3A69">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&lt;1.5</w:t>
                  </w:r>
                </w:p>
              </w:tc>
              <w:tc>
                <w:tcPr>
                  <w:tcW w:w="908" w:type="pct"/>
                  <w:vAlign w:val="center"/>
                </w:tcPr>
                <w:p w14:paraId="0A0688D1">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20</w:t>
                  </w:r>
                </w:p>
              </w:tc>
              <w:tc>
                <w:tcPr>
                  <w:tcW w:w="910" w:type="pct"/>
                  <w:vAlign w:val="center"/>
                </w:tcPr>
                <w:p w14:paraId="37BB7605">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2DAB6B38">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7901C2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557BDDEE">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0BFDD03A">
                  <w:pPr>
                    <w:keepNext w:val="0"/>
                    <w:keepLines w:val="0"/>
                    <w:pageBreakBefore w:val="0"/>
                    <w:kinsoku/>
                    <w:wordWrap/>
                    <w:overflowPunct/>
                    <w:topLinePunct w:val="0"/>
                    <w:autoSpaceDE w:val="0"/>
                    <w:autoSpaceDN w:val="0"/>
                    <w:bidi w:val="0"/>
                    <w:adjustRightInd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1,2-二氯苯</w:t>
                  </w:r>
                </w:p>
              </w:tc>
              <w:tc>
                <w:tcPr>
                  <w:tcW w:w="817" w:type="pct"/>
                  <w:vAlign w:val="center"/>
                </w:tcPr>
                <w:p w14:paraId="2329EF9A">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&lt;1.5</w:t>
                  </w:r>
                </w:p>
              </w:tc>
              <w:tc>
                <w:tcPr>
                  <w:tcW w:w="908" w:type="pct"/>
                  <w:vAlign w:val="center"/>
                </w:tcPr>
                <w:p w14:paraId="1AD9B912">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560</w:t>
                  </w:r>
                </w:p>
              </w:tc>
              <w:tc>
                <w:tcPr>
                  <w:tcW w:w="910" w:type="pct"/>
                  <w:vAlign w:val="center"/>
                </w:tcPr>
                <w:p w14:paraId="2D9D9E03">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12C3B4F4">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72A158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5394EACA">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13001FBA">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苯胺</w:t>
                  </w:r>
                </w:p>
              </w:tc>
              <w:tc>
                <w:tcPr>
                  <w:tcW w:w="817" w:type="pct"/>
                  <w:vAlign w:val="center"/>
                </w:tcPr>
                <w:p w14:paraId="06CDDBF8">
                  <w:pPr>
                    <w:keepNext w:val="0"/>
                    <w:keepLines w:val="0"/>
                    <w:pageBreakBefore w:val="0"/>
                    <w:widowControl/>
                    <w:kinsoku/>
                    <w:wordWrap/>
                    <w:overflowPunct/>
                    <w:topLinePunct w:val="0"/>
                    <w:bidi w:val="0"/>
                    <w:spacing w:line="240" w:lineRule="auto"/>
                    <w:ind w:firstLine="0" w:firstLineChars="0"/>
                    <w:jc w:val="center"/>
                    <w:textAlignment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&lt;2</w:t>
                  </w:r>
                </w:p>
              </w:tc>
              <w:tc>
                <w:tcPr>
                  <w:tcW w:w="908" w:type="pct"/>
                  <w:vAlign w:val="center"/>
                </w:tcPr>
                <w:p w14:paraId="227C71D1">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260</w:t>
                  </w:r>
                </w:p>
              </w:tc>
              <w:tc>
                <w:tcPr>
                  <w:tcW w:w="910" w:type="pct"/>
                  <w:vAlign w:val="center"/>
                </w:tcPr>
                <w:p w14:paraId="1B2725A9">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µg/kg</w:t>
                  </w:r>
                </w:p>
              </w:tc>
              <w:tc>
                <w:tcPr>
                  <w:tcW w:w="910" w:type="pct"/>
                  <w:vAlign w:val="center"/>
                </w:tcPr>
                <w:p w14:paraId="47DC89DA">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71DB02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32D293B9">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5379FBB2">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2-氯酚</w:t>
                  </w:r>
                </w:p>
              </w:tc>
              <w:tc>
                <w:tcPr>
                  <w:tcW w:w="817" w:type="pct"/>
                  <w:vAlign w:val="center"/>
                </w:tcPr>
                <w:p w14:paraId="09B9AD31">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&lt;0.06</w:t>
                  </w:r>
                </w:p>
              </w:tc>
              <w:tc>
                <w:tcPr>
                  <w:tcW w:w="908" w:type="pct"/>
                  <w:vAlign w:val="center"/>
                </w:tcPr>
                <w:p w14:paraId="3335D5E4">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2256</w:t>
                  </w:r>
                </w:p>
              </w:tc>
              <w:tc>
                <w:tcPr>
                  <w:tcW w:w="910" w:type="pct"/>
                  <w:vAlign w:val="center"/>
                </w:tcPr>
                <w:p w14:paraId="335B624C">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mg/kg</w:t>
                  </w:r>
                </w:p>
              </w:tc>
              <w:tc>
                <w:tcPr>
                  <w:tcW w:w="910" w:type="pct"/>
                  <w:vAlign w:val="center"/>
                </w:tcPr>
                <w:p w14:paraId="53D6C89D">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3919AA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79EAB6D0">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3C7440C6">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硝基苯</w:t>
                  </w:r>
                </w:p>
              </w:tc>
              <w:tc>
                <w:tcPr>
                  <w:tcW w:w="817" w:type="pct"/>
                  <w:vAlign w:val="center"/>
                </w:tcPr>
                <w:p w14:paraId="52E5C578">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&lt;0.09</w:t>
                  </w:r>
                </w:p>
              </w:tc>
              <w:tc>
                <w:tcPr>
                  <w:tcW w:w="908" w:type="pct"/>
                  <w:vAlign w:val="center"/>
                </w:tcPr>
                <w:p w14:paraId="53D568C1">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76</w:t>
                  </w:r>
                </w:p>
              </w:tc>
              <w:tc>
                <w:tcPr>
                  <w:tcW w:w="910" w:type="pct"/>
                  <w:vAlign w:val="center"/>
                </w:tcPr>
                <w:p w14:paraId="3D209DFD">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mg/kg</w:t>
                  </w:r>
                </w:p>
              </w:tc>
              <w:tc>
                <w:tcPr>
                  <w:tcW w:w="910" w:type="pct"/>
                  <w:vAlign w:val="center"/>
                </w:tcPr>
                <w:p w14:paraId="2759BFA3">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398572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289DACC2">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43F967DE">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萘</w:t>
                  </w:r>
                </w:p>
              </w:tc>
              <w:tc>
                <w:tcPr>
                  <w:tcW w:w="817" w:type="pct"/>
                  <w:vAlign w:val="center"/>
                </w:tcPr>
                <w:p w14:paraId="52127DDF">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&lt;0.09</w:t>
                  </w:r>
                </w:p>
              </w:tc>
              <w:tc>
                <w:tcPr>
                  <w:tcW w:w="908" w:type="pct"/>
                  <w:vAlign w:val="center"/>
                </w:tcPr>
                <w:p w14:paraId="2A73C621">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70</w:t>
                  </w:r>
                </w:p>
              </w:tc>
              <w:tc>
                <w:tcPr>
                  <w:tcW w:w="910" w:type="pct"/>
                  <w:vAlign w:val="center"/>
                </w:tcPr>
                <w:p w14:paraId="3684ABF7">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mg/kg</w:t>
                  </w:r>
                </w:p>
              </w:tc>
              <w:tc>
                <w:tcPr>
                  <w:tcW w:w="910" w:type="pct"/>
                  <w:vAlign w:val="center"/>
                </w:tcPr>
                <w:p w14:paraId="1AC6039E">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40882D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4F88873A">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43B8AD83">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蒽</w:t>
                  </w:r>
                </w:p>
              </w:tc>
              <w:tc>
                <w:tcPr>
                  <w:tcW w:w="817" w:type="pct"/>
                  <w:vAlign w:val="center"/>
                </w:tcPr>
                <w:p w14:paraId="1EE55495">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&lt;0.1</w:t>
                  </w:r>
                </w:p>
              </w:tc>
              <w:tc>
                <w:tcPr>
                  <w:tcW w:w="908" w:type="pct"/>
                  <w:vAlign w:val="center"/>
                </w:tcPr>
                <w:p w14:paraId="5EEA915F">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910" w:type="pct"/>
                  <w:vAlign w:val="center"/>
                </w:tcPr>
                <w:p w14:paraId="67D7E105">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mg/kg</w:t>
                  </w:r>
                </w:p>
              </w:tc>
              <w:tc>
                <w:tcPr>
                  <w:tcW w:w="910" w:type="pct"/>
                  <w:vAlign w:val="center"/>
                </w:tcPr>
                <w:p w14:paraId="5FE07227">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0212FC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433C6CA7">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0021274D">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䓛</w:t>
                  </w:r>
                </w:p>
              </w:tc>
              <w:tc>
                <w:tcPr>
                  <w:tcW w:w="817" w:type="pct"/>
                  <w:vAlign w:val="center"/>
                </w:tcPr>
                <w:p w14:paraId="12ED6647">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&lt;0.1</w:t>
                  </w:r>
                </w:p>
              </w:tc>
              <w:tc>
                <w:tcPr>
                  <w:tcW w:w="908" w:type="pct"/>
                  <w:vAlign w:val="center"/>
                </w:tcPr>
                <w:p w14:paraId="38797934">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1293</w:t>
                  </w:r>
                </w:p>
              </w:tc>
              <w:tc>
                <w:tcPr>
                  <w:tcW w:w="910" w:type="pct"/>
                  <w:vAlign w:val="center"/>
                </w:tcPr>
                <w:p w14:paraId="272B85B5">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mg/kg</w:t>
                  </w:r>
                </w:p>
              </w:tc>
              <w:tc>
                <w:tcPr>
                  <w:tcW w:w="910" w:type="pct"/>
                  <w:vAlign w:val="center"/>
                </w:tcPr>
                <w:p w14:paraId="4BB53730">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25BCB6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2D69348A">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38114C0E">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荧蒽</w:t>
                  </w:r>
                </w:p>
              </w:tc>
              <w:tc>
                <w:tcPr>
                  <w:tcW w:w="817" w:type="pct"/>
                  <w:vAlign w:val="center"/>
                </w:tcPr>
                <w:p w14:paraId="0A9F8F3A">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&lt;0.2</w:t>
                  </w:r>
                </w:p>
              </w:tc>
              <w:tc>
                <w:tcPr>
                  <w:tcW w:w="908" w:type="pct"/>
                  <w:vAlign w:val="center"/>
                </w:tcPr>
                <w:p w14:paraId="26466B41">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910" w:type="pct"/>
                  <w:vAlign w:val="center"/>
                </w:tcPr>
                <w:p w14:paraId="768D6584">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mg/kg</w:t>
                  </w:r>
                </w:p>
              </w:tc>
              <w:tc>
                <w:tcPr>
                  <w:tcW w:w="910" w:type="pct"/>
                  <w:vAlign w:val="center"/>
                </w:tcPr>
                <w:p w14:paraId="297C6F0B">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29779E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53B85E0A">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62FC8E02">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k</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荧蒽</w:t>
                  </w:r>
                </w:p>
              </w:tc>
              <w:tc>
                <w:tcPr>
                  <w:tcW w:w="817" w:type="pct"/>
                  <w:vAlign w:val="center"/>
                </w:tcPr>
                <w:p w14:paraId="0DE0BD8B">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&lt;0.1</w:t>
                  </w:r>
                </w:p>
              </w:tc>
              <w:tc>
                <w:tcPr>
                  <w:tcW w:w="908" w:type="pct"/>
                  <w:vAlign w:val="center"/>
                </w:tcPr>
                <w:p w14:paraId="01D436AC">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151</w:t>
                  </w:r>
                </w:p>
              </w:tc>
              <w:tc>
                <w:tcPr>
                  <w:tcW w:w="910" w:type="pct"/>
                  <w:vAlign w:val="center"/>
                </w:tcPr>
                <w:p w14:paraId="4542084D">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mg/kg</w:t>
                  </w:r>
                </w:p>
              </w:tc>
              <w:tc>
                <w:tcPr>
                  <w:tcW w:w="910" w:type="pct"/>
                  <w:vAlign w:val="center"/>
                </w:tcPr>
                <w:p w14:paraId="11454513">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47AB5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6D16E152">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21CF00D9">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w:t>
                  </w:r>
                  <w:r>
                    <w:rPr>
                      <w:rFonts w:hint="default" w:ascii="Times New Roman" w:hAnsi="Times New Roman" w:eastAsia="宋体" w:cs="Times New Roman"/>
                      <w:color w:val="auto"/>
                      <w:sz w:val="21"/>
                      <w:szCs w:val="21"/>
                      <w:highlight w:val="none"/>
                      <w:lang w:val="en-US" w:eastAsia="zh-CN"/>
                    </w:rPr>
                    <w:t>并（</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芘</w:t>
                  </w:r>
                </w:p>
              </w:tc>
              <w:tc>
                <w:tcPr>
                  <w:tcW w:w="817" w:type="pct"/>
                  <w:vAlign w:val="center"/>
                </w:tcPr>
                <w:p w14:paraId="1D605AA1">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&lt;0.1</w:t>
                  </w:r>
                </w:p>
              </w:tc>
              <w:tc>
                <w:tcPr>
                  <w:tcW w:w="908" w:type="pct"/>
                  <w:vAlign w:val="center"/>
                </w:tcPr>
                <w:p w14:paraId="14818525">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910" w:type="pct"/>
                  <w:vAlign w:val="center"/>
                </w:tcPr>
                <w:p w14:paraId="47DD87D3">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mg/kg</w:t>
                  </w:r>
                </w:p>
              </w:tc>
              <w:tc>
                <w:tcPr>
                  <w:tcW w:w="910" w:type="pct"/>
                  <w:vAlign w:val="center"/>
                </w:tcPr>
                <w:p w14:paraId="18B08A03">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245FDF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146FCD4B">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15D6CE09">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茚并</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1,2,3-cd</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芘</w:t>
                  </w:r>
                </w:p>
              </w:tc>
              <w:tc>
                <w:tcPr>
                  <w:tcW w:w="817" w:type="pct"/>
                  <w:vAlign w:val="center"/>
                </w:tcPr>
                <w:p w14:paraId="0CC08BAC">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&lt;0.1</w:t>
                  </w:r>
                </w:p>
              </w:tc>
              <w:tc>
                <w:tcPr>
                  <w:tcW w:w="908" w:type="pct"/>
                  <w:vAlign w:val="center"/>
                </w:tcPr>
                <w:p w14:paraId="51BAF583">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910" w:type="pct"/>
                  <w:vAlign w:val="center"/>
                </w:tcPr>
                <w:p w14:paraId="0C698CFE">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mg/kg</w:t>
                  </w:r>
                </w:p>
              </w:tc>
              <w:tc>
                <w:tcPr>
                  <w:tcW w:w="910" w:type="pct"/>
                  <w:vAlign w:val="center"/>
                </w:tcPr>
                <w:p w14:paraId="48529D0D">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659034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0CFDD690">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011D130E">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二苯并</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蒽</w:t>
                  </w:r>
                </w:p>
              </w:tc>
              <w:tc>
                <w:tcPr>
                  <w:tcW w:w="817" w:type="pct"/>
                  <w:vAlign w:val="center"/>
                </w:tcPr>
                <w:p w14:paraId="5370B12A">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&lt;0.1</w:t>
                  </w:r>
                </w:p>
              </w:tc>
              <w:tc>
                <w:tcPr>
                  <w:tcW w:w="908" w:type="pct"/>
                  <w:vAlign w:val="center"/>
                </w:tcPr>
                <w:p w14:paraId="25497120">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910" w:type="pct"/>
                  <w:vAlign w:val="center"/>
                </w:tcPr>
                <w:p w14:paraId="0D85A7E7">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mg/kg</w:t>
                  </w:r>
                </w:p>
              </w:tc>
              <w:tc>
                <w:tcPr>
                  <w:tcW w:w="910" w:type="pct"/>
                  <w:vAlign w:val="center"/>
                </w:tcPr>
                <w:p w14:paraId="5B870323">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0CE46F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68438355">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011243D3">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石油烃</w:t>
                  </w:r>
                </w:p>
              </w:tc>
              <w:tc>
                <w:tcPr>
                  <w:tcW w:w="817" w:type="pct"/>
                  <w:vAlign w:val="center"/>
                </w:tcPr>
                <w:p w14:paraId="34C0B75E">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kern w:val="0"/>
                      <w:sz w:val="21"/>
                      <w:szCs w:val="21"/>
                      <w:highlight w:val="none"/>
                      <w:lang w:val="en-US" w:eastAsia="zh-CN" w:bidi="ar"/>
                    </w:rPr>
                    <w:t>34</w:t>
                  </w:r>
                </w:p>
              </w:tc>
              <w:tc>
                <w:tcPr>
                  <w:tcW w:w="908" w:type="pct"/>
                  <w:vAlign w:val="center"/>
                </w:tcPr>
                <w:p w14:paraId="60475016">
                  <w:pPr>
                    <w:pStyle w:val="24"/>
                    <w:keepNext w:val="0"/>
                    <w:keepLines w:val="0"/>
                    <w:pageBreakBefore w:val="0"/>
                    <w:kinsoku/>
                    <w:wordWrap/>
                    <w:overflowPunct/>
                    <w:topLinePunct w:val="0"/>
                    <w:bidi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4500</w:t>
                  </w:r>
                </w:p>
              </w:tc>
              <w:tc>
                <w:tcPr>
                  <w:tcW w:w="910" w:type="pct"/>
                  <w:vAlign w:val="center"/>
                </w:tcPr>
                <w:p w14:paraId="2AD85783">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rPr>
                    <w:t>mg/kg</w:t>
                  </w:r>
                </w:p>
              </w:tc>
              <w:tc>
                <w:tcPr>
                  <w:tcW w:w="910" w:type="pct"/>
                  <w:vAlign w:val="center"/>
                </w:tcPr>
                <w:p w14:paraId="48A213F5">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592C10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pct"/>
                  <w:vMerge w:val="continue"/>
                  <w:vAlign w:val="center"/>
                </w:tcPr>
                <w:p w14:paraId="32A5B8DA">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p>
              </w:tc>
              <w:tc>
                <w:tcPr>
                  <w:tcW w:w="1084" w:type="pct"/>
                  <w:vAlign w:val="center"/>
                </w:tcPr>
                <w:p w14:paraId="079B3E4F">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 w:val="0"/>
                      <w:bCs/>
                      <w:color w:val="auto"/>
                      <w:sz w:val="21"/>
                      <w:szCs w:val="21"/>
                      <w:highlight w:val="none"/>
                      <w:u w:val="none"/>
                      <w:lang w:val="en-US" w:eastAsia="zh-CN"/>
                    </w:rPr>
                    <w:t>pH</w:t>
                  </w:r>
                </w:p>
              </w:tc>
              <w:tc>
                <w:tcPr>
                  <w:tcW w:w="817" w:type="pct"/>
                  <w:vAlign w:val="center"/>
                </w:tcPr>
                <w:p w14:paraId="1DB31D54">
                  <w:pPr>
                    <w:keepNext w:val="0"/>
                    <w:keepLines w:val="0"/>
                    <w:pageBreakBefore w:val="0"/>
                    <w:widowControl/>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kern w:val="0"/>
                      <w:sz w:val="21"/>
                      <w:szCs w:val="21"/>
                      <w:highlight w:val="none"/>
                      <w:lang w:val="en-US" w:eastAsia="zh-CN" w:bidi="ar"/>
                    </w:rPr>
                    <w:t>7.45</w:t>
                  </w:r>
                </w:p>
              </w:tc>
              <w:tc>
                <w:tcPr>
                  <w:tcW w:w="908" w:type="pct"/>
                  <w:vAlign w:val="center"/>
                </w:tcPr>
                <w:p w14:paraId="7B78E0ED">
                  <w:pPr>
                    <w:pStyle w:val="24"/>
                    <w:keepNext w:val="0"/>
                    <w:keepLines w:val="0"/>
                    <w:pageBreakBefore w:val="0"/>
                    <w:kinsoku/>
                    <w:wordWrap/>
                    <w:overflowPunct/>
                    <w:topLinePunct w:val="0"/>
                    <w:bidi w:val="0"/>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10" w:type="pct"/>
                  <w:vAlign w:val="center"/>
                </w:tcPr>
                <w:p w14:paraId="6759D3E3">
                  <w:pPr>
                    <w:keepNext w:val="0"/>
                    <w:keepLines w:val="0"/>
                    <w:pageBreakBefore w:val="0"/>
                    <w:kinsoku/>
                    <w:wordWrap/>
                    <w:overflowPunct/>
                    <w:topLinePunct w:val="0"/>
                    <w:bidi w:val="0"/>
                    <w:spacing w:line="240" w:lineRule="auto"/>
                    <w:ind w:firstLine="0" w:firstLineChars="0"/>
                    <w:jc w:val="center"/>
                    <w:rPr>
                      <w:rFonts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无量纲</w:t>
                  </w:r>
                </w:p>
              </w:tc>
              <w:tc>
                <w:tcPr>
                  <w:tcW w:w="910" w:type="pct"/>
                  <w:vAlign w:val="center"/>
                </w:tcPr>
                <w:p w14:paraId="7C22ABF7">
                  <w:pPr>
                    <w:pStyle w:val="24"/>
                    <w:keepNext w:val="0"/>
                    <w:keepLines w:val="0"/>
                    <w:pageBreakBefore w:val="0"/>
                    <w:kinsoku/>
                    <w:wordWrap/>
                    <w:overflowPunct/>
                    <w:topLinePunct w:val="0"/>
                    <w:bidi w:val="0"/>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bl>
          <w:p w14:paraId="0A793CDA">
            <w:pPr>
              <w:bidi w:val="0"/>
              <w:rPr>
                <w:color w:val="auto"/>
                <w:highlight w:val="none"/>
              </w:rPr>
            </w:pPr>
            <w:r>
              <w:rPr>
                <w:rFonts w:hint="eastAsia"/>
                <w:color w:val="auto"/>
                <w:highlight w:val="none"/>
              </w:rPr>
              <w:t>根据检测结果分析，检测结果均符合《土壤环境质量建设用地土壤污染风险管控标准（试行）》（GB36600-2018）表1中二类用地筛选值。</w:t>
            </w:r>
          </w:p>
          <w:p w14:paraId="68202E7E">
            <w:pPr>
              <w:bidi w:val="0"/>
              <w:rPr>
                <w:rFonts w:hint="default"/>
                <w:b/>
                <w:bCs/>
                <w:color w:val="auto"/>
                <w:highlight w:val="none"/>
              </w:rPr>
            </w:pPr>
            <w:r>
              <w:rPr>
                <w:rFonts w:hint="eastAsia"/>
                <w:b/>
                <w:bCs/>
                <w:color w:val="auto"/>
                <w:highlight w:val="none"/>
                <w:lang w:val="en-US" w:eastAsia="zh-CN"/>
              </w:rPr>
              <w:t>5</w:t>
            </w:r>
            <w:r>
              <w:rPr>
                <w:b/>
                <w:bCs/>
                <w:color w:val="auto"/>
                <w:highlight w:val="none"/>
              </w:rPr>
              <w:t>生态环境质量现状</w:t>
            </w:r>
          </w:p>
          <w:p w14:paraId="641C6B4C">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color w:val="auto"/>
                <w:highlight w:val="none"/>
              </w:rPr>
            </w:pPr>
            <w:r>
              <w:rPr>
                <w:rFonts w:hint="eastAsia" w:ascii="Times New Roman" w:hAnsi="Times New Roman" w:eastAsia="Times New Roman" w:cs="Times New Roman"/>
                <w:color w:val="auto"/>
                <w:sz w:val="24"/>
                <w:szCs w:val="24"/>
                <w:highlight w:val="none"/>
              </w:rPr>
              <w:t>本项目位于北票发电有限责任公司厂区内，不涉及新增厂区外用地，不涉及生态环境保护目标。</w:t>
            </w:r>
          </w:p>
        </w:tc>
      </w:tr>
      <w:tr w14:paraId="72FDB1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7" w:type="dxa"/>
            <w:vAlign w:val="center"/>
          </w:tcPr>
          <w:p w14:paraId="0575CCE2">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环境</w:t>
            </w:r>
          </w:p>
          <w:p w14:paraId="7A9B2289">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保护</w:t>
            </w:r>
          </w:p>
          <w:p w14:paraId="43B83161">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目标</w:t>
            </w:r>
          </w:p>
        </w:tc>
        <w:tc>
          <w:tcPr>
            <w:tcW w:w="8387" w:type="dxa"/>
            <w:vAlign w:val="center"/>
          </w:tcPr>
          <w:p w14:paraId="4DDA4406">
            <w:pPr>
              <w:keepLines w:val="0"/>
              <w:pageBreakBefore w:val="0"/>
              <w:widowControl w:val="0"/>
              <w:kinsoku/>
              <w:wordWrap/>
              <w:topLinePunct w:val="0"/>
              <w:bidi w:val="0"/>
              <w:spacing w:line="360" w:lineRule="auto"/>
              <w:jc w:val="both"/>
              <w:textAlignment w:val="auto"/>
              <w:rPr>
                <w:rFonts w:hint="default"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1大气环境</w:t>
            </w:r>
          </w:p>
          <w:p w14:paraId="5EC8AD9A">
            <w:pPr>
              <w:keepLines w:val="0"/>
              <w:pageBreakBefore w:val="0"/>
              <w:widowControl w:val="0"/>
              <w:kinsoku/>
              <w:wordWrap/>
              <w:topLinePunct w:val="0"/>
              <w:bidi w:val="0"/>
              <w:spacing w:line="360" w:lineRule="auto"/>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项目厂界外500米范围内大气环境保护目标</w:t>
            </w:r>
            <w:r>
              <w:rPr>
                <w:rFonts w:hint="eastAsia" w:cs="Times New Roman"/>
                <w:color w:val="auto"/>
                <w:highlight w:val="none"/>
                <w:lang w:eastAsia="zh-CN"/>
              </w:rPr>
              <w:t>见下表</w:t>
            </w:r>
            <w:r>
              <w:rPr>
                <w:rFonts w:hint="eastAsia" w:cs="Times New Roman"/>
                <w:color w:val="auto"/>
                <w:highlight w:val="none"/>
                <w:lang w:val="en-US" w:eastAsia="zh-CN"/>
              </w:rPr>
              <w:t>。</w:t>
            </w:r>
          </w:p>
          <w:p w14:paraId="4395F73C">
            <w:pPr>
              <w:keepLines w:val="0"/>
              <w:pageBreakBefore w:val="0"/>
              <w:widowControl w:val="0"/>
              <w:kinsoku/>
              <w:wordWrap/>
              <w:topLinePunct w:val="0"/>
              <w:bidi w:val="0"/>
              <w:spacing w:line="360" w:lineRule="auto"/>
              <w:jc w:val="both"/>
              <w:textAlignment w:val="auto"/>
              <w:rPr>
                <w:rFonts w:hint="default"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2声环境</w:t>
            </w:r>
          </w:p>
          <w:p w14:paraId="6BEE7364">
            <w:pPr>
              <w:keepLines w:val="0"/>
              <w:pageBreakBefore w:val="0"/>
              <w:widowControl w:val="0"/>
              <w:kinsoku/>
              <w:wordWrap/>
              <w:topLinePunct w:val="0"/>
              <w:bidi w:val="0"/>
              <w:spacing w:line="360" w:lineRule="auto"/>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项目厂界外50米范围内声环境保护目标</w:t>
            </w:r>
            <w:r>
              <w:rPr>
                <w:rFonts w:hint="eastAsia" w:cs="Times New Roman"/>
                <w:color w:val="auto"/>
                <w:highlight w:val="none"/>
                <w:lang w:eastAsia="zh-CN"/>
              </w:rPr>
              <w:t>见下表</w:t>
            </w:r>
            <w:r>
              <w:rPr>
                <w:rFonts w:hint="eastAsia" w:cs="Times New Roman"/>
                <w:color w:val="auto"/>
                <w:highlight w:val="none"/>
                <w:lang w:val="en-US" w:eastAsia="zh-CN"/>
              </w:rPr>
              <w:t>。</w:t>
            </w:r>
          </w:p>
          <w:p w14:paraId="0F7C20B0">
            <w:pPr>
              <w:keepLines w:val="0"/>
              <w:pageBreakBefore w:val="0"/>
              <w:widowControl w:val="0"/>
              <w:kinsoku/>
              <w:wordWrap/>
              <w:topLinePunct w:val="0"/>
              <w:bidi w:val="0"/>
              <w:spacing w:line="360" w:lineRule="auto"/>
              <w:jc w:val="both"/>
              <w:textAlignment w:val="auto"/>
              <w:rPr>
                <w:rFonts w:hint="default"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3地下水环境</w:t>
            </w:r>
          </w:p>
          <w:p w14:paraId="2F5E97A1">
            <w:pPr>
              <w:bidi w:val="0"/>
              <w:rPr>
                <w:color w:val="auto"/>
                <w:highlight w:val="none"/>
              </w:rPr>
            </w:pPr>
            <w:r>
              <w:rPr>
                <w:rFonts w:hint="eastAsia"/>
                <w:color w:val="auto"/>
                <w:highlight w:val="none"/>
              </w:rPr>
              <w:t>厂界外500米范围内地下水环境保护目标</w:t>
            </w:r>
            <w:r>
              <w:rPr>
                <w:rFonts w:hint="eastAsia"/>
                <w:color w:val="auto"/>
                <w:highlight w:val="none"/>
                <w:lang w:eastAsia="zh-CN"/>
              </w:rPr>
              <w:t>见</w:t>
            </w:r>
            <w:r>
              <w:rPr>
                <w:rFonts w:hint="eastAsia" w:cs="Times New Roman"/>
                <w:color w:val="auto"/>
                <w:highlight w:val="none"/>
                <w:lang w:eastAsia="zh-CN"/>
              </w:rPr>
              <w:t>下表</w:t>
            </w:r>
            <w:r>
              <w:rPr>
                <w:rFonts w:hint="eastAsia"/>
                <w:color w:val="auto"/>
                <w:highlight w:val="none"/>
              </w:rPr>
              <w:t>。</w:t>
            </w:r>
          </w:p>
          <w:p w14:paraId="65CDBE19">
            <w:pPr>
              <w:keepLines w:val="0"/>
              <w:pageBreakBefore w:val="0"/>
              <w:widowControl w:val="0"/>
              <w:kinsoku/>
              <w:wordWrap/>
              <w:topLinePunct w:val="0"/>
              <w:bidi w:val="0"/>
              <w:spacing w:line="360" w:lineRule="auto"/>
              <w:jc w:val="both"/>
              <w:textAlignment w:val="auto"/>
              <w:rPr>
                <w:rFonts w:hint="default"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4生态环境</w:t>
            </w:r>
          </w:p>
          <w:p w14:paraId="15708404">
            <w:pPr>
              <w:bidi w:val="0"/>
              <w:rPr>
                <w:color w:val="auto"/>
                <w:highlight w:val="none"/>
              </w:rPr>
            </w:pPr>
            <w:r>
              <w:rPr>
                <w:rFonts w:hint="eastAsia"/>
                <w:color w:val="auto"/>
                <w:highlight w:val="none"/>
              </w:rPr>
              <w:t>项目在北票发电有限责任公司厂区内，且项目用地范围内不含有生态环境保护目标。</w:t>
            </w:r>
          </w:p>
          <w:p w14:paraId="5FA45F38">
            <w:pPr>
              <w:keepNext/>
              <w:keepLines w:val="0"/>
              <w:pageBreakBefore w:val="0"/>
              <w:widowControl w:val="0"/>
              <w:kinsoku/>
              <w:wordWrap/>
              <w:overflowPunct w:val="0"/>
              <w:topLinePunct w:val="0"/>
              <w:bidi w:val="0"/>
              <w:spacing w:line="360" w:lineRule="auto"/>
              <w:ind w:firstLine="482" w:firstLineChars="200"/>
              <w:jc w:val="both"/>
              <w:textAlignment w:val="auto"/>
              <w:outlineLvl w:val="0"/>
              <w:rPr>
                <w:rFonts w:hint="default" w:ascii="Times New Roman" w:hAnsi="Times New Roman" w:eastAsia="宋体" w:cs="Times New Roman"/>
                <w:b/>
                <w:bCs/>
                <w:color w:val="auto"/>
                <w:kern w:val="44"/>
                <w:sz w:val="24"/>
                <w:szCs w:val="30"/>
                <w:highlight w:val="none"/>
                <w:lang w:val="en-US" w:eastAsia="zh-CN" w:bidi="ar-SA"/>
              </w:rPr>
            </w:pPr>
            <w:r>
              <w:rPr>
                <w:rFonts w:hint="eastAsia" w:ascii="Times New Roman" w:hAnsi="Times New Roman" w:eastAsia="宋体" w:cs="Times New Roman"/>
                <w:b/>
                <w:bCs/>
                <w:color w:val="auto"/>
                <w:kern w:val="44"/>
                <w:sz w:val="24"/>
                <w:szCs w:val="30"/>
                <w:highlight w:val="none"/>
                <w:lang w:val="en-US" w:eastAsia="zh-CN" w:bidi="ar-SA"/>
              </w:rPr>
              <w:t>5土壤环境</w:t>
            </w:r>
          </w:p>
          <w:p w14:paraId="46C7AE36">
            <w:pPr>
              <w:bidi w:val="0"/>
              <w:rPr>
                <w:color w:val="auto"/>
                <w:highlight w:val="none"/>
                <w:lang w:val="en-US" w:eastAsia="zh-CN"/>
              </w:rPr>
            </w:pPr>
            <w:r>
              <w:rPr>
                <w:rFonts w:hint="eastAsia"/>
                <w:color w:val="auto"/>
                <w:highlight w:val="none"/>
                <w:lang w:val="en-US" w:eastAsia="zh-CN"/>
              </w:rPr>
              <w:t>项目所在区土壤环境执行《土壤环境质量 建设用地土壤污染风险管控标准（试行）》（GB 3096-2018）中第二类用地筛选值标准。</w:t>
            </w:r>
          </w:p>
          <w:p w14:paraId="5E470184">
            <w:pPr>
              <w:pStyle w:val="25"/>
              <w:bidi w:val="0"/>
              <w:rPr>
                <w:color w:val="auto"/>
                <w:highlight w:val="none"/>
                <w:lang w:val="en-US" w:eastAsia="zh-CN"/>
              </w:rPr>
            </w:pPr>
            <w:r>
              <w:rPr>
                <w:rFonts w:hint="eastAsia"/>
                <w:color w:val="auto"/>
                <w:highlight w:val="none"/>
                <w:lang w:val="en-US" w:eastAsia="zh-CN"/>
              </w:rPr>
              <w:t>周围环境保护目标</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5"/>
              <w:gridCol w:w="1094"/>
              <w:gridCol w:w="1498"/>
              <w:gridCol w:w="1391"/>
              <w:gridCol w:w="573"/>
              <w:gridCol w:w="953"/>
              <w:gridCol w:w="734"/>
              <w:gridCol w:w="735"/>
              <w:gridCol w:w="860"/>
            </w:tblGrid>
            <w:tr w14:paraId="1B503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restart"/>
                  <w:tcBorders>
                    <w:tl2br w:val="nil"/>
                    <w:tr2bl w:val="nil"/>
                  </w:tcBorders>
                  <w:vAlign w:val="center"/>
                </w:tcPr>
                <w:p w14:paraId="61D0F7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b/>
                      <w:color w:val="auto"/>
                      <w:kern w:val="2"/>
                      <w:sz w:val="21"/>
                      <w:szCs w:val="21"/>
                      <w:highlight w:val="none"/>
                      <w:lang w:val="en-US" w:eastAsia="zh-CN" w:bidi="ar-SA"/>
                    </w:rPr>
                  </w:pPr>
                  <w:r>
                    <w:rPr>
                      <w:rFonts w:hint="default" w:ascii="Times New Roman" w:hAnsi="Times New Roman" w:cs="Times New Roman" w:eastAsiaTheme="minorEastAsia"/>
                      <w:b/>
                      <w:color w:val="auto"/>
                      <w:kern w:val="2"/>
                      <w:sz w:val="21"/>
                      <w:szCs w:val="21"/>
                      <w:highlight w:val="none"/>
                      <w:lang w:val="en-US" w:eastAsia="zh-CN" w:bidi="ar-SA"/>
                    </w:rPr>
                    <w:t>环境要素</w:t>
                  </w:r>
                </w:p>
              </w:tc>
              <w:tc>
                <w:tcPr>
                  <w:tcW w:w="1094" w:type="dxa"/>
                  <w:vMerge w:val="restart"/>
                  <w:tcBorders>
                    <w:tl2br w:val="nil"/>
                    <w:tr2bl w:val="nil"/>
                  </w:tcBorders>
                  <w:vAlign w:val="center"/>
                </w:tcPr>
                <w:p w14:paraId="292F6D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b/>
                      <w:color w:val="auto"/>
                      <w:kern w:val="2"/>
                      <w:sz w:val="21"/>
                      <w:szCs w:val="21"/>
                      <w:highlight w:val="none"/>
                      <w:lang w:val="en-US" w:eastAsia="zh-CN" w:bidi="ar-SA"/>
                    </w:rPr>
                  </w:pPr>
                  <w:r>
                    <w:rPr>
                      <w:rFonts w:hint="eastAsia" w:ascii="Times New Roman" w:hAnsi="Times New Roman" w:cs="Times New Roman" w:eastAsiaTheme="minorEastAsia"/>
                      <w:b/>
                      <w:color w:val="auto"/>
                      <w:kern w:val="2"/>
                      <w:sz w:val="21"/>
                      <w:szCs w:val="21"/>
                      <w:highlight w:val="none"/>
                      <w:lang w:val="en-US" w:eastAsia="zh-CN" w:bidi="ar-SA"/>
                    </w:rPr>
                    <w:t>名称</w:t>
                  </w:r>
                </w:p>
              </w:tc>
              <w:tc>
                <w:tcPr>
                  <w:tcW w:w="2889" w:type="dxa"/>
                  <w:gridSpan w:val="2"/>
                  <w:tcBorders>
                    <w:tl2br w:val="nil"/>
                    <w:tr2bl w:val="nil"/>
                  </w:tcBorders>
                  <w:vAlign w:val="center"/>
                </w:tcPr>
                <w:p w14:paraId="31FD68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b/>
                      <w:color w:val="auto"/>
                      <w:kern w:val="2"/>
                      <w:sz w:val="21"/>
                      <w:szCs w:val="21"/>
                      <w:highlight w:val="none"/>
                      <w:lang w:val="en-US" w:eastAsia="zh-CN" w:bidi="ar-SA"/>
                    </w:rPr>
                  </w:pPr>
                  <w:r>
                    <w:rPr>
                      <w:rFonts w:hint="default" w:ascii="Times New Roman" w:hAnsi="Times New Roman" w:cs="Times New Roman" w:eastAsiaTheme="minorEastAsia"/>
                      <w:b/>
                      <w:color w:val="auto"/>
                      <w:kern w:val="2"/>
                      <w:sz w:val="21"/>
                      <w:szCs w:val="21"/>
                      <w:highlight w:val="none"/>
                      <w:lang w:val="en-US" w:eastAsia="zh-CN" w:bidi="ar-SA"/>
                    </w:rPr>
                    <w:t>坐标</w:t>
                  </w:r>
                </w:p>
              </w:tc>
              <w:tc>
                <w:tcPr>
                  <w:tcW w:w="573" w:type="dxa"/>
                  <w:vMerge w:val="restart"/>
                  <w:tcBorders>
                    <w:tl2br w:val="nil"/>
                    <w:tr2bl w:val="nil"/>
                  </w:tcBorders>
                  <w:vAlign w:val="center"/>
                </w:tcPr>
                <w:p w14:paraId="204D22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b/>
                      <w:color w:val="auto"/>
                      <w:kern w:val="2"/>
                      <w:sz w:val="21"/>
                      <w:szCs w:val="21"/>
                      <w:highlight w:val="none"/>
                      <w:lang w:val="en-US" w:eastAsia="zh-CN" w:bidi="ar-SA"/>
                    </w:rPr>
                  </w:pPr>
                  <w:r>
                    <w:rPr>
                      <w:rFonts w:hint="eastAsia" w:ascii="Times New Roman" w:hAnsi="Times New Roman" w:cs="Times New Roman" w:eastAsiaTheme="minorEastAsia"/>
                      <w:b/>
                      <w:color w:val="auto"/>
                      <w:kern w:val="2"/>
                      <w:sz w:val="21"/>
                      <w:szCs w:val="21"/>
                      <w:highlight w:val="none"/>
                      <w:lang w:val="en-US" w:eastAsia="zh-CN" w:bidi="ar-SA"/>
                    </w:rPr>
                    <w:t>保护对象</w:t>
                  </w:r>
                </w:p>
              </w:tc>
              <w:tc>
                <w:tcPr>
                  <w:tcW w:w="953" w:type="dxa"/>
                  <w:vMerge w:val="restart"/>
                  <w:tcBorders>
                    <w:tl2br w:val="nil"/>
                    <w:tr2bl w:val="nil"/>
                  </w:tcBorders>
                  <w:vAlign w:val="center"/>
                </w:tcPr>
                <w:p w14:paraId="6FD9AE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b/>
                      <w:color w:val="auto"/>
                      <w:kern w:val="2"/>
                      <w:sz w:val="21"/>
                      <w:szCs w:val="21"/>
                      <w:highlight w:val="none"/>
                      <w:lang w:val="en-US" w:eastAsia="zh-CN" w:bidi="ar-SA"/>
                    </w:rPr>
                  </w:pPr>
                  <w:r>
                    <w:rPr>
                      <w:rFonts w:hint="eastAsia" w:ascii="Times New Roman" w:hAnsi="Times New Roman" w:cs="Times New Roman" w:eastAsiaTheme="minorEastAsia"/>
                      <w:b/>
                      <w:color w:val="auto"/>
                      <w:kern w:val="2"/>
                      <w:sz w:val="21"/>
                      <w:szCs w:val="21"/>
                      <w:highlight w:val="none"/>
                      <w:lang w:val="en-US" w:eastAsia="zh-CN" w:bidi="ar-SA"/>
                    </w:rPr>
                    <w:t>环境功能区</w:t>
                  </w:r>
                </w:p>
              </w:tc>
              <w:tc>
                <w:tcPr>
                  <w:tcW w:w="734" w:type="dxa"/>
                  <w:vMerge w:val="restart"/>
                  <w:tcBorders>
                    <w:tl2br w:val="nil"/>
                    <w:tr2bl w:val="nil"/>
                  </w:tcBorders>
                  <w:vAlign w:val="center"/>
                </w:tcPr>
                <w:p w14:paraId="29D757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b/>
                      <w:color w:val="auto"/>
                      <w:kern w:val="2"/>
                      <w:sz w:val="21"/>
                      <w:szCs w:val="21"/>
                      <w:highlight w:val="none"/>
                      <w:lang w:val="en-US" w:eastAsia="zh-CN" w:bidi="ar-SA"/>
                    </w:rPr>
                  </w:pPr>
                  <w:r>
                    <w:rPr>
                      <w:rFonts w:hint="default" w:ascii="Times New Roman" w:hAnsi="Times New Roman" w:cs="Times New Roman" w:eastAsiaTheme="minorEastAsia"/>
                      <w:b/>
                      <w:color w:val="auto"/>
                      <w:kern w:val="2"/>
                      <w:sz w:val="21"/>
                      <w:szCs w:val="21"/>
                      <w:highlight w:val="none"/>
                      <w:lang w:val="en-US" w:eastAsia="zh-CN" w:bidi="ar-SA"/>
                    </w:rPr>
                    <w:t>相对</w:t>
                  </w:r>
                  <w:r>
                    <w:rPr>
                      <w:rFonts w:hint="eastAsia" w:ascii="Times New Roman" w:hAnsi="Times New Roman" w:cs="Times New Roman" w:eastAsiaTheme="minorEastAsia"/>
                      <w:b/>
                      <w:color w:val="auto"/>
                      <w:kern w:val="2"/>
                      <w:sz w:val="21"/>
                      <w:szCs w:val="21"/>
                      <w:highlight w:val="none"/>
                      <w:lang w:val="en-US" w:eastAsia="zh-CN" w:bidi="ar-SA"/>
                    </w:rPr>
                    <w:t>厂址</w:t>
                  </w:r>
                  <w:r>
                    <w:rPr>
                      <w:rFonts w:hint="default" w:ascii="Times New Roman" w:hAnsi="Times New Roman" w:cs="Times New Roman" w:eastAsiaTheme="minorEastAsia"/>
                      <w:b/>
                      <w:color w:val="auto"/>
                      <w:kern w:val="2"/>
                      <w:sz w:val="21"/>
                      <w:szCs w:val="21"/>
                      <w:highlight w:val="none"/>
                      <w:lang w:val="en-US" w:eastAsia="zh-CN" w:bidi="ar-SA"/>
                    </w:rPr>
                    <w:t>方位</w:t>
                  </w:r>
                </w:p>
              </w:tc>
              <w:tc>
                <w:tcPr>
                  <w:tcW w:w="735" w:type="dxa"/>
                  <w:vMerge w:val="restart"/>
                  <w:tcBorders>
                    <w:tl2br w:val="nil"/>
                    <w:tr2bl w:val="nil"/>
                  </w:tcBorders>
                  <w:vAlign w:val="center"/>
                </w:tcPr>
                <w:p w14:paraId="3EF770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b/>
                      <w:color w:val="auto"/>
                      <w:kern w:val="2"/>
                      <w:sz w:val="21"/>
                      <w:szCs w:val="21"/>
                      <w:highlight w:val="none"/>
                      <w:lang w:val="en-US" w:eastAsia="zh-CN" w:bidi="ar-SA"/>
                    </w:rPr>
                  </w:pPr>
                  <w:r>
                    <w:rPr>
                      <w:rFonts w:hint="eastAsia" w:ascii="Times New Roman" w:hAnsi="Times New Roman" w:cs="Times New Roman" w:eastAsiaTheme="minorEastAsia"/>
                      <w:b/>
                      <w:color w:val="auto"/>
                      <w:kern w:val="2"/>
                      <w:sz w:val="21"/>
                      <w:szCs w:val="21"/>
                      <w:highlight w:val="none"/>
                      <w:lang w:val="en-US" w:eastAsia="zh-CN" w:bidi="ar-SA"/>
                    </w:rPr>
                    <w:t>相对厂区距离</w:t>
                  </w:r>
                  <w:r>
                    <w:rPr>
                      <w:rFonts w:hint="eastAsia" w:cs="Times New Roman" w:eastAsiaTheme="minorEastAsia"/>
                      <w:b/>
                      <w:color w:val="auto"/>
                      <w:kern w:val="2"/>
                      <w:sz w:val="21"/>
                      <w:szCs w:val="21"/>
                      <w:highlight w:val="none"/>
                      <w:lang w:val="en-US" w:eastAsia="zh-CN" w:bidi="ar-SA"/>
                    </w:rPr>
                    <w:t>/</w:t>
                  </w:r>
                  <w:r>
                    <w:rPr>
                      <w:rFonts w:hint="eastAsia" w:ascii="Times New Roman" w:hAnsi="Times New Roman" w:cs="Times New Roman" w:eastAsiaTheme="minorEastAsia"/>
                      <w:b/>
                      <w:color w:val="auto"/>
                      <w:kern w:val="2"/>
                      <w:sz w:val="21"/>
                      <w:szCs w:val="21"/>
                      <w:highlight w:val="none"/>
                      <w:lang w:val="en-US" w:eastAsia="zh-CN" w:bidi="ar-SA"/>
                    </w:rPr>
                    <w:t>m</w:t>
                  </w:r>
                </w:p>
              </w:tc>
              <w:tc>
                <w:tcPr>
                  <w:tcW w:w="860" w:type="dxa"/>
                  <w:vMerge w:val="restart"/>
                  <w:tcBorders>
                    <w:tl2br w:val="nil"/>
                    <w:tr2bl w:val="nil"/>
                  </w:tcBorders>
                  <w:vAlign w:val="center"/>
                </w:tcPr>
                <w:p w14:paraId="0ED51A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b/>
                      <w:color w:val="auto"/>
                      <w:kern w:val="2"/>
                      <w:sz w:val="21"/>
                      <w:szCs w:val="21"/>
                      <w:highlight w:val="none"/>
                      <w:lang w:val="en-US" w:eastAsia="zh-CN" w:bidi="ar-SA"/>
                    </w:rPr>
                  </w:pPr>
                  <w:r>
                    <w:rPr>
                      <w:rFonts w:hint="eastAsia" w:ascii="Times New Roman" w:hAnsi="Times New Roman" w:cs="Times New Roman" w:eastAsiaTheme="minorEastAsia"/>
                      <w:b/>
                      <w:color w:val="auto"/>
                      <w:kern w:val="2"/>
                      <w:sz w:val="21"/>
                      <w:szCs w:val="21"/>
                      <w:highlight w:val="none"/>
                      <w:lang w:val="en-US" w:eastAsia="zh-CN" w:bidi="ar-SA"/>
                    </w:rPr>
                    <w:t>相对项目最近</w:t>
                  </w:r>
                  <w:r>
                    <w:rPr>
                      <w:rFonts w:hint="default" w:ascii="Times New Roman" w:hAnsi="Times New Roman" w:cs="Times New Roman" w:eastAsiaTheme="minorEastAsia"/>
                      <w:b/>
                      <w:color w:val="auto"/>
                      <w:kern w:val="2"/>
                      <w:sz w:val="21"/>
                      <w:szCs w:val="21"/>
                      <w:highlight w:val="none"/>
                      <w:lang w:val="en-US" w:eastAsia="zh-CN" w:bidi="ar-SA"/>
                    </w:rPr>
                    <w:t>距离</w:t>
                  </w:r>
                  <w:r>
                    <w:rPr>
                      <w:rFonts w:hint="eastAsia" w:ascii="Times New Roman" w:hAnsi="Times New Roman" w:cs="Times New Roman" w:eastAsiaTheme="minorEastAsia"/>
                      <w:b/>
                      <w:color w:val="auto"/>
                      <w:kern w:val="2"/>
                      <w:sz w:val="21"/>
                      <w:szCs w:val="21"/>
                      <w:highlight w:val="none"/>
                      <w:lang w:val="en-US" w:eastAsia="zh-CN" w:bidi="ar-SA"/>
                    </w:rPr>
                    <w:t>/</w:t>
                  </w:r>
                  <w:r>
                    <w:rPr>
                      <w:rFonts w:hint="default" w:ascii="Times New Roman" w:hAnsi="Times New Roman" w:cs="Times New Roman" w:eastAsiaTheme="minorEastAsia"/>
                      <w:b/>
                      <w:color w:val="auto"/>
                      <w:kern w:val="2"/>
                      <w:sz w:val="21"/>
                      <w:szCs w:val="21"/>
                      <w:highlight w:val="none"/>
                      <w:lang w:val="en-US" w:eastAsia="zh-CN" w:bidi="ar-SA"/>
                    </w:rPr>
                    <w:t>m</w:t>
                  </w:r>
                </w:p>
              </w:tc>
            </w:tr>
            <w:tr w14:paraId="5A787A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2E797F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vMerge w:val="continue"/>
                  <w:tcBorders>
                    <w:tl2br w:val="nil"/>
                    <w:tr2bl w:val="nil"/>
                  </w:tcBorders>
                  <w:vAlign w:val="center"/>
                </w:tcPr>
                <w:p w14:paraId="70ECB7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498" w:type="dxa"/>
                  <w:tcBorders>
                    <w:tl2br w:val="nil"/>
                    <w:tr2bl w:val="nil"/>
                  </w:tcBorders>
                  <w:vAlign w:val="center"/>
                </w:tcPr>
                <w:p w14:paraId="75D3FC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b/>
                      <w:color w:val="auto"/>
                      <w:kern w:val="2"/>
                      <w:sz w:val="21"/>
                      <w:szCs w:val="21"/>
                      <w:highlight w:val="none"/>
                      <w:lang w:val="en-US" w:eastAsia="zh-CN" w:bidi="ar-SA"/>
                    </w:rPr>
                  </w:pPr>
                  <w:r>
                    <w:rPr>
                      <w:rFonts w:hint="eastAsia" w:cs="Times New Roman" w:eastAsiaTheme="minorEastAsia"/>
                      <w:b/>
                      <w:color w:val="auto"/>
                      <w:kern w:val="2"/>
                      <w:sz w:val="21"/>
                      <w:szCs w:val="21"/>
                      <w:highlight w:val="none"/>
                      <w:lang w:val="en-US" w:eastAsia="zh-CN" w:bidi="ar-SA"/>
                    </w:rPr>
                    <w:t>经度</w:t>
                  </w:r>
                </w:p>
              </w:tc>
              <w:tc>
                <w:tcPr>
                  <w:tcW w:w="1391" w:type="dxa"/>
                  <w:tcBorders>
                    <w:tl2br w:val="nil"/>
                    <w:tr2bl w:val="nil"/>
                  </w:tcBorders>
                  <w:vAlign w:val="center"/>
                </w:tcPr>
                <w:p w14:paraId="5633DC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b/>
                      <w:color w:val="auto"/>
                      <w:kern w:val="2"/>
                      <w:sz w:val="21"/>
                      <w:szCs w:val="21"/>
                      <w:highlight w:val="none"/>
                      <w:lang w:val="en-US" w:eastAsia="zh-CN" w:bidi="ar-SA"/>
                    </w:rPr>
                  </w:pPr>
                  <w:r>
                    <w:rPr>
                      <w:rFonts w:hint="eastAsia" w:cs="Times New Roman" w:eastAsiaTheme="minorEastAsia"/>
                      <w:b/>
                      <w:color w:val="auto"/>
                      <w:kern w:val="2"/>
                      <w:sz w:val="21"/>
                      <w:szCs w:val="21"/>
                      <w:highlight w:val="none"/>
                      <w:lang w:val="en-US" w:eastAsia="zh-CN" w:bidi="ar-SA"/>
                    </w:rPr>
                    <w:t>维度</w:t>
                  </w:r>
                </w:p>
              </w:tc>
              <w:tc>
                <w:tcPr>
                  <w:tcW w:w="573" w:type="dxa"/>
                  <w:vMerge w:val="continue"/>
                  <w:tcBorders>
                    <w:tl2br w:val="nil"/>
                    <w:tr2bl w:val="nil"/>
                  </w:tcBorders>
                  <w:vAlign w:val="center"/>
                </w:tcPr>
                <w:p w14:paraId="24188F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11A361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vMerge w:val="continue"/>
                  <w:tcBorders>
                    <w:tl2br w:val="nil"/>
                    <w:tr2bl w:val="nil"/>
                  </w:tcBorders>
                  <w:vAlign w:val="center"/>
                </w:tcPr>
                <w:p w14:paraId="58DCCF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5" w:type="dxa"/>
                  <w:vMerge w:val="continue"/>
                  <w:tcBorders>
                    <w:tl2br w:val="nil"/>
                    <w:tr2bl w:val="nil"/>
                  </w:tcBorders>
                  <w:vAlign w:val="center"/>
                </w:tcPr>
                <w:p w14:paraId="09F7B1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860" w:type="dxa"/>
                  <w:vMerge w:val="continue"/>
                  <w:tcBorders>
                    <w:tl2br w:val="nil"/>
                    <w:tr2bl w:val="nil"/>
                  </w:tcBorders>
                  <w:vAlign w:val="center"/>
                </w:tcPr>
                <w:p w14:paraId="220975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r>
            <w:tr w14:paraId="73F134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restart"/>
                  <w:tcBorders>
                    <w:tl2br w:val="nil"/>
                    <w:tr2bl w:val="nil"/>
                  </w:tcBorders>
                  <w:vAlign w:val="center"/>
                </w:tcPr>
                <w:p w14:paraId="762683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eastAsiaTheme="minorEastAsia"/>
                      <w:color w:val="auto"/>
                      <w:kern w:val="2"/>
                      <w:sz w:val="21"/>
                      <w:szCs w:val="21"/>
                      <w:highlight w:val="none"/>
                      <w:lang w:val="en-US" w:eastAsia="zh-CN" w:bidi="ar-SA"/>
                    </w:rPr>
                    <w:t>大气</w:t>
                  </w:r>
                </w:p>
                <w:p w14:paraId="63C4B6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eastAsiaTheme="minorEastAsia"/>
                      <w:color w:val="auto"/>
                      <w:kern w:val="2"/>
                      <w:sz w:val="21"/>
                      <w:szCs w:val="21"/>
                      <w:highlight w:val="none"/>
                      <w:lang w:val="en-US" w:eastAsia="zh-CN" w:bidi="ar-SA"/>
                    </w:rPr>
                    <w:t>环境</w:t>
                  </w:r>
                </w:p>
              </w:tc>
              <w:tc>
                <w:tcPr>
                  <w:tcW w:w="1094" w:type="dxa"/>
                  <w:tcBorders>
                    <w:tl2br w:val="nil"/>
                    <w:tr2bl w:val="nil"/>
                  </w:tcBorders>
                  <w:vAlign w:val="center"/>
                </w:tcPr>
                <w:p w14:paraId="335C0C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桃园新区</w:t>
                  </w:r>
                </w:p>
              </w:tc>
              <w:tc>
                <w:tcPr>
                  <w:tcW w:w="1498" w:type="dxa"/>
                  <w:tcBorders>
                    <w:tl2br w:val="nil"/>
                    <w:tr2bl w:val="nil"/>
                  </w:tcBorders>
                  <w:vAlign w:val="center"/>
                </w:tcPr>
                <w:p w14:paraId="619C06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120.75380462</w:t>
                  </w:r>
                </w:p>
              </w:tc>
              <w:tc>
                <w:tcPr>
                  <w:tcW w:w="1391" w:type="dxa"/>
                  <w:tcBorders>
                    <w:tl2br w:val="nil"/>
                    <w:tr2bl w:val="nil"/>
                  </w:tcBorders>
                  <w:vAlign w:val="center"/>
                </w:tcPr>
                <w:p w14:paraId="73D845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41.80931437</w:t>
                  </w:r>
                </w:p>
              </w:tc>
              <w:tc>
                <w:tcPr>
                  <w:tcW w:w="573" w:type="dxa"/>
                  <w:vMerge w:val="restart"/>
                  <w:tcBorders>
                    <w:tl2br w:val="nil"/>
                    <w:tr2bl w:val="nil"/>
                  </w:tcBorders>
                  <w:vAlign w:val="center"/>
                </w:tcPr>
                <w:p w14:paraId="13FDC9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居民</w:t>
                  </w:r>
                </w:p>
              </w:tc>
              <w:tc>
                <w:tcPr>
                  <w:tcW w:w="953" w:type="dxa"/>
                  <w:vMerge w:val="restart"/>
                  <w:tcBorders>
                    <w:tl2br w:val="nil"/>
                    <w:tr2bl w:val="nil"/>
                  </w:tcBorders>
                  <w:vAlign w:val="center"/>
                </w:tcPr>
                <w:p w14:paraId="0E3BB1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eastAsiaTheme="minorEastAsia"/>
                      <w:color w:val="auto"/>
                      <w:kern w:val="2"/>
                      <w:sz w:val="21"/>
                      <w:szCs w:val="21"/>
                      <w:highlight w:val="none"/>
                      <w:lang w:val="en-US" w:eastAsia="zh-CN" w:bidi="ar-SA"/>
                    </w:rPr>
                    <w:t>GB3095-2012</w:t>
                  </w:r>
                  <w:r>
                    <w:rPr>
                      <w:rFonts w:hint="eastAsia" w:cs="Times New Roman" w:eastAsiaTheme="minorEastAsia"/>
                      <w:color w:val="auto"/>
                      <w:kern w:val="2"/>
                      <w:sz w:val="21"/>
                      <w:szCs w:val="21"/>
                      <w:highlight w:val="none"/>
                      <w:lang w:val="en-US" w:eastAsia="zh-CN" w:bidi="ar-SA"/>
                    </w:rPr>
                    <w:t>中的</w:t>
                  </w:r>
                  <w:r>
                    <w:rPr>
                      <w:rFonts w:ascii="Times New Roman" w:hAnsi="Times New Roman" w:cs="Times New Roman" w:eastAsiaTheme="minorEastAsia"/>
                      <w:color w:val="auto"/>
                      <w:kern w:val="2"/>
                      <w:sz w:val="21"/>
                      <w:szCs w:val="21"/>
                      <w:highlight w:val="none"/>
                      <w:lang w:val="en-US" w:eastAsia="zh-CN" w:bidi="ar-SA"/>
                    </w:rPr>
                    <w:t>二级标准</w:t>
                  </w:r>
                </w:p>
              </w:tc>
              <w:tc>
                <w:tcPr>
                  <w:tcW w:w="734" w:type="dxa"/>
                  <w:tcBorders>
                    <w:tl2br w:val="nil"/>
                    <w:tr2bl w:val="nil"/>
                  </w:tcBorders>
                  <w:vAlign w:val="center"/>
                </w:tcPr>
                <w:p w14:paraId="6A9053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北</w:t>
                  </w:r>
                </w:p>
              </w:tc>
              <w:tc>
                <w:tcPr>
                  <w:tcW w:w="735" w:type="dxa"/>
                  <w:tcBorders>
                    <w:tl2br w:val="nil"/>
                    <w:tr2bl w:val="nil"/>
                  </w:tcBorders>
                  <w:vAlign w:val="center"/>
                </w:tcPr>
                <w:p w14:paraId="1591EA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458</w:t>
                  </w:r>
                </w:p>
              </w:tc>
              <w:tc>
                <w:tcPr>
                  <w:tcW w:w="860" w:type="dxa"/>
                  <w:tcBorders>
                    <w:tl2br w:val="nil"/>
                    <w:tr2bl w:val="nil"/>
                  </w:tcBorders>
                  <w:vAlign w:val="center"/>
                </w:tcPr>
                <w:p w14:paraId="133CB0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820</w:t>
                  </w:r>
                </w:p>
              </w:tc>
            </w:tr>
            <w:tr w14:paraId="122BCF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5BEAF2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71ECDA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毓水蓬莱</w:t>
                  </w:r>
                </w:p>
              </w:tc>
              <w:tc>
                <w:tcPr>
                  <w:tcW w:w="1498" w:type="dxa"/>
                  <w:tcBorders>
                    <w:tl2br w:val="nil"/>
                    <w:tr2bl w:val="nil"/>
                  </w:tcBorders>
                  <w:vAlign w:val="center"/>
                </w:tcPr>
                <w:p w14:paraId="39C16F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120.74755866</w:t>
                  </w:r>
                </w:p>
              </w:tc>
              <w:tc>
                <w:tcPr>
                  <w:tcW w:w="1391" w:type="dxa"/>
                  <w:tcBorders>
                    <w:tl2br w:val="nil"/>
                    <w:tr2bl w:val="nil"/>
                  </w:tcBorders>
                  <w:vAlign w:val="center"/>
                </w:tcPr>
                <w:p w14:paraId="3A8BCB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41.80601808</w:t>
                  </w:r>
                </w:p>
              </w:tc>
              <w:tc>
                <w:tcPr>
                  <w:tcW w:w="573" w:type="dxa"/>
                  <w:vMerge w:val="continue"/>
                  <w:tcBorders>
                    <w:tl2br w:val="nil"/>
                    <w:tr2bl w:val="nil"/>
                  </w:tcBorders>
                  <w:vAlign w:val="center"/>
                </w:tcPr>
                <w:p w14:paraId="730DCB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59A8BF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7815B8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西北</w:t>
                  </w:r>
                </w:p>
              </w:tc>
              <w:tc>
                <w:tcPr>
                  <w:tcW w:w="735" w:type="dxa"/>
                  <w:tcBorders>
                    <w:tl2br w:val="nil"/>
                    <w:tr2bl w:val="nil"/>
                  </w:tcBorders>
                  <w:vAlign w:val="center"/>
                </w:tcPr>
                <w:p w14:paraId="05CBBC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368</w:t>
                  </w:r>
                </w:p>
              </w:tc>
              <w:tc>
                <w:tcPr>
                  <w:tcW w:w="860" w:type="dxa"/>
                  <w:tcBorders>
                    <w:tl2br w:val="nil"/>
                    <w:tr2bl w:val="nil"/>
                  </w:tcBorders>
                  <w:vAlign w:val="center"/>
                </w:tcPr>
                <w:p w14:paraId="20FBBC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640</w:t>
                  </w:r>
                </w:p>
              </w:tc>
            </w:tr>
            <w:tr w14:paraId="454E88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4096A2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00DBFA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毓水蓬莱</w:t>
                  </w:r>
                </w:p>
              </w:tc>
              <w:tc>
                <w:tcPr>
                  <w:tcW w:w="1498" w:type="dxa"/>
                  <w:tcBorders>
                    <w:tl2br w:val="nil"/>
                    <w:tr2bl w:val="nil"/>
                  </w:tcBorders>
                  <w:vAlign w:val="center"/>
                </w:tcPr>
                <w:p w14:paraId="5DAD8D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120.75996226</w:t>
                  </w:r>
                </w:p>
              </w:tc>
              <w:tc>
                <w:tcPr>
                  <w:tcW w:w="1391" w:type="dxa"/>
                  <w:tcBorders>
                    <w:tl2br w:val="nil"/>
                    <w:tr2bl w:val="nil"/>
                  </w:tcBorders>
                  <w:vAlign w:val="center"/>
                </w:tcPr>
                <w:p w14:paraId="72C5E9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41.80798661</w:t>
                  </w:r>
                </w:p>
              </w:tc>
              <w:tc>
                <w:tcPr>
                  <w:tcW w:w="573" w:type="dxa"/>
                  <w:vMerge w:val="continue"/>
                  <w:tcBorders>
                    <w:tl2br w:val="nil"/>
                    <w:tr2bl w:val="nil"/>
                  </w:tcBorders>
                  <w:vAlign w:val="center"/>
                </w:tcPr>
                <w:p w14:paraId="515CBC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776EEE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4AC3C1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东北</w:t>
                  </w:r>
                </w:p>
              </w:tc>
              <w:tc>
                <w:tcPr>
                  <w:tcW w:w="735" w:type="dxa"/>
                  <w:tcBorders>
                    <w:tl2br w:val="nil"/>
                    <w:tr2bl w:val="nil"/>
                  </w:tcBorders>
                  <w:vAlign w:val="center"/>
                </w:tcPr>
                <w:p w14:paraId="51E3DA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58</w:t>
                  </w:r>
                </w:p>
              </w:tc>
              <w:tc>
                <w:tcPr>
                  <w:tcW w:w="860" w:type="dxa"/>
                  <w:tcBorders>
                    <w:tl2br w:val="nil"/>
                    <w:tr2bl w:val="nil"/>
                  </w:tcBorders>
                  <w:vAlign w:val="center"/>
                </w:tcPr>
                <w:p w14:paraId="4FCC5E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420</w:t>
                  </w:r>
                </w:p>
              </w:tc>
            </w:tr>
            <w:tr w14:paraId="4AEFCA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4B47BD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677FE7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毓水蓬莱</w:t>
                  </w:r>
                </w:p>
              </w:tc>
              <w:tc>
                <w:tcPr>
                  <w:tcW w:w="1498" w:type="dxa"/>
                  <w:tcBorders>
                    <w:tl2br w:val="nil"/>
                    <w:tr2bl w:val="nil"/>
                  </w:tcBorders>
                  <w:vAlign w:val="center"/>
                </w:tcPr>
                <w:p w14:paraId="0F7EC2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120.76296518</w:t>
                  </w:r>
                </w:p>
              </w:tc>
              <w:tc>
                <w:tcPr>
                  <w:tcW w:w="1391" w:type="dxa"/>
                  <w:tcBorders>
                    <w:tl2br w:val="nil"/>
                    <w:tr2bl w:val="nil"/>
                  </w:tcBorders>
                  <w:vAlign w:val="center"/>
                </w:tcPr>
                <w:p w14:paraId="1432DB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41.80633848</w:t>
                  </w:r>
                </w:p>
              </w:tc>
              <w:tc>
                <w:tcPr>
                  <w:tcW w:w="573" w:type="dxa"/>
                  <w:vMerge w:val="continue"/>
                  <w:tcBorders>
                    <w:tl2br w:val="nil"/>
                    <w:tr2bl w:val="nil"/>
                  </w:tcBorders>
                  <w:vAlign w:val="center"/>
                </w:tcPr>
                <w:p w14:paraId="7B5E1E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1E87E7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1B1C90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东北</w:t>
                  </w:r>
                </w:p>
              </w:tc>
              <w:tc>
                <w:tcPr>
                  <w:tcW w:w="735" w:type="dxa"/>
                  <w:tcBorders>
                    <w:tl2br w:val="nil"/>
                    <w:tr2bl w:val="nil"/>
                  </w:tcBorders>
                  <w:vAlign w:val="center"/>
                </w:tcPr>
                <w:p w14:paraId="43058D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269</w:t>
                  </w:r>
                </w:p>
              </w:tc>
              <w:tc>
                <w:tcPr>
                  <w:tcW w:w="860" w:type="dxa"/>
                  <w:tcBorders>
                    <w:tl2br w:val="nil"/>
                    <w:tr2bl w:val="nil"/>
                  </w:tcBorders>
                  <w:vAlign w:val="center"/>
                </w:tcPr>
                <w:p w14:paraId="0E2500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650</w:t>
                  </w:r>
                </w:p>
              </w:tc>
            </w:tr>
            <w:tr w14:paraId="2262FC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35D970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3B38DE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富华小区</w:t>
                  </w:r>
                </w:p>
              </w:tc>
              <w:tc>
                <w:tcPr>
                  <w:tcW w:w="1498" w:type="dxa"/>
                  <w:tcBorders>
                    <w:tl2br w:val="nil"/>
                    <w:tr2bl w:val="nil"/>
                  </w:tcBorders>
                  <w:vAlign w:val="center"/>
                </w:tcPr>
                <w:p w14:paraId="4532AE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120.75652961</w:t>
                  </w:r>
                </w:p>
              </w:tc>
              <w:tc>
                <w:tcPr>
                  <w:tcW w:w="1391" w:type="dxa"/>
                  <w:tcBorders>
                    <w:tl2br w:val="nil"/>
                    <w:tr2bl w:val="nil"/>
                  </w:tcBorders>
                  <w:vAlign w:val="center"/>
                </w:tcPr>
                <w:p w14:paraId="63162F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41.80833878</w:t>
                  </w:r>
                </w:p>
              </w:tc>
              <w:tc>
                <w:tcPr>
                  <w:tcW w:w="573" w:type="dxa"/>
                  <w:vMerge w:val="continue"/>
                  <w:tcBorders>
                    <w:tl2br w:val="nil"/>
                    <w:tr2bl w:val="nil"/>
                  </w:tcBorders>
                  <w:vAlign w:val="center"/>
                </w:tcPr>
                <w:p w14:paraId="582F5D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610400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5AD283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北</w:t>
                  </w:r>
                </w:p>
              </w:tc>
              <w:tc>
                <w:tcPr>
                  <w:tcW w:w="735" w:type="dxa"/>
                  <w:tcBorders>
                    <w:tl2br w:val="nil"/>
                    <w:tr2bl w:val="nil"/>
                  </w:tcBorders>
                  <w:vAlign w:val="center"/>
                </w:tcPr>
                <w:p w14:paraId="572803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220</w:t>
                  </w:r>
                </w:p>
              </w:tc>
              <w:tc>
                <w:tcPr>
                  <w:tcW w:w="860" w:type="dxa"/>
                  <w:tcBorders>
                    <w:tl2br w:val="nil"/>
                    <w:tr2bl w:val="nil"/>
                  </w:tcBorders>
                  <w:vAlign w:val="center"/>
                </w:tcPr>
                <w:p w14:paraId="7846AF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600</w:t>
                  </w:r>
                </w:p>
              </w:tc>
            </w:tr>
            <w:tr w14:paraId="369EB1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105D35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170E0A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电厂小区</w:t>
                  </w:r>
                </w:p>
              </w:tc>
              <w:tc>
                <w:tcPr>
                  <w:tcW w:w="1498" w:type="dxa"/>
                  <w:tcBorders>
                    <w:tl2br w:val="nil"/>
                    <w:tr2bl w:val="nil"/>
                  </w:tcBorders>
                  <w:vAlign w:val="center"/>
                </w:tcPr>
                <w:p w14:paraId="1B9FF6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120.75127142</w:t>
                  </w:r>
                </w:p>
              </w:tc>
              <w:tc>
                <w:tcPr>
                  <w:tcW w:w="1391" w:type="dxa"/>
                  <w:tcBorders>
                    <w:tl2br w:val="nil"/>
                    <w:tr2bl w:val="nil"/>
                  </w:tcBorders>
                  <w:vAlign w:val="center"/>
                </w:tcPr>
                <w:p w14:paraId="16664B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41.80245189</w:t>
                  </w:r>
                </w:p>
              </w:tc>
              <w:tc>
                <w:tcPr>
                  <w:tcW w:w="573" w:type="dxa"/>
                  <w:vMerge w:val="continue"/>
                  <w:tcBorders>
                    <w:tl2br w:val="nil"/>
                    <w:tr2bl w:val="nil"/>
                  </w:tcBorders>
                  <w:vAlign w:val="center"/>
                </w:tcPr>
                <w:p w14:paraId="48D36E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10FC97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3FFE1A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西</w:t>
                  </w:r>
                </w:p>
              </w:tc>
              <w:tc>
                <w:tcPr>
                  <w:tcW w:w="735" w:type="dxa"/>
                  <w:tcBorders>
                    <w:tl2br w:val="nil"/>
                    <w:tr2bl w:val="nil"/>
                  </w:tcBorders>
                  <w:vAlign w:val="center"/>
                </w:tcPr>
                <w:p w14:paraId="44E4DC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65</w:t>
                  </w:r>
                </w:p>
              </w:tc>
              <w:tc>
                <w:tcPr>
                  <w:tcW w:w="860" w:type="dxa"/>
                  <w:tcBorders>
                    <w:tl2br w:val="nil"/>
                    <w:tr2bl w:val="nil"/>
                  </w:tcBorders>
                  <w:vAlign w:val="center"/>
                </w:tcPr>
                <w:p w14:paraId="1CFD3E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170</w:t>
                  </w:r>
                </w:p>
              </w:tc>
            </w:tr>
            <w:tr w14:paraId="27E0BE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2FD15B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3F34F8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金河小区</w:t>
                  </w:r>
                </w:p>
              </w:tc>
              <w:tc>
                <w:tcPr>
                  <w:tcW w:w="1498" w:type="dxa"/>
                  <w:tcBorders>
                    <w:tl2br w:val="nil"/>
                    <w:tr2bl w:val="nil"/>
                  </w:tcBorders>
                  <w:vAlign w:val="center"/>
                </w:tcPr>
                <w:p w14:paraId="308E0C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120.75118523</w:t>
                  </w:r>
                </w:p>
              </w:tc>
              <w:tc>
                <w:tcPr>
                  <w:tcW w:w="1391" w:type="dxa"/>
                  <w:tcBorders>
                    <w:tl2br w:val="nil"/>
                    <w:tr2bl w:val="nil"/>
                  </w:tcBorders>
                  <w:vAlign w:val="center"/>
                </w:tcPr>
                <w:p w14:paraId="7C7CBB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41.79976439</w:t>
                  </w:r>
                </w:p>
              </w:tc>
              <w:tc>
                <w:tcPr>
                  <w:tcW w:w="573" w:type="dxa"/>
                  <w:vMerge w:val="continue"/>
                  <w:tcBorders>
                    <w:tl2br w:val="nil"/>
                    <w:tr2bl w:val="nil"/>
                  </w:tcBorders>
                  <w:vAlign w:val="center"/>
                </w:tcPr>
                <w:p w14:paraId="4DFEBE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7401DA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0ED1B2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西南</w:t>
                  </w:r>
                </w:p>
              </w:tc>
              <w:tc>
                <w:tcPr>
                  <w:tcW w:w="735" w:type="dxa"/>
                  <w:tcBorders>
                    <w:tl2br w:val="nil"/>
                    <w:tr2bl w:val="nil"/>
                  </w:tcBorders>
                  <w:vAlign w:val="center"/>
                </w:tcPr>
                <w:p w14:paraId="7F607A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71</w:t>
                  </w:r>
                </w:p>
              </w:tc>
              <w:tc>
                <w:tcPr>
                  <w:tcW w:w="860" w:type="dxa"/>
                  <w:tcBorders>
                    <w:tl2br w:val="nil"/>
                    <w:tr2bl w:val="nil"/>
                  </w:tcBorders>
                  <w:vAlign w:val="center"/>
                </w:tcPr>
                <w:p w14:paraId="423B76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166</w:t>
                  </w:r>
                </w:p>
              </w:tc>
            </w:tr>
            <w:tr w14:paraId="7499E8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4C3B81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66A93C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银河小区</w:t>
                  </w:r>
                </w:p>
              </w:tc>
              <w:tc>
                <w:tcPr>
                  <w:tcW w:w="1498" w:type="dxa"/>
                  <w:tcBorders>
                    <w:tl2br w:val="nil"/>
                    <w:tr2bl w:val="nil"/>
                  </w:tcBorders>
                  <w:vAlign w:val="center"/>
                </w:tcPr>
                <w:p w14:paraId="353395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120.75593063</w:t>
                  </w:r>
                </w:p>
              </w:tc>
              <w:tc>
                <w:tcPr>
                  <w:tcW w:w="1391" w:type="dxa"/>
                  <w:tcBorders>
                    <w:tl2br w:val="nil"/>
                    <w:tr2bl w:val="nil"/>
                  </w:tcBorders>
                  <w:vAlign w:val="center"/>
                </w:tcPr>
                <w:p w14:paraId="683DB4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41.80143654</w:t>
                  </w:r>
                </w:p>
              </w:tc>
              <w:tc>
                <w:tcPr>
                  <w:tcW w:w="573" w:type="dxa"/>
                  <w:vMerge w:val="continue"/>
                  <w:tcBorders>
                    <w:tl2br w:val="nil"/>
                    <w:tr2bl w:val="nil"/>
                  </w:tcBorders>
                  <w:vAlign w:val="center"/>
                </w:tcPr>
                <w:p w14:paraId="7BC90B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52389D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3148F1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南</w:t>
                  </w:r>
                </w:p>
              </w:tc>
              <w:tc>
                <w:tcPr>
                  <w:tcW w:w="735" w:type="dxa"/>
                  <w:tcBorders>
                    <w:tl2br w:val="nil"/>
                    <w:tr2bl w:val="nil"/>
                  </w:tcBorders>
                  <w:vAlign w:val="center"/>
                </w:tcPr>
                <w:p w14:paraId="4644AB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7</w:t>
                  </w:r>
                </w:p>
              </w:tc>
              <w:tc>
                <w:tcPr>
                  <w:tcW w:w="860" w:type="dxa"/>
                  <w:tcBorders>
                    <w:tl2br w:val="nil"/>
                    <w:tr2bl w:val="nil"/>
                  </w:tcBorders>
                  <w:vAlign w:val="center"/>
                </w:tcPr>
                <w:p w14:paraId="06ED91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21</w:t>
                  </w:r>
                </w:p>
              </w:tc>
            </w:tr>
            <w:tr w14:paraId="0F4A6A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748612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5438A8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银河小区</w:t>
                  </w:r>
                </w:p>
              </w:tc>
              <w:tc>
                <w:tcPr>
                  <w:tcW w:w="1498" w:type="dxa"/>
                  <w:tcBorders>
                    <w:tl2br w:val="nil"/>
                    <w:tr2bl w:val="nil"/>
                  </w:tcBorders>
                  <w:vAlign w:val="center"/>
                </w:tcPr>
                <w:p w14:paraId="00BF64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120.75388906</w:t>
                  </w:r>
                </w:p>
              </w:tc>
              <w:tc>
                <w:tcPr>
                  <w:tcW w:w="1391" w:type="dxa"/>
                  <w:tcBorders>
                    <w:tl2br w:val="nil"/>
                    <w:tr2bl w:val="nil"/>
                  </w:tcBorders>
                  <w:vAlign w:val="center"/>
                </w:tcPr>
                <w:p w14:paraId="4A0A33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41.79835698</w:t>
                  </w:r>
                </w:p>
              </w:tc>
              <w:tc>
                <w:tcPr>
                  <w:tcW w:w="573" w:type="dxa"/>
                  <w:vMerge w:val="continue"/>
                  <w:tcBorders>
                    <w:tl2br w:val="nil"/>
                    <w:tr2bl w:val="nil"/>
                  </w:tcBorders>
                  <w:vAlign w:val="center"/>
                </w:tcPr>
                <w:p w14:paraId="66CC18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2AFF1D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655C38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南</w:t>
                  </w:r>
                </w:p>
              </w:tc>
              <w:tc>
                <w:tcPr>
                  <w:tcW w:w="735" w:type="dxa"/>
                  <w:tcBorders>
                    <w:tl2br w:val="nil"/>
                    <w:tr2bl w:val="nil"/>
                  </w:tcBorders>
                  <w:vAlign w:val="center"/>
                </w:tcPr>
                <w:p w14:paraId="44912C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123</w:t>
                  </w:r>
                </w:p>
              </w:tc>
              <w:tc>
                <w:tcPr>
                  <w:tcW w:w="860" w:type="dxa"/>
                  <w:tcBorders>
                    <w:tl2br w:val="nil"/>
                    <w:tr2bl w:val="nil"/>
                  </w:tcBorders>
                  <w:vAlign w:val="center"/>
                </w:tcPr>
                <w:p w14:paraId="72D270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183</w:t>
                  </w:r>
                </w:p>
              </w:tc>
            </w:tr>
            <w:tr w14:paraId="63E20E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7879AA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60E912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银河小区</w:t>
                  </w:r>
                </w:p>
              </w:tc>
              <w:tc>
                <w:tcPr>
                  <w:tcW w:w="1498" w:type="dxa"/>
                  <w:tcBorders>
                    <w:tl2br w:val="nil"/>
                    <w:tr2bl w:val="nil"/>
                  </w:tcBorders>
                  <w:vAlign w:val="center"/>
                </w:tcPr>
                <w:p w14:paraId="4AF8C8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120.75545527</w:t>
                  </w:r>
                </w:p>
              </w:tc>
              <w:tc>
                <w:tcPr>
                  <w:tcW w:w="1391" w:type="dxa"/>
                  <w:tcBorders>
                    <w:tl2br w:val="nil"/>
                    <w:tr2bl w:val="nil"/>
                  </w:tcBorders>
                  <w:vAlign w:val="center"/>
                </w:tcPr>
                <w:p w14:paraId="2A4E46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41.79654930</w:t>
                  </w:r>
                </w:p>
              </w:tc>
              <w:tc>
                <w:tcPr>
                  <w:tcW w:w="573" w:type="dxa"/>
                  <w:vMerge w:val="continue"/>
                  <w:tcBorders>
                    <w:tl2br w:val="nil"/>
                    <w:tr2bl w:val="nil"/>
                  </w:tcBorders>
                  <w:vAlign w:val="center"/>
                </w:tcPr>
                <w:p w14:paraId="4AD34B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69E603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0295BA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南</w:t>
                  </w:r>
                </w:p>
              </w:tc>
              <w:tc>
                <w:tcPr>
                  <w:tcW w:w="735" w:type="dxa"/>
                  <w:tcBorders>
                    <w:tl2br w:val="nil"/>
                    <w:tr2bl w:val="nil"/>
                  </w:tcBorders>
                  <w:vAlign w:val="center"/>
                </w:tcPr>
                <w:p w14:paraId="0E6F53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479</w:t>
                  </w:r>
                </w:p>
              </w:tc>
              <w:tc>
                <w:tcPr>
                  <w:tcW w:w="860" w:type="dxa"/>
                  <w:tcBorders>
                    <w:tl2br w:val="nil"/>
                    <w:tr2bl w:val="nil"/>
                  </w:tcBorders>
                  <w:vAlign w:val="center"/>
                </w:tcPr>
                <w:p w14:paraId="3FF5D8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514</w:t>
                  </w:r>
                </w:p>
              </w:tc>
            </w:tr>
            <w:tr w14:paraId="463546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25" w:type="dxa"/>
                  <w:vMerge w:val="continue"/>
                  <w:tcBorders>
                    <w:tl2br w:val="nil"/>
                    <w:tr2bl w:val="nil"/>
                  </w:tcBorders>
                  <w:vAlign w:val="center"/>
                </w:tcPr>
                <w:p w14:paraId="1C86C4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29430D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南山昕苑</w:t>
                  </w:r>
                </w:p>
              </w:tc>
              <w:tc>
                <w:tcPr>
                  <w:tcW w:w="1498" w:type="dxa"/>
                  <w:tcBorders>
                    <w:tl2br w:val="nil"/>
                    <w:tr2bl w:val="nil"/>
                  </w:tcBorders>
                  <w:vAlign w:val="center"/>
                </w:tcPr>
                <w:p w14:paraId="2467F7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120.75637827</w:t>
                  </w:r>
                </w:p>
              </w:tc>
              <w:tc>
                <w:tcPr>
                  <w:tcW w:w="1391" w:type="dxa"/>
                  <w:tcBorders>
                    <w:tl2br w:val="nil"/>
                    <w:tr2bl w:val="nil"/>
                  </w:tcBorders>
                  <w:vAlign w:val="center"/>
                </w:tcPr>
                <w:p w14:paraId="7246BD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41.79936491</w:t>
                  </w:r>
                </w:p>
              </w:tc>
              <w:tc>
                <w:tcPr>
                  <w:tcW w:w="573" w:type="dxa"/>
                  <w:vMerge w:val="continue"/>
                  <w:tcBorders>
                    <w:tl2br w:val="nil"/>
                    <w:tr2bl w:val="nil"/>
                  </w:tcBorders>
                  <w:vAlign w:val="center"/>
                </w:tcPr>
                <w:p w14:paraId="300EC8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01E4F1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02416D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南</w:t>
                  </w:r>
                </w:p>
              </w:tc>
              <w:tc>
                <w:tcPr>
                  <w:tcW w:w="735" w:type="dxa"/>
                  <w:tcBorders>
                    <w:tl2br w:val="nil"/>
                    <w:tr2bl w:val="nil"/>
                  </w:tcBorders>
                  <w:vAlign w:val="center"/>
                </w:tcPr>
                <w:p w14:paraId="0F1E07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73</w:t>
                  </w:r>
                </w:p>
              </w:tc>
              <w:tc>
                <w:tcPr>
                  <w:tcW w:w="860" w:type="dxa"/>
                  <w:tcBorders>
                    <w:tl2br w:val="nil"/>
                    <w:tr2bl w:val="nil"/>
                  </w:tcBorders>
                  <w:vAlign w:val="center"/>
                </w:tcPr>
                <w:p w14:paraId="654CD9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115</w:t>
                  </w:r>
                </w:p>
              </w:tc>
            </w:tr>
            <w:tr w14:paraId="0A2B70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131A8C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243B1B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欣怡家园</w:t>
                  </w:r>
                </w:p>
              </w:tc>
              <w:tc>
                <w:tcPr>
                  <w:tcW w:w="1498" w:type="dxa"/>
                  <w:tcBorders>
                    <w:tl2br w:val="nil"/>
                    <w:tr2bl w:val="nil"/>
                  </w:tcBorders>
                  <w:vAlign w:val="center"/>
                </w:tcPr>
                <w:p w14:paraId="161529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120.75753711</w:t>
                  </w:r>
                </w:p>
              </w:tc>
              <w:tc>
                <w:tcPr>
                  <w:tcW w:w="1391" w:type="dxa"/>
                  <w:tcBorders>
                    <w:tl2br w:val="nil"/>
                    <w:tr2bl w:val="nil"/>
                  </w:tcBorders>
                  <w:vAlign w:val="center"/>
                </w:tcPr>
                <w:p w14:paraId="15E79B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41.80118855</w:t>
                  </w:r>
                </w:p>
              </w:tc>
              <w:tc>
                <w:tcPr>
                  <w:tcW w:w="573" w:type="dxa"/>
                  <w:vMerge w:val="continue"/>
                  <w:tcBorders>
                    <w:tl2br w:val="nil"/>
                    <w:tr2bl w:val="nil"/>
                  </w:tcBorders>
                  <w:vAlign w:val="center"/>
                </w:tcPr>
                <w:p w14:paraId="050F51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37486B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50C586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南</w:t>
                  </w:r>
                </w:p>
              </w:tc>
              <w:tc>
                <w:tcPr>
                  <w:tcW w:w="735" w:type="dxa"/>
                  <w:tcBorders>
                    <w:tl2br w:val="nil"/>
                    <w:tr2bl w:val="nil"/>
                  </w:tcBorders>
                  <w:vAlign w:val="center"/>
                </w:tcPr>
                <w:p w14:paraId="5B4C68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126</w:t>
                  </w:r>
                </w:p>
              </w:tc>
              <w:tc>
                <w:tcPr>
                  <w:tcW w:w="860" w:type="dxa"/>
                  <w:tcBorders>
                    <w:tl2br w:val="nil"/>
                    <w:tr2bl w:val="nil"/>
                  </w:tcBorders>
                  <w:vAlign w:val="center"/>
                </w:tcPr>
                <w:p w14:paraId="5E9FD6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133</w:t>
                  </w:r>
                </w:p>
              </w:tc>
            </w:tr>
            <w:tr w14:paraId="46768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5F8CC6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783096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家属院</w:t>
                  </w:r>
                </w:p>
              </w:tc>
              <w:tc>
                <w:tcPr>
                  <w:tcW w:w="1498" w:type="dxa"/>
                  <w:tcBorders>
                    <w:tl2br w:val="nil"/>
                    <w:tr2bl w:val="nil"/>
                  </w:tcBorders>
                  <w:vAlign w:val="center"/>
                </w:tcPr>
                <w:p w14:paraId="68BEC6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120.75936063</w:t>
                  </w:r>
                </w:p>
              </w:tc>
              <w:tc>
                <w:tcPr>
                  <w:tcW w:w="1391" w:type="dxa"/>
                  <w:tcBorders>
                    <w:tl2br w:val="nil"/>
                    <w:tr2bl w:val="nil"/>
                  </w:tcBorders>
                  <w:vAlign w:val="center"/>
                </w:tcPr>
                <w:p w14:paraId="6876E0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41.80054851</w:t>
                  </w:r>
                </w:p>
              </w:tc>
              <w:tc>
                <w:tcPr>
                  <w:tcW w:w="573" w:type="dxa"/>
                  <w:vMerge w:val="continue"/>
                  <w:tcBorders>
                    <w:tl2br w:val="nil"/>
                    <w:tr2bl w:val="nil"/>
                  </w:tcBorders>
                  <w:vAlign w:val="center"/>
                </w:tcPr>
                <w:p w14:paraId="3408E7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08FECD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5224C6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南</w:t>
                  </w:r>
                </w:p>
              </w:tc>
              <w:tc>
                <w:tcPr>
                  <w:tcW w:w="735" w:type="dxa"/>
                  <w:tcBorders>
                    <w:tl2br w:val="nil"/>
                    <w:tr2bl w:val="nil"/>
                  </w:tcBorders>
                  <w:vAlign w:val="center"/>
                </w:tcPr>
                <w:p w14:paraId="2C4124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229</w:t>
                  </w:r>
                </w:p>
              </w:tc>
              <w:tc>
                <w:tcPr>
                  <w:tcW w:w="860" w:type="dxa"/>
                  <w:tcBorders>
                    <w:tl2br w:val="nil"/>
                    <w:tr2bl w:val="nil"/>
                  </w:tcBorders>
                  <w:vAlign w:val="center"/>
                </w:tcPr>
                <w:p w14:paraId="5E6790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233</w:t>
                  </w:r>
                </w:p>
              </w:tc>
            </w:tr>
            <w:tr w14:paraId="388AA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4F2720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4D0589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宏光小区</w:t>
                  </w:r>
                </w:p>
              </w:tc>
              <w:tc>
                <w:tcPr>
                  <w:tcW w:w="1498" w:type="dxa"/>
                  <w:tcBorders>
                    <w:tl2br w:val="nil"/>
                    <w:tr2bl w:val="nil"/>
                  </w:tcBorders>
                  <w:vAlign w:val="center"/>
                </w:tcPr>
                <w:p w14:paraId="4ADBFA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120.75951061</w:t>
                  </w:r>
                </w:p>
              </w:tc>
              <w:tc>
                <w:tcPr>
                  <w:tcW w:w="1391" w:type="dxa"/>
                  <w:tcBorders>
                    <w:tl2br w:val="nil"/>
                    <w:tr2bl w:val="nil"/>
                  </w:tcBorders>
                  <w:vAlign w:val="center"/>
                </w:tcPr>
                <w:p w14:paraId="547795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41.79902875</w:t>
                  </w:r>
                </w:p>
              </w:tc>
              <w:tc>
                <w:tcPr>
                  <w:tcW w:w="573" w:type="dxa"/>
                  <w:vMerge w:val="continue"/>
                  <w:tcBorders>
                    <w:tl2br w:val="nil"/>
                    <w:tr2bl w:val="nil"/>
                  </w:tcBorders>
                  <w:vAlign w:val="center"/>
                </w:tcPr>
                <w:p w14:paraId="2B58F5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6BF021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5A9921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南</w:t>
                  </w:r>
                </w:p>
              </w:tc>
              <w:tc>
                <w:tcPr>
                  <w:tcW w:w="735" w:type="dxa"/>
                  <w:tcBorders>
                    <w:tl2br w:val="nil"/>
                    <w:tr2bl w:val="nil"/>
                  </w:tcBorders>
                  <w:vAlign w:val="center"/>
                </w:tcPr>
                <w:p w14:paraId="73C99FA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403</w:t>
                  </w:r>
                </w:p>
              </w:tc>
              <w:tc>
                <w:tcPr>
                  <w:tcW w:w="860" w:type="dxa"/>
                  <w:tcBorders>
                    <w:tl2br w:val="nil"/>
                    <w:tr2bl w:val="nil"/>
                  </w:tcBorders>
                  <w:vAlign w:val="center"/>
                </w:tcPr>
                <w:p w14:paraId="675951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418</w:t>
                  </w:r>
                </w:p>
              </w:tc>
            </w:tr>
            <w:tr w14:paraId="406286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251662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343C9B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福典1期</w:t>
                  </w:r>
                </w:p>
              </w:tc>
              <w:tc>
                <w:tcPr>
                  <w:tcW w:w="1498" w:type="dxa"/>
                  <w:tcBorders>
                    <w:tl2br w:val="nil"/>
                    <w:tr2bl w:val="nil"/>
                  </w:tcBorders>
                  <w:vAlign w:val="center"/>
                </w:tcPr>
                <w:p w14:paraId="7D6ED6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120.76160205</w:t>
                  </w:r>
                </w:p>
              </w:tc>
              <w:tc>
                <w:tcPr>
                  <w:tcW w:w="1391" w:type="dxa"/>
                  <w:tcBorders>
                    <w:tl2br w:val="nil"/>
                    <w:tr2bl w:val="nil"/>
                  </w:tcBorders>
                  <w:vAlign w:val="center"/>
                </w:tcPr>
                <w:p w14:paraId="3B07D3A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41.79814053</w:t>
                  </w:r>
                </w:p>
              </w:tc>
              <w:tc>
                <w:tcPr>
                  <w:tcW w:w="573" w:type="dxa"/>
                  <w:vMerge w:val="continue"/>
                  <w:tcBorders>
                    <w:tl2br w:val="nil"/>
                    <w:tr2bl w:val="nil"/>
                  </w:tcBorders>
                  <w:vAlign w:val="center"/>
                </w:tcPr>
                <w:p w14:paraId="788CB2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77BEA8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1354DD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南</w:t>
                  </w:r>
                </w:p>
              </w:tc>
              <w:tc>
                <w:tcPr>
                  <w:tcW w:w="735" w:type="dxa"/>
                  <w:tcBorders>
                    <w:tl2br w:val="nil"/>
                    <w:tr2bl w:val="nil"/>
                  </w:tcBorders>
                  <w:vAlign w:val="center"/>
                </w:tcPr>
                <w:p w14:paraId="1BD861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475</w:t>
                  </w:r>
                </w:p>
              </w:tc>
              <w:tc>
                <w:tcPr>
                  <w:tcW w:w="860" w:type="dxa"/>
                  <w:tcBorders>
                    <w:tl2br w:val="nil"/>
                    <w:tr2bl w:val="nil"/>
                  </w:tcBorders>
                  <w:vAlign w:val="center"/>
                </w:tcPr>
                <w:p w14:paraId="581A00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485</w:t>
                  </w:r>
                </w:p>
              </w:tc>
            </w:tr>
            <w:tr w14:paraId="0164F4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09021D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6871C9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孤岛社区</w:t>
                  </w:r>
                </w:p>
              </w:tc>
              <w:tc>
                <w:tcPr>
                  <w:tcW w:w="1498" w:type="dxa"/>
                  <w:tcBorders>
                    <w:tl2br w:val="nil"/>
                    <w:tr2bl w:val="nil"/>
                  </w:tcBorders>
                  <w:vAlign w:val="center"/>
                </w:tcPr>
                <w:p w14:paraId="3C602E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120.76324313</w:t>
                  </w:r>
                </w:p>
              </w:tc>
              <w:tc>
                <w:tcPr>
                  <w:tcW w:w="1391" w:type="dxa"/>
                  <w:tcBorders>
                    <w:tl2br w:val="nil"/>
                    <w:tr2bl w:val="nil"/>
                  </w:tcBorders>
                  <w:vAlign w:val="center"/>
                </w:tcPr>
                <w:p w14:paraId="7AA151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41.79937195</w:t>
                  </w:r>
                </w:p>
              </w:tc>
              <w:tc>
                <w:tcPr>
                  <w:tcW w:w="573" w:type="dxa"/>
                  <w:vMerge w:val="continue"/>
                  <w:tcBorders>
                    <w:tl2br w:val="nil"/>
                    <w:tr2bl w:val="nil"/>
                  </w:tcBorders>
                  <w:vAlign w:val="center"/>
                </w:tcPr>
                <w:p w14:paraId="1647C1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4FC01E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1092DA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东南</w:t>
                  </w:r>
                </w:p>
              </w:tc>
              <w:tc>
                <w:tcPr>
                  <w:tcW w:w="735" w:type="dxa"/>
                  <w:tcBorders>
                    <w:tl2br w:val="nil"/>
                    <w:tr2bl w:val="nil"/>
                  </w:tcBorders>
                  <w:vAlign w:val="center"/>
                </w:tcPr>
                <w:p w14:paraId="429402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421</w:t>
                  </w:r>
                </w:p>
              </w:tc>
              <w:tc>
                <w:tcPr>
                  <w:tcW w:w="860" w:type="dxa"/>
                  <w:tcBorders>
                    <w:tl2br w:val="nil"/>
                    <w:tr2bl w:val="nil"/>
                  </w:tcBorders>
                  <w:vAlign w:val="center"/>
                </w:tcPr>
                <w:p w14:paraId="49EC46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457</w:t>
                  </w:r>
                </w:p>
              </w:tc>
            </w:tr>
            <w:tr w14:paraId="1D070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56DC0F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1FFD32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电业家园</w:t>
                  </w:r>
                </w:p>
              </w:tc>
              <w:tc>
                <w:tcPr>
                  <w:tcW w:w="1498" w:type="dxa"/>
                  <w:tcBorders>
                    <w:tl2br w:val="nil"/>
                    <w:tr2bl w:val="nil"/>
                  </w:tcBorders>
                  <w:vAlign w:val="center"/>
                </w:tcPr>
                <w:p w14:paraId="220CA7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120.76351145</w:t>
                  </w:r>
                </w:p>
              </w:tc>
              <w:tc>
                <w:tcPr>
                  <w:tcW w:w="1391" w:type="dxa"/>
                  <w:tcBorders>
                    <w:tl2br w:val="nil"/>
                    <w:tr2bl w:val="nil"/>
                  </w:tcBorders>
                  <w:vAlign w:val="center"/>
                </w:tcPr>
                <w:p w14:paraId="3F6DE8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41.80097159</w:t>
                  </w:r>
                </w:p>
              </w:tc>
              <w:tc>
                <w:tcPr>
                  <w:tcW w:w="573" w:type="dxa"/>
                  <w:vMerge w:val="continue"/>
                  <w:tcBorders>
                    <w:tl2br w:val="nil"/>
                    <w:tr2bl w:val="nil"/>
                  </w:tcBorders>
                  <w:vAlign w:val="center"/>
                </w:tcPr>
                <w:p w14:paraId="1B5D38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3F2735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01FA86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东南</w:t>
                  </w:r>
                </w:p>
              </w:tc>
              <w:tc>
                <w:tcPr>
                  <w:tcW w:w="735" w:type="dxa"/>
                  <w:tcBorders>
                    <w:tl2br w:val="nil"/>
                    <w:tr2bl w:val="nil"/>
                  </w:tcBorders>
                  <w:vAlign w:val="center"/>
                </w:tcPr>
                <w:p w14:paraId="517772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462</w:t>
                  </w:r>
                </w:p>
              </w:tc>
              <w:tc>
                <w:tcPr>
                  <w:tcW w:w="860" w:type="dxa"/>
                  <w:tcBorders>
                    <w:tl2br w:val="nil"/>
                    <w:tr2bl w:val="nil"/>
                  </w:tcBorders>
                  <w:vAlign w:val="center"/>
                </w:tcPr>
                <w:p w14:paraId="01B271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555</w:t>
                  </w:r>
                </w:p>
              </w:tc>
            </w:tr>
            <w:tr w14:paraId="64B6B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3ACF45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33C4C0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建安小区</w:t>
                  </w:r>
                </w:p>
              </w:tc>
              <w:tc>
                <w:tcPr>
                  <w:tcW w:w="1498" w:type="dxa"/>
                  <w:tcBorders>
                    <w:tl2br w:val="nil"/>
                    <w:tr2bl w:val="nil"/>
                  </w:tcBorders>
                  <w:vAlign w:val="center"/>
                </w:tcPr>
                <w:p w14:paraId="4D2B92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120.76539893</w:t>
                  </w:r>
                </w:p>
              </w:tc>
              <w:tc>
                <w:tcPr>
                  <w:tcW w:w="1391" w:type="dxa"/>
                  <w:tcBorders>
                    <w:tl2br w:val="nil"/>
                    <w:tr2bl w:val="nil"/>
                  </w:tcBorders>
                  <w:vAlign w:val="center"/>
                </w:tcPr>
                <w:p w14:paraId="2D3AA5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41.80155488</w:t>
                  </w:r>
                </w:p>
              </w:tc>
              <w:tc>
                <w:tcPr>
                  <w:tcW w:w="573" w:type="dxa"/>
                  <w:vMerge w:val="continue"/>
                  <w:tcBorders>
                    <w:tl2br w:val="nil"/>
                    <w:tr2bl w:val="nil"/>
                  </w:tcBorders>
                  <w:vAlign w:val="center"/>
                </w:tcPr>
                <w:p w14:paraId="456DFC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672CD1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038C13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东南</w:t>
                  </w:r>
                </w:p>
              </w:tc>
              <w:tc>
                <w:tcPr>
                  <w:tcW w:w="735" w:type="dxa"/>
                  <w:tcBorders>
                    <w:tl2br w:val="nil"/>
                    <w:tr2bl w:val="nil"/>
                  </w:tcBorders>
                  <w:vAlign w:val="center"/>
                </w:tcPr>
                <w:p w14:paraId="341F58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547</w:t>
                  </w:r>
                </w:p>
              </w:tc>
              <w:tc>
                <w:tcPr>
                  <w:tcW w:w="860" w:type="dxa"/>
                  <w:tcBorders>
                    <w:tl2br w:val="nil"/>
                    <w:tr2bl w:val="nil"/>
                  </w:tcBorders>
                  <w:vAlign w:val="center"/>
                </w:tcPr>
                <w:p w14:paraId="0F3572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731</w:t>
                  </w:r>
                </w:p>
              </w:tc>
            </w:tr>
            <w:tr w14:paraId="4A2D33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676671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60F5DC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富丽花园</w:t>
                  </w:r>
                </w:p>
              </w:tc>
              <w:tc>
                <w:tcPr>
                  <w:tcW w:w="1498" w:type="dxa"/>
                  <w:tcBorders>
                    <w:tl2br w:val="nil"/>
                    <w:tr2bl w:val="nil"/>
                  </w:tcBorders>
                  <w:vAlign w:val="center"/>
                </w:tcPr>
                <w:p w14:paraId="5C6A0E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120.76140941</w:t>
                  </w:r>
                </w:p>
              </w:tc>
              <w:tc>
                <w:tcPr>
                  <w:tcW w:w="1391" w:type="dxa"/>
                  <w:tcBorders>
                    <w:tl2br w:val="nil"/>
                    <w:tr2bl w:val="nil"/>
                  </w:tcBorders>
                  <w:vAlign w:val="center"/>
                </w:tcPr>
                <w:p w14:paraId="5102E3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41.80135602</w:t>
                  </w:r>
                </w:p>
              </w:tc>
              <w:tc>
                <w:tcPr>
                  <w:tcW w:w="573" w:type="dxa"/>
                  <w:vMerge w:val="continue"/>
                  <w:tcBorders>
                    <w:tl2br w:val="nil"/>
                    <w:tr2bl w:val="nil"/>
                  </w:tcBorders>
                  <w:vAlign w:val="center"/>
                </w:tcPr>
                <w:p w14:paraId="154932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2D7698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47B538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东南</w:t>
                  </w:r>
                </w:p>
              </w:tc>
              <w:tc>
                <w:tcPr>
                  <w:tcW w:w="735" w:type="dxa"/>
                  <w:tcBorders>
                    <w:tl2br w:val="nil"/>
                    <w:tr2bl w:val="nil"/>
                  </w:tcBorders>
                  <w:vAlign w:val="center"/>
                </w:tcPr>
                <w:p w14:paraId="2C24EE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311</w:t>
                  </w:r>
                </w:p>
              </w:tc>
              <w:tc>
                <w:tcPr>
                  <w:tcW w:w="860" w:type="dxa"/>
                  <w:tcBorders>
                    <w:tl2br w:val="nil"/>
                    <w:tr2bl w:val="nil"/>
                  </w:tcBorders>
                  <w:vAlign w:val="center"/>
                </w:tcPr>
                <w:p w14:paraId="6CA277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372</w:t>
                  </w:r>
                </w:p>
              </w:tc>
            </w:tr>
            <w:tr w14:paraId="2C356C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2C921F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2FAAC6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国税小区</w:t>
                  </w:r>
                </w:p>
              </w:tc>
              <w:tc>
                <w:tcPr>
                  <w:tcW w:w="1498" w:type="dxa"/>
                  <w:tcBorders>
                    <w:tl2br w:val="nil"/>
                    <w:tr2bl w:val="nil"/>
                  </w:tcBorders>
                  <w:vAlign w:val="center"/>
                </w:tcPr>
                <w:p w14:paraId="052CF2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120.76192435</w:t>
                  </w:r>
                </w:p>
              </w:tc>
              <w:tc>
                <w:tcPr>
                  <w:tcW w:w="1391" w:type="dxa"/>
                  <w:tcBorders>
                    <w:tl2br w:val="nil"/>
                    <w:tr2bl w:val="nil"/>
                  </w:tcBorders>
                  <w:vAlign w:val="center"/>
                </w:tcPr>
                <w:p w14:paraId="7B40D8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41.80231572</w:t>
                  </w:r>
                </w:p>
              </w:tc>
              <w:tc>
                <w:tcPr>
                  <w:tcW w:w="573" w:type="dxa"/>
                  <w:vMerge w:val="continue"/>
                  <w:tcBorders>
                    <w:tl2br w:val="nil"/>
                    <w:tr2bl w:val="nil"/>
                  </w:tcBorders>
                  <w:vAlign w:val="center"/>
                </w:tcPr>
                <w:p w14:paraId="16598C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6F5BB1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6FB4DC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东南</w:t>
                  </w:r>
                </w:p>
              </w:tc>
              <w:tc>
                <w:tcPr>
                  <w:tcW w:w="735" w:type="dxa"/>
                  <w:tcBorders>
                    <w:tl2br w:val="nil"/>
                    <w:tr2bl w:val="nil"/>
                  </w:tcBorders>
                  <w:vAlign w:val="center"/>
                </w:tcPr>
                <w:p w14:paraId="427FE3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236</w:t>
                  </w:r>
                </w:p>
              </w:tc>
              <w:tc>
                <w:tcPr>
                  <w:tcW w:w="860" w:type="dxa"/>
                  <w:tcBorders>
                    <w:tl2br w:val="nil"/>
                    <w:tr2bl w:val="nil"/>
                  </w:tcBorders>
                  <w:vAlign w:val="center"/>
                </w:tcPr>
                <w:p w14:paraId="06AD40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305</w:t>
                  </w:r>
                </w:p>
              </w:tc>
            </w:tr>
            <w:tr w14:paraId="3C585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3D15DF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0E161D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富华小区</w:t>
                  </w:r>
                </w:p>
              </w:tc>
              <w:tc>
                <w:tcPr>
                  <w:tcW w:w="1498" w:type="dxa"/>
                  <w:tcBorders>
                    <w:tl2br w:val="nil"/>
                    <w:tr2bl w:val="nil"/>
                  </w:tcBorders>
                  <w:vAlign w:val="center"/>
                </w:tcPr>
                <w:p w14:paraId="59D12D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120.76324364</w:t>
                  </w:r>
                </w:p>
              </w:tc>
              <w:tc>
                <w:tcPr>
                  <w:tcW w:w="1391" w:type="dxa"/>
                  <w:tcBorders>
                    <w:tl2br w:val="nil"/>
                    <w:tr2bl w:val="nil"/>
                  </w:tcBorders>
                  <w:vAlign w:val="center"/>
                </w:tcPr>
                <w:p w14:paraId="51D283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41.80334717</w:t>
                  </w:r>
                </w:p>
              </w:tc>
              <w:tc>
                <w:tcPr>
                  <w:tcW w:w="573" w:type="dxa"/>
                  <w:vMerge w:val="continue"/>
                  <w:tcBorders>
                    <w:tl2br w:val="nil"/>
                    <w:tr2bl w:val="nil"/>
                  </w:tcBorders>
                  <w:vAlign w:val="center"/>
                </w:tcPr>
                <w:p w14:paraId="43336E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17508C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62A856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东南</w:t>
                  </w:r>
                </w:p>
              </w:tc>
              <w:tc>
                <w:tcPr>
                  <w:tcW w:w="735" w:type="dxa"/>
                  <w:tcBorders>
                    <w:tl2br w:val="nil"/>
                    <w:tr2bl w:val="nil"/>
                  </w:tcBorders>
                  <w:vAlign w:val="center"/>
                </w:tcPr>
                <w:p w14:paraId="493C8F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203</w:t>
                  </w:r>
                </w:p>
              </w:tc>
              <w:tc>
                <w:tcPr>
                  <w:tcW w:w="860" w:type="dxa"/>
                  <w:tcBorders>
                    <w:tl2br w:val="nil"/>
                    <w:tr2bl w:val="nil"/>
                  </w:tcBorders>
                  <w:vAlign w:val="center"/>
                </w:tcPr>
                <w:p w14:paraId="457047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482</w:t>
                  </w:r>
                </w:p>
              </w:tc>
            </w:tr>
            <w:tr w14:paraId="48465F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vMerge w:val="continue"/>
                  <w:tcBorders>
                    <w:tl2br w:val="nil"/>
                    <w:tr2bl w:val="nil"/>
                  </w:tcBorders>
                  <w:vAlign w:val="center"/>
                </w:tcPr>
                <w:p w14:paraId="1AF0CA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1094" w:type="dxa"/>
                  <w:tcBorders>
                    <w:tl2br w:val="nil"/>
                    <w:tr2bl w:val="nil"/>
                  </w:tcBorders>
                  <w:vAlign w:val="center"/>
                </w:tcPr>
                <w:p w14:paraId="3D7E51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宏达小区</w:t>
                  </w:r>
                </w:p>
              </w:tc>
              <w:tc>
                <w:tcPr>
                  <w:tcW w:w="1498" w:type="dxa"/>
                  <w:tcBorders>
                    <w:tl2br w:val="nil"/>
                    <w:tr2bl w:val="nil"/>
                  </w:tcBorders>
                  <w:vAlign w:val="center"/>
                </w:tcPr>
                <w:p w14:paraId="210EDD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120.76379077</w:t>
                  </w:r>
                </w:p>
              </w:tc>
              <w:tc>
                <w:tcPr>
                  <w:tcW w:w="1391" w:type="dxa"/>
                  <w:tcBorders>
                    <w:tl2br w:val="nil"/>
                    <w:tr2bl w:val="nil"/>
                  </w:tcBorders>
                  <w:vAlign w:val="center"/>
                </w:tcPr>
                <w:p w14:paraId="59A85B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41.80479466</w:t>
                  </w:r>
                </w:p>
              </w:tc>
              <w:tc>
                <w:tcPr>
                  <w:tcW w:w="573" w:type="dxa"/>
                  <w:vMerge w:val="continue"/>
                  <w:tcBorders>
                    <w:tl2br w:val="nil"/>
                    <w:tr2bl w:val="nil"/>
                  </w:tcBorders>
                  <w:vAlign w:val="center"/>
                </w:tcPr>
                <w:p w14:paraId="3DD8F4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953" w:type="dxa"/>
                  <w:vMerge w:val="continue"/>
                  <w:tcBorders>
                    <w:tl2br w:val="nil"/>
                    <w:tr2bl w:val="nil"/>
                  </w:tcBorders>
                  <w:vAlign w:val="center"/>
                </w:tcPr>
                <w:p w14:paraId="1D7CCB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p>
              </w:tc>
              <w:tc>
                <w:tcPr>
                  <w:tcW w:w="734" w:type="dxa"/>
                  <w:tcBorders>
                    <w:tl2br w:val="nil"/>
                    <w:tr2bl w:val="nil"/>
                  </w:tcBorders>
                  <w:vAlign w:val="center"/>
                </w:tcPr>
                <w:p w14:paraId="5F2A8D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东</w:t>
                  </w:r>
                </w:p>
              </w:tc>
              <w:tc>
                <w:tcPr>
                  <w:tcW w:w="735" w:type="dxa"/>
                  <w:tcBorders>
                    <w:tl2br w:val="nil"/>
                    <w:tr2bl w:val="nil"/>
                  </w:tcBorders>
                  <w:vAlign w:val="center"/>
                </w:tcPr>
                <w:p w14:paraId="078304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136</w:t>
                  </w:r>
                </w:p>
              </w:tc>
              <w:tc>
                <w:tcPr>
                  <w:tcW w:w="860" w:type="dxa"/>
                  <w:tcBorders>
                    <w:tl2br w:val="nil"/>
                    <w:tr2bl w:val="nil"/>
                  </w:tcBorders>
                  <w:vAlign w:val="center"/>
                </w:tcPr>
                <w:p w14:paraId="2970DA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455</w:t>
                  </w:r>
                </w:p>
              </w:tc>
            </w:tr>
            <w:tr w14:paraId="4981C7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tcBorders>
                    <w:tl2br w:val="nil"/>
                    <w:tr2bl w:val="nil"/>
                  </w:tcBorders>
                  <w:vAlign w:val="center"/>
                </w:tcPr>
                <w:p w14:paraId="4D244E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声环境</w:t>
                  </w:r>
                </w:p>
              </w:tc>
              <w:tc>
                <w:tcPr>
                  <w:tcW w:w="1094" w:type="dxa"/>
                  <w:tcBorders>
                    <w:tl2br w:val="nil"/>
                    <w:tr2bl w:val="nil"/>
                  </w:tcBorders>
                  <w:vAlign w:val="center"/>
                </w:tcPr>
                <w:p w14:paraId="4C0E16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银河小区</w:t>
                  </w:r>
                </w:p>
              </w:tc>
              <w:tc>
                <w:tcPr>
                  <w:tcW w:w="1498" w:type="dxa"/>
                  <w:tcBorders>
                    <w:tl2br w:val="nil"/>
                    <w:tr2bl w:val="nil"/>
                  </w:tcBorders>
                  <w:vAlign w:val="center"/>
                </w:tcPr>
                <w:p w14:paraId="74D85E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120.75593063</w:t>
                  </w:r>
                </w:p>
              </w:tc>
              <w:tc>
                <w:tcPr>
                  <w:tcW w:w="1391" w:type="dxa"/>
                  <w:tcBorders>
                    <w:tl2br w:val="nil"/>
                    <w:tr2bl w:val="nil"/>
                  </w:tcBorders>
                  <w:vAlign w:val="center"/>
                </w:tcPr>
                <w:p w14:paraId="31FE14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41.80143654</w:t>
                  </w:r>
                </w:p>
              </w:tc>
              <w:tc>
                <w:tcPr>
                  <w:tcW w:w="573" w:type="dxa"/>
                  <w:tcBorders>
                    <w:tl2br w:val="nil"/>
                    <w:tr2bl w:val="nil"/>
                  </w:tcBorders>
                  <w:vAlign w:val="center"/>
                </w:tcPr>
                <w:p w14:paraId="1237B5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居民</w:t>
                  </w:r>
                </w:p>
              </w:tc>
              <w:tc>
                <w:tcPr>
                  <w:tcW w:w="953" w:type="dxa"/>
                  <w:tcBorders>
                    <w:tl2br w:val="nil"/>
                    <w:tr2bl w:val="nil"/>
                  </w:tcBorders>
                  <w:vAlign w:val="center"/>
                </w:tcPr>
                <w:p w14:paraId="02361A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GB3096-2008</w:t>
                  </w:r>
                  <w:r>
                    <w:rPr>
                      <w:rFonts w:hint="eastAsia" w:cs="Times New Roman" w:eastAsiaTheme="minorEastAsia"/>
                      <w:color w:val="auto"/>
                      <w:kern w:val="2"/>
                      <w:sz w:val="21"/>
                      <w:szCs w:val="21"/>
                      <w:highlight w:val="none"/>
                      <w:lang w:val="en-US" w:eastAsia="zh-CN" w:bidi="ar-SA"/>
                    </w:rPr>
                    <w:t>中的2</w:t>
                  </w:r>
                  <w:r>
                    <w:rPr>
                      <w:rFonts w:hint="eastAsia" w:ascii="Times New Roman" w:hAnsi="Times New Roman" w:cs="Times New Roman" w:eastAsiaTheme="minorEastAsia"/>
                      <w:color w:val="auto"/>
                      <w:kern w:val="2"/>
                      <w:sz w:val="21"/>
                      <w:szCs w:val="21"/>
                      <w:highlight w:val="none"/>
                      <w:lang w:val="en-US" w:eastAsia="zh-CN" w:bidi="ar-SA"/>
                    </w:rPr>
                    <w:t>类区标准</w:t>
                  </w:r>
                </w:p>
              </w:tc>
              <w:tc>
                <w:tcPr>
                  <w:tcW w:w="734" w:type="dxa"/>
                  <w:tcBorders>
                    <w:tl2br w:val="nil"/>
                    <w:tr2bl w:val="nil"/>
                  </w:tcBorders>
                  <w:vAlign w:val="center"/>
                </w:tcPr>
                <w:p w14:paraId="518476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南</w:t>
                  </w:r>
                </w:p>
              </w:tc>
              <w:tc>
                <w:tcPr>
                  <w:tcW w:w="735" w:type="dxa"/>
                  <w:tcBorders>
                    <w:tl2br w:val="nil"/>
                    <w:tr2bl w:val="nil"/>
                  </w:tcBorders>
                  <w:vAlign w:val="center"/>
                </w:tcPr>
                <w:p w14:paraId="002BDD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7</w:t>
                  </w:r>
                </w:p>
              </w:tc>
              <w:tc>
                <w:tcPr>
                  <w:tcW w:w="860" w:type="dxa"/>
                  <w:tcBorders>
                    <w:tl2br w:val="nil"/>
                    <w:tr2bl w:val="nil"/>
                  </w:tcBorders>
                  <w:vAlign w:val="center"/>
                </w:tcPr>
                <w:p w14:paraId="46832C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kern w:val="2"/>
                      <w:sz w:val="21"/>
                      <w:szCs w:val="21"/>
                      <w:highlight w:val="none"/>
                      <w:lang w:val="en-US" w:eastAsia="zh-CN" w:bidi="ar-SA"/>
                    </w:rPr>
                    <w:t>21</w:t>
                  </w:r>
                </w:p>
              </w:tc>
            </w:tr>
            <w:tr w14:paraId="69326B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tcBorders>
                    <w:tl2br w:val="nil"/>
                    <w:tr2bl w:val="nil"/>
                  </w:tcBorders>
                  <w:vAlign w:val="center"/>
                </w:tcPr>
                <w:p w14:paraId="6DD0CF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地下水环境</w:t>
                  </w:r>
                </w:p>
              </w:tc>
              <w:tc>
                <w:tcPr>
                  <w:tcW w:w="4556" w:type="dxa"/>
                  <w:gridSpan w:val="4"/>
                  <w:tcBorders>
                    <w:tl2br w:val="nil"/>
                    <w:tr2bl w:val="nil"/>
                  </w:tcBorders>
                  <w:vAlign w:val="center"/>
                </w:tcPr>
                <w:p w14:paraId="266E2C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本项目所在边界外500m范围内不存在地下水集中式饮用水水源和热水、矿泉水、温泉等特殊地下水资源。</w:t>
                  </w:r>
                </w:p>
              </w:tc>
              <w:tc>
                <w:tcPr>
                  <w:tcW w:w="953" w:type="dxa"/>
                  <w:tcBorders>
                    <w:tl2br w:val="nil"/>
                    <w:tr2bl w:val="nil"/>
                  </w:tcBorders>
                  <w:vAlign w:val="center"/>
                </w:tcPr>
                <w:p w14:paraId="0AC249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GB/T14848-2017中的III类</w:t>
                  </w:r>
                </w:p>
              </w:tc>
              <w:tc>
                <w:tcPr>
                  <w:tcW w:w="2329" w:type="dxa"/>
                  <w:gridSpan w:val="3"/>
                  <w:tcBorders>
                    <w:tl2br w:val="nil"/>
                    <w:tr2bl w:val="nil"/>
                  </w:tcBorders>
                  <w:vAlign w:val="center"/>
                </w:tcPr>
                <w:p w14:paraId="152F3B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w:t>
                  </w:r>
                </w:p>
              </w:tc>
            </w:tr>
            <w:tr w14:paraId="579C6F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tcBorders>
                    <w:tl2br w:val="nil"/>
                    <w:tr2bl w:val="nil"/>
                  </w:tcBorders>
                  <w:vAlign w:val="center"/>
                </w:tcPr>
                <w:p w14:paraId="155AC0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生态环境</w:t>
                  </w:r>
                </w:p>
              </w:tc>
              <w:tc>
                <w:tcPr>
                  <w:tcW w:w="7838" w:type="dxa"/>
                  <w:gridSpan w:val="8"/>
                  <w:tcBorders>
                    <w:tl2br w:val="nil"/>
                    <w:tr2bl w:val="nil"/>
                  </w:tcBorders>
                  <w:vAlign w:val="center"/>
                </w:tcPr>
                <w:p w14:paraId="413831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rPr>
                    <w:t>无</w:t>
                  </w:r>
                </w:p>
              </w:tc>
            </w:tr>
            <w:tr w14:paraId="5F46BF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5" w:type="dxa"/>
                  <w:tcBorders>
                    <w:tl2br w:val="nil"/>
                    <w:tr2bl w:val="nil"/>
                  </w:tcBorders>
                  <w:vAlign w:val="center"/>
                </w:tcPr>
                <w:p w14:paraId="654DAC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土壤环境</w:t>
                  </w:r>
                </w:p>
              </w:tc>
              <w:tc>
                <w:tcPr>
                  <w:tcW w:w="4556" w:type="dxa"/>
                  <w:gridSpan w:val="4"/>
                  <w:tcBorders>
                    <w:tl2br w:val="nil"/>
                    <w:tr2bl w:val="nil"/>
                  </w:tcBorders>
                  <w:vAlign w:val="center"/>
                </w:tcPr>
                <w:p w14:paraId="212FA3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项目厂区所在区域土壤</w:t>
                  </w:r>
                </w:p>
              </w:tc>
              <w:tc>
                <w:tcPr>
                  <w:tcW w:w="953" w:type="dxa"/>
                  <w:tcBorders>
                    <w:tl2br w:val="nil"/>
                    <w:tr2bl w:val="nil"/>
                  </w:tcBorders>
                  <w:vAlign w:val="center"/>
                </w:tcPr>
                <w:p w14:paraId="4D10DA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GB36600-2018中第二类用地筛选值</w:t>
                  </w:r>
                </w:p>
              </w:tc>
              <w:tc>
                <w:tcPr>
                  <w:tcW w:w="2329" w:type="dxa"/>
                  <w:gridSpan w:val="3"/>
                  <w:tcBorders>
                    <w:tl2br w:val="nil"/>
                    <w:tr2bl w:val="nil"/>
                  </w:tcBorders>
                  <w:vAlign w:val="center"/>
                </w:tcPr>
                <w:p w14:paraId="6AD50E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w:t>
                  </w:r>
                </w:p>
              </w:tc>
            </w:tr>
          </w:tbl>
          <w:p w14:paraId="1989CEA5">
            <w:pPr>
              <w:rPr>
                <w:rFonts w:hint="eastAsia" w:eastAsia="宋体"/>
                <w:color w:val="auto"/>
                <w:highlight w:val="none"/>
                <w:lang w:eastAsia="zh-CN"/>
              </w:rPr>
            </w:pPr>
            <w:r>
              <w:rPr>
                <w:rFonts w:hint="eastAsia" w:eastAsia="宋体" w:cs="Times New Roman"/>
                <w:color w:val="auto"/>
                <w:sz w:val="24"/>
                <w:szCs w:val="24"/>
                <w:highlight w:val="none"/>
                <w:lang w:eastAsia="zh-CN"/>
              </w:rPr>
              <w:t>项目周围环境保护目标图见附图</w:t>
            </w:r>
            <w:r>
              <w:rPr>
                <w:rFonts w:hint="eastAsia" w:cs="Times New Roman"/>
                <w:color w:val="auto"/>
                <w:sz w:val="24"/>
                <w:szCs w:val="24"/>
                <w:highlight w:val="none"/>
                <w:lang w:val="en-US" w:eastAsia="zh-CN"/>
              </w:rPr>
              <w:t>8</w:t>
            </w:r>
            <w:r>
              <w:rPr>
                <w:rFonts w:hint="eastAsia" w:eastAsia="宋体" w:cs="Times New Roman"/>
                <w:color w:val="auto"/>
                <w:sz w:val="24"/>
                <w:szCs w:val="24"/>
                <w:highlight w:val="none"/>
                <w:lang w:eastAsia="zh-CN"/>
              </w:rPr>
              <w:t>。</w:t>
            </w:r>
          </w:p>
        </w:tc>
      </w:tr>
      <w:tr w14:paraId="315F1D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38" w:hRule="atLeast"/>
          <w:jc w:val="center"/>
        </w:trPr>
        <w:tc>
          <w:tcPr>
            <w:tcW w:w="457" w:type="dxa"/>
            <w:vAlign w:val="center"/>
          </w:tcPr>
          <w:p w14:paraId="650726BB">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污染</w:t>
            </w:r>
          </w:p>
          <w:p w14:paraId="1C7BED7E">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物排</w:t>
            </w:r>
          </w:p>
          <w:p w14:paraId="048B0AE9">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放控</w:t>
            </w:r>
          </w:p>
          <w:p w14:paraId="77B92197">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制标</w:t>
            </w:r>
          </w:p>
          <w:p w14:paraId="7349C36D">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准</w:t>
            </w:r>
          </w:p>
        </w:tc>
        <w:tc>
          <w:tcPr>
            <w:tcW w:w="8387" w:type="dxa"/>
            <w:vAlign w:val="center"/>
          </w:tcPr>
          <w:p w14:paraId="2F7DBD0A">
            <w:pPr>
              <w:bidi w:val="0"/>
              <w:rPr>
                <w:b/>
                <w:bCs/>
                <w:color w:val="auto"/>
                <w:highlight w:val="none"/>
              </w:rPr>
            </w:pPr>
            <w:r>
              <w:rPr>
                <w:rFonts w:hint="eastAsia"/>
                <w:b/>
                <w:bCs/>
                <w:color w:val="auto"/>
                <w:highlight w:val="none"/>
              </w:rPr>
              <w:t>1施工期</w:t>
            </w:r>
          </w:p>
          <w:p w14:paraId="6E4F09E3">
            <w:pPr>
              <w:bidi w:val="0"/>
              <w:rPr>
                <w:rFonts w:hint="eastAsia"/>
                <w:b/>
                <w:bCs/>
                <w:color w:val="auto"/>
                <w:highlight w:val="none"/>
              </w:rPr>
            </w:pPr>
            <w:r>
              <w:rPr>
                <w:rFonts w:hint="eastAsia"/>
                <w:b/>
                <w:bCs/>
                <w:color w:val="auto"/>
                <w:highlight w:val="none"/>
              </w:rPr>
              <w:t>（1）噪声</w:t>
            </w:r>
          </w:p>
          <w:p w14:paraId="5CF99707">
            <w:pPr>
              <w:bidi w:val="0"/>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施工期噪声执行《建筑施工场界环境噪声排放标准》（GB12523-2011）</w:t>
            </w:r>
            <w:r>
              <w:rPr>
                <w:rFonts w:hint="eastAsia" w:eastAsia="宋体" w:cs="Times New Roman"/>
                <w:color w:val="auto"/>
                <w:sz w:val="24"/>
                <w:szCs w:val="24"/>
                <w:highlight w:val="none"/>
                <w:lang w:eastAsia="zh-CN"/>
              </w:rPr>
              <w:t>，即</w:t>
            </w:r>
            <w:r>
              <w:rPr>
                <w:rFonts w:hint="eastAsia" w:ascii="Times New Roman" w:hAnsi="Times New Roman" w:eastAsia="Times New Roman" w:cs="Times New Roman"/>
                <w:color w:val="auto"/>
                <w:sz w:val="24"/>
                <w:szCs w:val="24"/>
                <w:highlight w:val="none"/>
              </w:rPr>
              <w:t>昼间75dB(A)、夜间55dB(A)。</w:t>
            </w:r>
          </w:p>
          <w:p w14:paraId="5BCDA093">
            <w:pPr>
              <w:bidi w:val="0"/>
              <w:rPr>
                <w:rFonts w:hint="eastAsia"/>
                <w:b/>
                <w:bCs/>
                <w:color w:val="auto"/>
                <w:highlight w:val="none"/>
              </w:rPr>
            </w:pPr>
            <w:r>
              <w:rPr>
                <w:rFonts w:hint="eastAsia"/>
                <w:b/>
                <w:bCs/>
                <w:color w:val="auto"/>
                <w:highlight w:val="none"/>
              </w:rPr>
              <w:t>（2）废气</w:t>
            </w:r>
          </w:p>
          <w:p w14:paraId="20C7CC9B">
            <w:pPr>
              <w:bidi w:val="0"/>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施工期施工场地扬尘及堆料场扬尘为无组织排放，厂界颗粒物排放浓度执行辽宁省《施工及堆料场地扬尘排放标准》（DB21/2642-2016）（</w:t>
            </w:r>
            <w:r>
              <w:rPr>
                <w:rFonts w:hint="eastAsia" w:eastAsia="宋体" w:cs="Times New Roman"/>
                <w:color w:val="auto"/>
                <w:sz w:val="24"/>
                <w:szCs w:val="24"/>
                <w:highlight w:val="none"/>
                <w:lang w:eastAsia="zh-CN"/>
              </w:rPr>
              <w:t>城镇建成区</w:t>
            </w:r>
            <w:r>
              <w:rPr>
                <w:rFonts w:hint="eastAsia" w:ascii="Times New Roman" w:hAnsi="Times New Roman" w:eastAsia="Times New Roman" w:cs="Times New Roman"/>
                <w:color w:val="auto"/>
                <w:sz w:val="24"/>
                <w:szCs w:val="24"/>
                <w:highlight w:val="none"/>
              </w:rPr>
              <w:t>区</w:t>
            </w:r>
            <w:r>
              <w:rPr>
                <w:rFonts w:hint="eastAsia" w:eastAsia="宋体" w:cs="Times New Roman"/>
                <w:color w:val="auto"/>
                <w:sz w:val="24"/>
                <w:szCs w:val="24"/>
                <w:highlight w:val="none"/>
                <w:lang w:val="en-US" w:eastAsia="zh-CN"/>
              </w:rPr>
              <w:t>0.8</w:t>
            </w:r>
            <w:r>
              <w:rPr>
                <w:rFonts w:hint="eastAsia" w:ascii="Times New Roman" w:hAnsi="Times New Roman" w:eastAsia="Times New Roman" w:cs="Times New Roman"/>
                <w:color w:val="auto"/>
                <w:sz w:val="24"/>
                <w:szCs w:val="24"/>
                <w:highlight w:val="none"/>
              </w:rPr>
              <w:t>mg/m</w:t>
            </w:r>
            <w:r>
              <w:rPr>
                <w:rFonts w:hint="eastAsia" w:ascii="Times New Roman" w:hAnsi="Times New Roman" w:eastAsia="Times New Roman" w:cs="Times New Roman"/>
                <w:color w:val="auto"/>
                <w:sz w:val="24"/>
                <w:szCs w:val="24"/>
                <w:highlight w:val="none"/>
                <w:vertAlign w:val="superscript"/>
              </w:rPr>
              <w:t>3</w:t>
            </w:r>
            <w:r>
              <w:rPr>
                <w:rFonts w:hint="eastAsia" w:ascii="Times New Roman" w:hAnsi="Times New Roman" w:eastAsia="Times New Roman" w:cs="Times New Roman"/>
                <w:color w:val="auto"/>
                <w:sz w:val="24"/>
                <w:szCs w:val="24"/>
                <w:highlight w:val="none"/>
              </w:rPr>
              <w:t>）。</w:t>
            </w:r>
          </w:p>
          <w:p w14:paraId="1816AAC7">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2</w:t>
            </w:r>
            <w:r>
              <w:rPr>
                <w:rFonts w:ascii="Times New Roman" w:hAnsi="Times New Roman" w:eastAsia="Times New Roman" w:cs="Times New Roman"/>
                <w:b/>
                <w:bCs/>
                <w:color w:val="auto"/>
                <w:sz w:val="24"/>
                <w:szCs w:val="24"/>
                <w:highlight w:val="none"/>
              </w:rPr>
              <w:t>运营期</w:t>
            </w:r>
          </w:p>
          <w:p w14:paraId="1B1B9CDA">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（1）</w:t>
            </w:r>
            <w:r>
              <w:rPr>
                <w:rFonts w:ascii="Times New Roman" w:hAnsi="Times New Roman" w:eastAsia="Times New Roman" w:cs="Times New Roman"/>
                <w:b/>
                <w:bCs/>
                <w:color w:val="auto"/>
                <w:sz w:val="24"/>
                <w:szCs w:val="24"/>
                <w:highlight w:val="none"/>
              </w:rPr>
              <w:t>废气</w:t>
            </w:r>
          </w:p>
          <w:p w14:paraId="198D80F7">
            <w:pPr>
              <w:bidi w:val="0"/>
              <w:rPr>
                <w:rFonts w:hint="eastAsia"/>
                <w:color w:val="auto"/>
                <w:highlight w:val="none"/>
                <w:lang w:val="en-US" w:eastAsia="zh-CN"/>
              </w:rPr>
            </w:pPr>
            <w:r>
              <w:rPr>
                <w:rFonts w:hint="eastAsia"/>
                <w:color w:val="auto"/>
                <w:highlight w:val="none"/>
                <w:lang w:eastAsia="zh-CN"/>
              </w:rPr>
              <w:t>非甲烷总烃</w:t>
            </w:r>
            <w:r>
              <w:rPr>
                <w:rFonts w:hint="eastAsia"/>
                <w:color w:val="auto"/>
                <w:highlight w:val="none"/>
                <w:lang w:val="en-US" w:eastAsia="zh-CN"/>
              </w:rPr>
              <w:t>厂界无组织执行</w:t>
            </w:r>
            <w:r>
              <w:rPr>
                <w:rFonts w:hint="eastAsia"/>
                <w:color w:val="auto"/>
                <w:highlight w:val="none"/>
                <w:lang w:eastAsia="zh-CN"/>
              </w:rPr>
              <w:t>《大气污染物综合排放标准》（</w:t>
            </w:r>
            <w:r>
              <w:rPr>
                <w:rFonts w:hint="eastAsia"/>
                <w:color w:val="auto"/>
                <w:highlight w:val="none"/>
                <w:lang w:val="en-US" w:eastAsia="zh-CN"/>
              </w:rPr>
              <w:t>GB 16297-1996</w:t>
            </w:r>
            <w:r>
              <w:rPr>
                <w:rFonts w:hint="eastAsia"/>
                <w:color w:val="auto"/>
                <w:highlight w:val="none"/>
                <w:lang w:eastAsia="zh-CN"/>
              </w:rPr>
              <w:t>）（</w:t>
            </w:r>
            <w:r>
              <w:rPr>
                <w:rFonts w:hint="eastAsia"/>
                <w:color w:val="auto"/>
                <w:highlight w:val="none"/>
                <w:lang w:val="en-US" w:eastAsia="zh-CN"/>
              </w:rPr>
              <w:t>4.0mg/m</w:t>
            </w:r>
            <w:r>
              <w:rPr>
                <w:rFonts w:hint="default" w:ascii="Times New Roman" w:hAnsi="Times New Roman" w:cs="Times New Roman"/>
                <w:color w:val="auto"/>
                <w:highlight w:val="none"/>
                <w:vertAlign w:val="superscript"/>
                <w:lang w:val="en-US" w:eastAsia="zh-CN"/>
              </w:rPr>
              <w:t>3</w:t>
            </w:r>
            <w:r>
              <w:rPr>
                <w:rFonts w:hint="eastAsia"/>
                <w:color w:val="auto"/>
                <w:highlight w:val="none"/>
                <w:lang w:eastAsia="zh-CN"/>
              </w:rPr>
              <w:t>）；厂区内非甲烷总烃无组织排放同时满足《挥发性有机物无组织排放控制标准》（</w:t>
            </w:r>
            <w:r>
              <w:rPr>
                <w:rFonts w:hint="eastAsia"/>
                <w:color w:val="auto"/>
                <w:highlight w:val="none"/>
                <w:lang w:val="en-US" w:eastAsia="zh-CN"/>
              </w:rPr>
              <w:t>GB 37822-2019</w:t>
            </w:r>
            <w:r>
              <w:rPr>
                <w:rFonts w:hint="eastAsia"/>
                <w:color w:val="auto"/>
                <w:highlight w:val="none"/>
                <w:lang w:eastAsia="zh-CN"/>
              </w:rPr>
              <w:t>）表</w:t>
            </w:r>
            <w:r>
              <w:rPr>
                <w:rFonts w:hint="eastAsia"/>
                <w:color w:val="auto"/>
                <w:highlight w:val="none"/>
                <w:lang w:val="en-US" w:eastAsia="zh-CN"/>
              </w:rPr>
              <w:t>A.1中相关标准限值要求（6.0mg/m</w:t>
            </w:r>
            <w:r>
              <w:rPr>
                <w:rFonts w:hint="eastAsia"/>
                <w:color w:val="auto"/>
                <w:highlight w:val="none"/>
                <w:vertAlign w:val="superscript"/>
                <w:lang w:val="en-US" w:eastAsia="zh-CN"/>
              </w:rPr>
              <w:t>3</w:t>
            </w:r>
            <w:r>
              <w:rPr>
                <w:rFonts w:hint="eastAsia"/>
                <w:color w:val="auto"/>
                <w:highlight w:val="none"/>
                <w:lang w:val="en-US" w:eastAsia="zh-CN"/>
              </w:rPr>
              <w:t>，监控点处1h平均浓度值；20mg/m</w:t>
            </w:r>
            <w:r>
              <w:rPr>
                <w:rFonts w:hint="eastAsia"/>
                <w:color w:val="auto"/>
                <w:highlight w:val="none"/>
                <w:vertAlign w:val="superscript"/>
                <w:lang w:val="en-US" w:eastAsia="zh-CN"/>
              </w:rPr>
              <w:t>3</w:t>
            </w:r>
            <w:r>
              <w:rPr>
                <w:rFonts w:hint="eastAsia"/>
                <w:color w:val="auto"/>
                <w:highlight w:val="none"/>
                <w:lang w:val="en-US" w:eastAsia="zh-CN"/>
              </w:rPr>
              <w:t>，监控点处任意一次浓度值）。</w:t>
            </w:r>
          </w:p>
          <w:p w14:paraId="42F88474">
            <w:pPr>
              <w:bidi w:val="0"/>
              <w:rPr>
                <w:rFonts w:hint="eastAsia"/>
                <w:color w:val="auto"/>
                <w:highlight w:val="none"/>
                <w:lang w:val="en-US" w:eastAsia="zh-CN"/>
              </w:rPr>
            </w:pPr>
            <w:r>
              <w:rPr>
                <w:rFonts w:hint="eastAsia"/>
                <w:color w:val="auto"/>
                <w:highlight w:val="none"/>
                <w:lang w:val="en-US" w:eastAsia="zh-CN"/>
              </w:rPr>
              <w:t>硫酸雾执行《大气污染物综合排放标准》（GB16297-1996）表2污染物排放限值。</w:t>
            </w:r>
          </w:p>
          <w:p w14:paraId="49035BBC">
            <w:pPr>
              <w:pStyle w:val="25"/>
              <w:bidi w:val="0"/>
              <w:rPr>
                <w:color w:val="auto"/>
                <w:highlight w:val="none"/>
              </w:rPr>
            </w:pPr>
            <w:r>
              <w:rPr>
                <w:color w:val="auto"/>
                <w:highlight w:val="none"/>
              </w:rPr>
              <w:t>废气污染物排放执行标准表</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1"/>
              <w:gridCol w:w="855"/>
              <w:gridCol w:w="2995"/>
              <w:gridCol w:w="3602"/>
            </w:tblGrid>
            <w:tr w14:paraId="16FC7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vAlign w:val="center"/>
                </w:tcPr>
                <w:p w14:paraId="2D06EEBA">
                  <w:pPr>
                    <w:pStyle w:val="27"/>
                    <w:spacing w:line="240" w:lineRule="auto"/>
                    <w:rPr>
                      <w:rFonts w:hint="default"/>
                      <w:color w:val="auto"/>
                      <w:highlight w:val="none"/>
                    </w:rPr>
                  </w:pPr>
                  <w:r>
                    <w:rPr>
                      <w:rFonts w:hint="default" w:eastAsia="宋体"/>
                      <w:b/>
                      <w:color w:val="auto"/>
                      <w:sz w:val="21"/>
                      <w:highlight w:val="none"/>
                    </w:rPr>
                    <w:t>污染源</w:t>
                  </w:r>
                </w:p>
              </w:tc>
              <w:tc>
                <w:tcPr>
                  <w:tcW w:w="855" w:type="dxa"/>
                  <w:shd w:val="clear" w:color="auto" w:fill="auto"/>
                  <w:vAlign w:val="center"/>
                </w:tcPr>
                <w:p w14:paraId="0150F5D7">
                  <w:pPr>
                    <w:pStyle w:val="27"/>
                    <w:spacing w:line="240" w:lineRule="auto"/>
                    <w:rPr>
                      <w:rFonts w:hint="default"/>
                      <w:color w:val="auto"/>
                      <w:highlight w:val="none"/>
                    </w:rPr>
                  </w:pPr>
                  <w:r>
                    <w:rPr>
                      <w:rFonts w:hint="default" w:eastAsia="宋体"/>
                      <w:b/>
                      <w:color w:val="auto"/>
                      <w:sz w:val="21"/>
                      <w:highlight w:val="none"/>
                    </w:rPr>
                    <w:t>污染物</w:t>
                  </w:r>
                </w:p>
              </w:tc>
              <w:tc>
                <w:tcPr>
                  <w:tcW w:w="2995" w:type="dxa"/>
                  <w:vAlign w:val="center"/>
                </w:tcPr>
                <w:p w14:paraId="3CD8D8AB">
                  <w:pPr>
                    <w:pStyle w:val="27"/>
                    <w:spacing w:line="240" w:lineRule="auto"/>
                    <w:rPr>
                      <w:rFonts w:hint="default"/>
                      <w:color w:val="auto"/>
                      <w:highlight w:val="none"/>
                    </w:rPr>
                  </w:pPr>
                  <w:r>
                    <w:rPr>
                      <w:rFonts w:hint="default" w:eastAsia="宋体"/>
                      <w:b/>
                      <w:color w:val="auto"/>
                      <w:sz w:val="21"/>
                      <w:highlight w:val="none"/>
                    </w:rPr>
                    <w:t>无组织排放监控浓度限值</w:t>
                  </w:r>
                  <w:r>
                    <w:rPr>
                      <w:rFonts w:hint="default"/>
                      <w:color w:val="auto"/>
                      <w:highlight w:val="none"/>
                    </w:rPr>
                    <w:t>（mg/m</w:t>
                  </w:r>
                  <w:r>
                    <w:rPr>
                      <w:rFonts w:hint="default"/>
                      <w:color w:val="auto"/>
                      <w:highlight w:val="none"/>
                      <w:vertAlign w:val="superscript"/>
                    </w:rPr>
                    <w:t>3</w:t>
                  </w:r>
                  <w:r>
                    <w:rPr>
                      <w:rFonts w:hint="default"/>
                      <w:color w:val="auto"/>
                      <w:highlight w:val="none"/>
                    </w:rPr>
                    <w:t>）</w:t>
                  </w:r>
                </w:p>
              </w:tc>
              <w:tc>
                <w:tcPr>
                  <w:tcW w:w="3602" w:type="dxa"/>
                  <w:vAlign w:val="center"/>
                </w:tcPr>
                <w:p w14:paraId="62C1C4CF">
                  <w:pPr>
                    <w:pStyle w:val="27"/>
                    <w:spacing w:line="240" w:lineRule="auto"/>
                    <w:rPr>
                      <w:rFonts w:hint="default"/>
                      <w:color w:val="auto"/>
                      <w:highlight w:val="none"/>
                    </w:rPr>
                  </w:pPr>
                  <w:r>
                    <w:rPr>
                      <w:rFonts w:hint="default" w:eastAsia="宋体"/>
                      <w:b/>
                      <w:color w:val="auto"/>
                      <w:sz w:val="21"/>
                      <w:highlight w:val="none"/>
                    </w:rPr>
                    <w:t>执行标准</w:t>
                  </w:r>
                </w:p>
              </w:tc>
            </w:tr>
            <w:tr w14:paraId="32AFF1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vMerge w:val="restart"/>
                  <w:vAlign w:val="center"/>
                </w:tcPr>
                <w:p w14:paraId="0886C7A5">
                  <w:pPr>
                    <w:pStyle w:val="24"/>
                    <w:spacing w:line="240" w:lineRule="auto"/>
                    <w:rPr>
                      <w:color w:val="auto"/>
                      <w:highlight w:val="none"/>
                    </w:rPr>
                  </w:pPr>
                  <w:r>
                    <w:rPr>
                      <w:rFonts w:hint="eastAsia"/>
                      <w:color w:val="auto"/>
                      <w:highlight w:val="none"/>
                    </w:rPr>
                    <w:t>危险废物贮存废气</w:t>
                  </w:r>
                </w:p>
              </w:tc>
              <w:tc>
                <w:tcPr>
                  <w:tcW w:w="855" w:type="dxa"/>
                  <w:vMerge w:val="restart"/>
                  <w:shd w:val="clear" w:color="auto" w:fill="auto"/>
                  <w:vAlign w:val="center"/>
                </w:tcPr>
                <w:p w14:paraId="4709FC7B">
                  <w:pPr>
                    <w:pStyle w:val="24"/>
                    <w:spacing w:line="240" w:lineRule="auto"/>
                    <w:rPr>
                      <w:color w:val="auto"/>
                      <w:highlight w:val="none"/>
                    </w:rPr>
                  </w:pPr>
                  <w:r>
                    <w:rPr>
                      <w:rFonts w:hint="eastAsia"/>
                      <w:color w:val="auto"/>
                      <w:highlight w:val="none"/>
                    </w:rPr>
                    <w:t>非甲烷总烃</w:t>
                  </w:r>
                </w:p>
              </w:tc>
              <w:tc>
                <w:tcPr>
                  <w:tcW w:w="2995" w:type="dxa"/>
                  <w:vAlign w:val="center"/>
                </w:tcPr>
                <w:p w14:paraId="3800DFF5">
                  <w:pPr>
                    <w:pStyle w:val="24"/>
                    <w:spacing w:line="240" w:lineRule="auto"/>
                    <w:rPr>
                      <w:color w:val="auto"/>
                      <w:highlight w:val="none"/>
                    </w:rPr>
                  </w:pPr>
                  <w:r>
                    <w:rPr>
                      <w:rFonts w:hint="eastAsia"/>
                      <w:color w:val="auto"/>
                      <w:highlight w:val="none"/>
                    </w:rPr>
                    <w:t>4.0</w:t>
                  </w:r>
                  <w:r>
                    <w:rPr>
                      <w:rFonts w:hint="default"/>
                      <w:color w:val="auto"/>
                      <w:highlight w:val="none"/>
                    </w:rPr>
                    <w:t>mg/m</w:t>
                  </w:r>
                  <w:r>
                    <w:rPr>
                      <w:rFonts w:hint="default"/>
                      <w:color w:val="auto"/>
                      <w:highlight w:val="none"/>
                      <w:vertAlign w:val="superscript"/>
                    </w:rPr>
                    <w:t>3</w:t>
                  </w:r>
                </w:p>
              </w:tc>
              <w:tc>
                <w:tcPr>
                  <w:tcW w:w="3602" w:type="dxa"/>
                  <w:vAlign w:val="center"/>
                </w:tcPr>
                <w:p w14:paraId="326D254D">
                  <w:pPr>
                    <w:pStyle w:val="24"/>
                    <w:spacing w:line="240" w:lineRule="auto"/>
                    <w:rPr>
                      <w:color w:val="auto"/>
                      <w:highlight w:val="none"/>
                    </w:rPr>
                  </w:pPr>
                  <w:r>
                    <w:rPr>
                      <w:rFonts w:hint="eastAsia"/>
                      <w:color w:val="auto"/>
                      <w:highlight w:val="none"/>
                    </w:rPr>
                    <w:t>《大气污染物综合排放标准》（GB16297-1996）</w:t>
                  </w:r>
                </w:p>
              </w:tc>
            </w:tr>
            <w:tr w14:paraId="5F860B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vMerge w:val="continue"/>
                  <w:vAlign w:val="center"/>
                </w:tcPr>
                <w:p w14:paraId="60280CF2">
                  <w:pPr>
                    <w:pStyle w:val="24"/>
                    <w:spacing w:line="240" w:lineRule="auto"/>
                    <w:rPr>
                      <w:rFonts w:hint="eastAsia"/>
                      <w:color w:val="auto"/>
                      <w:highlight w:val="none"/>
                    </w:rPr>
                  </w:pPr>
                </w:p>
              </w:tc>
              <w:tc>
                <w:tcPr>
                  <w:tcW w:w="855" w:type="dxa"/>
                  <w:vMerge w:val="continue"/>
                  <w:shd w:val="clear" w:color="auto" w:fill="auto"/>
                  <w:vAlign w:val="center"/>
                </w:tcPr>
                <w:p w14:paraId="048EF001">
                  <w:pPr>
                    <w:pStyle w:val="24"/>
                    <w:spacing w:line="240" w:lineRule="auto"/>
                    <w:rPr>
                      <w:rFonts w:hint="eastAsia"/>
                      <w:color w:val="auto"/>
                      <w:highlight w:val="none"/>
                    </w:rPr>
                  </w:pPr>
                </w:p>
              </w:tc>
              <w:tc>
                <w:tcPr>
                  <w:tcW w:w="2995" w:type="dxa"/>
                  <w:vAlign w:val="center"/>
                </w:tcPr>
                <w:p w14:paraId="2621BCF8">
                  <w:pPr>
                    <w:pStyle w:val="24"/>
                    <w:spacing w:line="240" w:lineRule="auto"/>
                    <w:rPr>
                      <w:rFonts w:hint="eastAsia"/>
                      <w:color w:val="auto"/>
                      <w:highlight w:val="none"/>
                    </w:rPr>
                  </w:pPr>
                  <w:r>
                    <w:rPr>
                      <w:rFonts w:hint="eastAsia"/>
                      <w:color w:val="auto"/>
                      <w:highlight w:val="none"/>
                      <w:lang w:val="en-US" w:eastAsia="zh-CN"/>
                    </w:rPr>
                    <w:t>6.0mg/m</w:t>
                  </w:r>
                  <w:r>
                    <w:rPr>
                      <w:rFonts w:hint="eastAsia"/>
                      <w:color w:val="auto"/>
                      <w:highlight w:val="none"/>
                      <w:vertAlign w:val="superscript"/>
                      <w:lang w:val="en-US" w:eastAsia="zh-CN"/>
                    </w:rPr>
                    <w:t>3</w:t>
                  </w:r>
                  <w:r>
                    <w:rPr>
                      <w:rFonts w:hint="eastAsia"/>
                      <w:color w:val="auto"/>
                      <w:highlight w:val="none"/>
                      <w:lang w:val="en-US" w:eastAsia="zh-CN"/>
                    </w:rPr>
                    <w:t>，监控点处1h平均浓度值；20mg/m</w:t>
                  </w:r>
                  <w:r>
                    <w:rPr>
                      <w:rFonts w:hint="eastAsia"/>
                      <w:color w:val="auto"/>
                      <w:highlight w:val="none"/>
                      <w:vertAlign w:val="superscript"/>
                      <w:lang w:val="en-US" w:eastAsia="zh-CN"/>
                    </w:rPr>
                    <w:t>3</w:t>
                  </w:r>
                  <w:r>
                    <w:rPr>
                      <w:rFonts w:hint="eastAsia"/>
                      <w:color w:val="auto"/>
                      <w:highlight w:val="none"/>
                      <w:lang w:val="en-US" w:eastAsia="zh-CN"/>
                    </w:rPr>
                    <w:t>，监控点处任意一次浓度值</w:t>
                  </w:r>
                </w:p>
              </w:tc>
              <w:tc>
                <w:tcPr>
                  <w:tcW w:w="3602" w:type="dxa"/>
                  <w:vAlign w:val="center"/>
                </w:tcPr>
                <w:p w14:paraId="69CA1CB8">
                  <w:pPr>
                    <w:pStyle w:val="24"/>
                    <w:spacing w:line="240" w:lineRule="auto"/>
                    <w:rPr>
                      <w:rFonts w:hint="eastAsia"/>
                      <w:color w:val="auto"/>
                      <w:highlight w:val="none"/>
                    </w:rPr>
                  </w:pPr>
                  <w:r>
                    <w:rPr>
                      <w:rFonts w:hint="eastAsia"/>
                      <w:color w:val="auto"/>
                      <w:highlight w:val="none"/>
                    </w:rPr>
                    <w:t>《挥发性有机物无组织排放控制标准》（GB 37822-2019）厂房外监控点</w:t>
                  </w:r>
                </w:p>
              </w:tc>
            </w:tr>
            <w:tr w14:paraId="0BFA6A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dxa"/>
                  <w:vMerge w:val="continue"/>
                  <w:vAlign w:val="center"/>
                </w:tcPr>
                <w:p w14:paraId="20DEB66C">
                  <w:pPr>
                    <w:pStyle w:val="24"/>
                    <w:spacing w:line="240" w:lineRule="auto"/>
                    <w:rPr>
                      <w:rFonts w:hint="eastAsia"/>
                      <w:color w:val="auto"/>
                      <w:highlight w:val="none"/>
                    </w:rPr>
                  </w:pPr>
                </w:p>
              </w:tc>
              <w:tc>
                <w:tcPr>
                  <w:tcW w:w="855" w:type="dxa"/>
                  <w:shd w:val="clear" w:color="auto" w:fill="auto"/>
                  <w:vAlign w:val="center"/>
                </w:tcPr>
                <w:p w14:paraId="55259452">
                  <w:pPr>
                    <w:pStyle w:val="24"/>
                    <w:spacing w:line="240" w:lineRule="auto"/>
                    <w:ind w:firstLine="0" w:firstLineChars="0"/>
                    <w:rPr>
                      <w:rFonts w:hint="eastAsia"/>
                      <w:color w:val="auto"/>
                      <w:highlight w:val="none"/>
                    </w:rPr>
                  </w:pPr>
                  <w:r>
                    <w:rPr>
                      <w:rFonts w:hint="eastAsia"/>
                      <w:color w:val="auto"/>
                      <w:highlight w:val="none"/>
                      <w:lang w:eastAsia="zh-CN"/>
                    </w:rPr>
                    <w:t>硫酸雾</w:t>
                  </w:r>
                </w:p>
              </w:tc>
              <w:tc>
                <w:tcPr>
                  <w:tcW w:w="2995" w:type="dxa"/>
                  <w:vAlign w:val="center"/>
                </w:tcPr>
                <w:p w14:paraId="30BCD57C">
                  <w:pPr>
                    <w:pStyle w:val="24"/>
                    <w:spacing w:line="240" w:lineRule="auto"/>
                    <w:ind w:firstLine="0" w:firstLineChars="0"/>
                    <w:rPr>
                      <w:rFonts w:hint="eastAsia"/>
                      <w:color w:val="auto"/>
                      <w:highlight w:val="none"/>
                      <w:lang w:val="en-US" w:eastAsia="zh-CN"/>
                    </w:rPr>
                  </w:pPr>
                  <w:r>
                    <w:rPr>
                      <w:rFonts w:hint="eastAsia"/>
                      <w:color w:val="auto"/>
                      <w:highlight w:val="none"/>
                    </w:rPr>
                    <w:t>1.2</w:t>
                  </w:r>
                  <w:r>
                    <w:rPr>
                      <w:rFonts w:hint="default"/>
                      <w:color w:val="auto"/>
                      <w:highlight w:val="none"/>
                    </w:rPr>
                    <w:t>mg/m</w:t>
                  </w:r>
                  <w:r>
                    <w:rPr>
                      <w:rFonts w:hint="default"/>
                      <w:color w:val="auto"/>
                      <w:highlight w:val="none"/>
                      <w:vertAlign w:val="superscript"/>
                    </w:rPr>
                    <w:t>3</w:t>
                  </w:r>
                </w:p>
              </w:tc>
              <w:tc>
                <w:tcPr>
                  <w:tcW w:w="3602" w:type="dxa"/>
                  <w:vAlign w:val="center"/>
                </w:tcPr>
                <w:p w14:paraId="0FC8268F">
                  <w:pPr>
                    <w:pStyle w:val="24"/>
                    <w:spacing w:line="240" w:lineRule="auto"/>
                    <w:ind w:firstLine="0" w:firstLineChars="0"/>
                    <w:rPr>
                      <w:rFonts w:hint="eastAsia"/>
                      <w:color w:val="auto"/>
                      <w:highlight w:val="none"/>
                    </w:rPr>
                  </w:pPr>
                  <w:r>
                    <w:rPr>
                      <w:rFonts w:hint="eastAsia"/>
                      <w:color w:val="auto"/>
                      <w:highlight w:val="none"/>
                    </w:rPr>
                    <w:t>《大气污染物综合排放标准》（GB16297-1996）</w:t>
                  </w:r>
                </w:p>
              </w:tc>
            </w:tr>
          </w:tbl>
          <w:p w14:paraId="58EB51E1">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（2）</w:t>
            </w:r>
            <w:r>
              <w:rPr>
                <w:rFonts w:ascii="Times New Roman" w:hAnsi="Times New Roman" w:eastAsia="Times New Roman" w:cs="Times New Roman"/>
                <w:b/>
                <w:bCs/>
                <w:color w:val="auto"/>
                <w:sz w:val="24"/>
                <w:szCs w:val="24"/>
                <w:highlight w:val="none"/>
              </w:rPr>
              <w:t>噪声</w:t>
            </w:r>
          </w:p>
          <w:p w14:paraId="2307EA3F">
            <w:pPr>
              <w:bidi w:val="0"/>
              <w:rPr>
                <w:color w:val="auto"/>
                <w:highlight w:val="none"/>
              </w:rPr>
            </w:pPr>
            <w:r>
              <w:rPr>
                <w:rFonts w:hint="eastAsia"/>
                <w:color w:val="auto"/>
                <w:highlight w:val="none"/>
              </w:rPr>
              <w:t>根据</w:t>
            </w:r>
            <w:r>
              <w:rPr>
                <w:rFonts w:hint="eastAsia"/>
                <w:color w:val="auto"/>
                <w:highlight w:val="none"/>
                <w:lang w:eastAsia="zh-CN"/>
              </w:rPr>
              <w:t>公司已有环评</w:t>
            </w:r>
            <w:r>
              <w:rPr>
                <w:rFonts w:hint="eastAsia"/>
                <w:color w:val="auto"/>
                <w:highlight w:val="none"/>
                <w:lang w:val="en-US" w:eastAsia="zh-CN"/>
              </w:rPr>
              <w:t>及其批复，</w:t>
            </w:r>
            <w:r>
              <w:rPr>
                <w:rFonts w:ascii="Times New Roman" w:hAnsi="Times New Roman" w:eastAsia="Times New Roman" w:cs="Times New Roman"/>
                <w:color w:val="auto"/>
                <w:sz w:val="24"/>
                <w:szCs w:val="24"/>
                <w:highlight w:val="none"/>
              </w:rPr>
              <w:t>厂界噪声排放执行</w:t>
            </w:r>
            <w:r>
              <w:rPr>
                <w:rFonts w:hint="eastAsia" w:ascii="Times New Roman" w:hAnsi="Times New Roman" w:eastAsia="Times New Roman" w:cs="Times New Roman"/>
                <w:color w:val="auto"/>
                <w:sz w:val="24"/>
                <w:szCs w:val="24"/>
                <w:highlight w:val="none"/>
              </w:rPr>
              <w:t>《工业企业厂界环境噪声排放标准》（GB12348-2008</w:t>
            </w:r>
            <w:r>
              <w:rPr>
                <w:rFonts w:hint="eastAsia"/>
                <w:color w:val="auto"/>
                <w:highlight w:val="none"/>
              </w:rPr>
              <w:t>）中</w:t>
            </w:r>
            <w:r>
              <w:rPr>
                <w:rFonts w:hint="eastAsia"/>
                <w:color w:val="auto"/>
                <w:highlight w:val="none"/>
                <w:lang w:val="en-US" w:eastAsia="zh-CN"/>
              </w:rPr>
              <w:t>2</w:t>
            </w:r>
            <w:r>
              <w:rPr>
                <w:rFonts w:hint="eastAsia"/>
                <w:color w:val="auto"/>
                <w:highlight w:val="none"/>
              </w:rPr>
              <w:t>类标准</w:t>
            </w:r>
            <w:r>
              <w:rPr>
                <w:rFonts w:hint="eastAsia"/>
                <w:color w:val="auto"/>
                <w:highlight w:val="none"/>
                <w:lang w:eastAsia="zh-CN"/>
              </w:rPr>
              <w:t>，</w:t>
            </w:r>
            <w:r>
              <w:rPr>
                <w:rFonts w:hint="eastAsia"/>
                <w:color w:val="auto"/>
                <w:highlight w:val="none"/>
                <w:lang w:val="en-US" w:eastAsia="zh-CN"/>
              </w:rPr>
              <w:t>即</w:t>
            </w:r>
            <w:r>
              <w:rPr>
                <w:rFonts w:hint="eastAsia"/>
                <w:color w:val="auto"/>
                <w:highlight w:val="none"/>
              </w:rPr>
              <w:t>昼间</w:t>
            </w:r>
            <w:r>
              <w:rPr>
                <w:rFonts w:hint="eastAsia"/>
                <w:color w:val="auto"/>
                <w:highlight w:val="none"/>
                <w:lang w:val="en-US" w:eastAsia="zh-CN"/>
              </w:rPr>
              <w:t>60</w:t>
            </w:r>
            <w:r>
              <w:rPr>
                <w:rFonts w:hint="eastAsia"/>
                <w:color w:val="auto"/>
                <w:highlight w:val="none"/>
              </w:rPr>
              <w:t>dB(A)、夜间</w:t>
            </w:r>
            <w:r>
              <w:rPr>
                <w:rFonts w:hint="eastAsia"/>
                <w:color w:val="auto"/>
                <w:highlight w:val="none"/>
                <w:lang w:val="en-US" w:eastAsia="zh-CN"/>
              </w:rPr>
              <w:t>50</w:t>
            </w:r>
            <w:r>
              <w:rPr>
                <w:rFonts w:hint="eastAsia"/>
                <w:color w:val="auto"/>
                <w:highlight w:val="none"/>
              </w:rPr>
              <w:t>dB(A)</w:t>
            </w:r>
            <w:r>
              <w:rPr>
                <w:color w:val="auto"/>
                <w:highlight w:val="none"/>
              </w:rPr>
              <w:t>。</w:t>
            </w:r>
          </w:p>
          <w:p w14:paraId="1C60A26A">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宋体" w:cs="Times New Roman"/>
                <w:b/>
                <w:bCs/>
                <w:color w:val="auto"/>
                <w:sz w:val="24"/>
                <w:szCs w:val="24"/>
                <w:highlight w:val="none"/>
                <w:lang w:eastAsia="zh-CN"/>
              </w:rPr>
            </w:pPr>
            <w:r>
              <w:rPr>
                <w:rFonts w:hint="eastAsia" w:ascii="Times New Roman" w:hAnsi="Times New Roman" w:eastAsia="Times New Roman" w:cs="Times New Roman"/>
                <w:b/>
                <w:bCs/>
                <w:color w:val="auto"/>
                <w:sz w:val="24"/>
                <w:szCs w:val="24"/>
                <w:highlight w:val="none"/>
              </w:rPr>
              <w:t>（3）</w:t>
            </w:r>
            <w:r>
              <w:rPr>
                <w:rFonts w:hint="eastAsia" w:eastAsia="宋体" w:cs="Times New Roman"/>
                <w:b/>
                <w:bCs/>
                <w:color w:val="auto"/>
                <w:sz w:val="24"/>
                <w:szCs w:val="24"/>
                <w:highlight w:val="none"/>
                <w:lang w:eastAsia="zh-CN"/>
              </w:rPr>
              <w:t>固体废物</w:t>
            </w:r>
          </w:p>
          <w:p w14:paraId="65229D43">
            <w:pPr>
              <w:bidi w:val="0"/>
              <w:rPr>
                <w:rFonts w:hint="default" w:eastAsia="宋体"/>
                <w:color w:val="auto"/>
                <w:highlight w:val="none"/>
                <w:lang w:val="en-US" w:eastAsia="zh-CN"/>
              </w:rPr>
            </w:pPr>
            <w:r>
              <w:rPr>
                <w:rFonts w:hint="eastAsia"/>
                <w:color w:val="auto"/>
                <w:highlight w:val="none"/>
              </w:rPr>
              <w:t>危险废物贮存执行《危险废物贮存污染控制标准》（GB18597-2023）。</w:t>
            </w:r>
          </w:p>
          <w:p w14:paraId="6C591145">
            <w:pPr>
              <w:bidi w:val="0"/>
              <w:rPr>
                <w:rFonts w:hint="eastAsia"/>
                <w:color w:val="auto"/>
                <w:highlight w:val="none"/>
              </w:rPr>
            </w:pPr>
          </w:p>
          <w:p w14:paraId="61D0A03C">
            <w:pPr>
              <w:pStyle w:val="9"/>
              <w:ind w:left="0" w:leftChars="0" w:firstLine="0" w:firstLineChars="0"/>
              <w:rPr>
                <w:rFonts w:hint="eastAsia"/>
                <w:color w:val="auto"/>
                <w:highlight w:val="none"/>
              </w:rPr>
            </w:pPr>
          </w:p>
        </w:tc>
      </w:tr>
      <w:tr w14:paraId="2304B4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38" w:hRule="atLeast"/>
          <w:jc w:val="center"/>
        </w:trPr>
        <w:tc>
          <w:tcPr>
            <w:tcW w:w="457" w:type="dxa"/>
            <w:vAlign w:val="center"/>
          </w:tcPr>
          <w:p w14:paraId="7DEEDA94">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总量</w:t>
            </w:r>
          </w:p>
          <w:p w14:paraId="540BF834">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控制</w:t>
            </w:r>
          </w:p>
          <w:p w14:paraId="122F1819">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指标</w:t>
            </w:r>
          </w:p>
        </w:tc>
        <w:tc>
          <w:tcPr>
            <w:tcW w:w="8387" w:type="dxa"/>
            <w:vAlign w:val="center"/>
          </w:tcPr>
          <w:p w14:paraId="4F9E0DB6">
            <w:pPr>
              <w:ind w:left="0" w:leftChars="0" w:firstLine="0" w:firstLineChars="0"/>
              <w:rPr>
                <w:rFonts w:hint="eastAsia" w:ascii="Times New Roman" w:hAnsi="Times New Roman" w:eastAsia="Times New Roman" w:cs="Times New Roman"/>
                <w:color w:val="auto"/>
                <w:sz w:val="24"/>
                <w:szCs w:val="24"/>
                <w:highlight w:val="none"/>
              </w:rPr>
            </w:pPr>
          </w:p>
          <w:p w14:paraId="532DEE37">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根据《辽宁省“十四五”生态环境保护规划》、《朝阳市“十四五”生态环境保护规划》，“十四五”期间污染物总量控制指标为四项，大气污染物：氮氧化物、挥发性有机物，水污染物：化学需氧量、氨氮。</w:t>
            </w:r>
          </w:p>
          <w:p w14:paraId="2DEC3CFD">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结合本项目的具体情况，本项目总量控制指标为：</w:t>
            </w:r>
          </w:p>
          <w:p w14:paraId="1E37D327">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废气：氮氧化物总量指标为0t/a，VOCs总量指标为</w:t>
            </w:r>
            <w:r>
              <w:rPr>
                <w:rFonts w:hint="eastAsia" w:eastAsia="宋体" w:cs="Times New Roman"/>
                <w:color w:val="auto"/>
                <w:sz w:val="24"/>
                <w:szCs w:val="24"/>
                <w:highlight w:val="none"/>
                <w:lang w:val="en-US" w:eastAsia="zh-CN"/>
              </w:rPr>
              <w:t>0.0016</w:t>
            </w:r>
            <w:r>
              <w:rPr>
                <w:rFonts w:hint="eastAsia" w:ascii="Times New Roman" w:hAnsi="Times New Roman" w:eastAsia="Times New Roman" w:cs="Times New Roman"/>
                <w:color w:val="auto"/>
                <w:sz w:val="24"/>
                <w:szCs w:val="24"/>
                <w:highlight w:val="none"/>
              </w:rPr>
              <w:t>t/a。</w:t>
            </w:r>
          </w:p>
          <w:p w14:paraId="10897BC1">
            <w:pPr>
              <w:bidi w:val="0"/>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废水总量指标为：COD：0t/a，氨氮：0t/a。</w:t>
            </w:r>
          </w:p>
          <w:p w14:paraId="2735E8FB">
            <w:pPr>
              <w:bidi w:val="0"/>
              <w:ind w:left="0" w:leftChars="0" w:firstLine="0" w:firstLineChars="0"/>
              <w:rPr>
                <w:rFonts w:hint="eastAsia" w:ascii="Times New Roman" w:hAnsi="Times New Roman" w:eastAsia="Times New Roman" w:cs="Times New Roman"/>
                <w:color w:val="auto"/>
                <w:sz w:val="24"/>
                <w:szCs w:val="24"/>
                <w:highlight w:val="none"/>
              </w:rPr>
            </w:pPr>
          </w:p>
          <w:p w14:paraId="002EADB3">
            <w:pPr>
              <w:bidi w:val="0"/>
              <w:ind w:left="0" w:leftChars="0" w:firstLine="0" w:firstLineChars="0"/>
              <w:rPr>
                <w:rFonts w:hint="eastAsia" w:ascii="Times New Roman" w:hAnsi="Times New Roman" w:eastAsia="Times New Roman" w:cs="Times New Roman"/>
                <w:color w:val="auto"/>
                <w:sz w:val="24"/>
                <w:szCs w:val="24"/>
                <w:highlight w:val="none"/>
              </w:rPr>
            </w:pPr>
          </w:p>
        </w:tc>
      </w:tr>
    </w:tbl>
    <w:p w14:paraId="39E09615">
      <w:pPr>
        <w:keepNext w:val="0"/>
        <w:keepLines w:val="0"/>
        <w:pageBreakBefore w:val="0"/>
        <w:kinsoku/>
        <w:wordWrap/>
        <w:overflowPunct/>
        <w:autoSpaceDE/>
        <w:autoSpaceDN/>
        <w:bidi w:val="0"/>
        <w:spacing w:line="240" w:lineRule="auto"/>
        <w:ind w:firstLine="0" w:firstLineChars="0"/>
        <w:jc w:val="center"/>
        <w:outlineLvl w:val="0"/>
        <w:rPr>
          <w:rFonts w:hint="eastAsia" w:ascii="宋体" w:hAnsi="宋体" w:eastAsia="宋体" w:cs="宋体"/>
          <w:b/>
          <w:bCs/>
          <w:snapToGrid w:val="0"/>
          <w:color w:val="auto"/>
          <w:sz w:val="30"/>
          <w:szCs w:val="30"/>
          <w:highlight w:val="none"/>
        </w:rPr>
      </w:pPr>
      <w:r>
        <w:rPr>
          <w:rFonts w:ascii="黑体" w:hAnsi="黑体" w:eastAsia="黑体"/>
          <w:snapToGrid w:val="0"/>
          <w:color w:val="auto"/>
          <w:sz w:val="36"/>
          <w:szCs w:val="36"/>
          <w:highlight w:val="none"/>
        </w:rPr>
        <w:br w:type="page"/>
      </w:r>
      <w:r>
        <w:rPr>
          <w:rFonts w:hint="eastAsia" w:ascii="宋体" w:hAnsi="宋体" w:eastAsia="宋体" w:cs="宋体"/>
          <w:b/>
          <w:bCs/>
          <w:snapToGrid w:val="0"/>
          <w:color w:val="auto"/>
          <w:sz w:val="30"/>
          <w:szCs w:val="30"/>
          <w:highlight w:val="none"/>
        </w:rPr>
        <w:t>四、主要环境影响和保护措施</w:t>
      </w:r>
    </w:p>
    <w:tbl>
      <w:tblPr>
        <w:tblStyle w:val="16"/>
        <w:tblW w:w="88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38"/>
        <w:gridCol w:w="8506"/>
      </w:tblGrid>
      <w:tr w14:paraId="51B3A9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45" w:hRule="atLeast"/>
          <w:jc w:val="center"/>
        </w:trPr>
        <w:tc>
          <w:tcPr>
            <w:tcW w:w="338" w:type="dxa"/>
            <w:tcMar>
              <w:left w:w="28" w:type="dxa"/>
              <w:right w:w="28" w:type="dxa"/>
            </w:tcMar>
            <w:vAlign w:val="center"/>
          </w:tcPr>
          <w:p w14:paraId="77EA71DA">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施工</w:t>
            </w:r>
          </w:p>
          <w:p w14:paraId="781EAA4F">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期环</w:t>
            </w:r>
          </w:p>
          <w:p w14:paraId="4B788B1D">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境保</w:t>
            </w:r>
          </w:p>
          <w:p w14:paraId="6A7DBF75">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护措</w:t>
            </w:r>
          </w:p>
          <w:p w14:paraId="7526E93B">
            <w:pPr>
              <w:keepNext w:val="0"/>
              <w:keepLines w:val="0"/>
              <w:pageBreakBefore w:val="0"/>
              <w:kinsoku/>
              <w:wordWrap/>
              <w:overflowPunct/>
              <w:autoSpaceDE/>
              <w:autoSpaceDN/>
              <w:bidi w:val="0"/>
              <w:adjustRightInd w:val="0"/>
              <w:snapToGrid w:val="0"/>
              <w:spacing w:line="240" w:lineRule="auto"/>
              <w:ind w:firstLine="0" w:firstLineChars="0"/>
              <w:jc w:val="both"/>
              <w:rPr>
                <w:rFonts w:cs="宋体"/>
                <w:bCs/>
                <w:color w:val="auto"/>
                <w:sz w:val="21"/>
                <w:szCs w:val="21"/>
                <w:highlight w:val="none"/>
              </w:rPr>
            </w:pPr>
            <w:r>
              <w:rPr>
                <w:rFonts w:hint="eastAsia" w:ascii="宋体" w:hAnsi="宋体" w:cs="宋体"/>
                <w:b/>
                <w:bCs/>
                <w:color w:val="auto"/>
                <w:kern w:val="0"/>
                <w:szCs w:val="21"/>
                <w:highlight w:val="none"/>
              </w:rPr>
              <w:t>施</w:t>
            </w:r>
          </w:p>
        </w:tc>
        <w:tc>
          <w:tcPr>
            <w:tcW w:w="8506" w:type="dxa"/>
            <w:vAlign w:val="center"/>
          </w:tcPr>
          <w:p w14:paraId="70CE74B1">
            <w:pPr>
              <w:bidi w:val="0"/>
              <w:rPr>
                <w:rFonts w:hint="default"/>
                <w:b/>
                <w:bCs/>
                <w:color w:val="auto"/>
                <w:highlight w:val="none"/>
              </w:rPr>
            </w:pPr>
            <w:r>
              <w:rPr>
                <w:b/>
                <w:bCs/>
                <w:color w:val="auto"/>
                <w:highlight w:val="none"/>
              </w:rPr>
              <w:t>1废气</w:t>
            </w:r>
          </w:p>
          <w:p w14:paraId="3B5F98AC">
            <w:pPr>
              <w:bidi w:val="0"/>
              <w:rPr>
                <w:color w:val="auto"/>
                <w:highlight w:val="none"/>
              </w:rPr>
            </w:pPr>
            <w:r>
              <w:rPr>
                <w:rFonts w:hint="eastAsia"/>
                <w:color w:val="auto"/>
                <w:highlight w:val="none"/>
              </w:rPr>
              <w:t>施工期对地面进行平整施工，存在少量扬尘</w:t>
            </w:r>
            <w:r>
              <w:rPr>
                <w:rFonts w:hint="eastAsia"/>
                <w:color w:val="auto"/>
                <w:highlight w:val="none"/>
                <w:lang w:eastAsia="zh-CN"/>
              </w:rPr>
              <w:t>和运输尾气</w:t>
            </w:r>
            <w:r>
              <w:rPr>
                <w:rFonts w:hint="eastAsia"/>
                <w:color w:val="auto"/>
                <w:highlight w:val="none"/>
              </w:rPr>
              <w:t>，环境保护措施如下：</w:t>
            </w:r>
          </w:p>
          <w:p w14:paraId="4A9E170D">
            <w:pPr>
              <w:bidi w:val="0"/>
              <w:rPr>
                <w:color w:val="auto"/>
                <w:highlight w:val="none"/>
              </w:rPr>
            </w:pPr>
            <w:r>
              <w:rPr>
                <w:rFonts w:hint="eastAsia"/>
                <w:color w:val="auto"/>
                <w:highlight w:val="none"/>
              </w:rPr>
              <w:t>（1）易产生扬尘的地面挖掘等施工时，采取洒水等抑尘措施；</w:t>
            </w:r>
          </w:p>
          <w:p w14:paraId="2DE731C1">
            <w:pPr>
              <w:bidi w:val="0"/>
              <w:rPr>
                <w:rFonts w:hint="eastAsia"/>
                <w:color w:val="auto"/>
                <w:highlight w:val="none"/>
              </w:rPr>
            </w:pPr>
            <w:r>
              <w:rPr>
                <w:rFonts w:hint="eastAsia"/>
                <w:color w:val="auto"/>
                <w:highlight w:val="none"/>
              </w:rPr>
              <w:t>（</w:t>
            </w:r>
            <w:r>
              <w:rPr>
                <w:rFonts w:hint="eastAsia"/>
                <w:color w:val="auto"/>
                <w:highlight w:val="none"/>
                <w:lang w:val="en-US" w:eastAsia="zh-CN"/>
              </w:rPr>
              <w:t>2</w:t>
            </w:r>
            <w:r>
              <w:rPr>
                <w:rFonts w:hint="eastAsia"/>
                <w:color w:val="auto"/>
                <w:highlight w:val="none"/>
              </w:rPr>
              <w:t>）运输车辆应使用清洁燃料，以尽量减少汽车尾气的外排；</w:t>
            </w:r>
          </w:p>
          <w:p w14:paraId="2A9A42E5">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）施工工地地面、车行道路应当进行硬化等降尘处理；</w:t>
            </w:r>
          </w:p>
          <w:p w14:paraId="131C98B4">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）需使用混凝土的，应当使用预拌混凝土或者进行密闭搅拌并采取相应的扬尘防治措施，严禁现场露天搅拌；</w:t>
            </w:r>
          </w:p>
          <w:p w14:paraId="255EAA98">
            <w:pPr>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）在建筑物、构筑物上运送散装物料、建筑垃圾和渣土的，应当采用密闭方式清运，禁止高空抛掷、扬撒。</w:t>
            </w:r>
          </w:p>
          <w:p w14:paraId="196C7F66">
            <w:pPr>
              <w:bidi w:val="0"/>
              <w:rPr>
                <w:color w:val="auto"/>
                <w:highlight w:val="none"/>
              </w:rPr>
            </w:pPr>
            <w:r>
              <w:rPr>
                <w:rFonts w:hint="eastAsia"/>
                <w:color w:val="auto"/>
                <w:highlight w:val="none"/>
              </w:rPr>
              <w:t>施工通过以上措施扬尘可得到有效控制，且项目施工期较短，施工废气对周围环境影响较小。</w:t>
            </w:r>
          </w:p>
          <w:p w14:paraId="72602E10">
            <w:pPr>
              <w:bidi w:val="0"/>
              <w:rPr>
                <w:rFonts w:hint="default"/>
                <w:b/>
                <w:bCs/>
                <w:color w:val="auto"/>
                <w:highlight w:val="none"/>
              </w:rPr>
            </w:pPr>
            <w:r>
              <w:rPr>
                <w:b/>
                <w:bCs/>
                <w:color w:val="auto"/>
                <w:highlight w:val="none"/>
              </w:rPr>
              <w:t>2废水</w:t>
            </w:r>
          </w:p>
          <w:p w14:paraId="6ED41CFD">
            <w:pPr>
              <w:bidi w:val="0"/>
              <w:rPr>
                <w:color w:val="auto"/>
                <w:highlight w:val="none"/>
              </w:rPr>
            </w:pPr>
            <w:r>
              <w:rPr>
                <w:rFonts w:hint="eastAsia"/>
                <w:color w:val="auto"/>
                <w:highlight w:val="none"/>
              </w:rPr>
              <w:t>项目施工期废水主要是施工人员的日常生活污水。</w:t>
            </w:r>
          </w:p>
          <w:p w14:paraId="15FF28A8">
            <w:pPr>
              <w:bidi w:val="0"/>
              <w:rPr>
                <w:rFonts w:hint="eastAsia"/>
                <w:color w:val="auto"/>
                <w:highlight w:val="none"/>
                <w:lang w:eastAsia="zh-CN"/>
              </w:rPr>
            </w:pPr>
            <w:r>
              <w:rPr>
                <w:rFonts w:hint="eastAsia"/>
                <w:color w:val="auto"/>
                <w:highlight w:val="none"/>
              </w:rPr>
              <w:t>施工人员生活污水依托厂内现有生活污水处理设施处理</w:t>
            </w:r>
            <w:r>
              <w:rPr>
                <w:rFonts w:hint="eastAsia"/>
                <w:color w:val="auto"/>
                <w:highlight w:val="none"/>
                <w:lang w:eastAsia="zh-CN"/>
              </w:rPr>
              <w:t>。</w:t>
            </w:r>
          </w:p>
          <w:p w14:paraId="079CE0AC">
            <w:pPr>
              <w:bidi w:val="0"/>
              <w:rPr>
                <w:rFonts w:hint="default"/>
                <w:b/>
                <w:bCs/>
                <w:color w:val="auto"/>
                <w:highlight w:val="none"/>
              </w:rPr>
            </w:pPr>
            <w:r>
              <w:rPr>
                <w:b/>
                <w:bCs/>
                <w:color w:val="auto"/>
                <w:highlight w:val="none"/>
              </w:rPr>
              <w:t>3噪声</w:t>
            </w:r>
          </w:p>
          <w:p w14:paraId="2863DA30">
            <w:pPr>
              <w:bidi w:val="0"/>
              <w:rPr>
                <w:color w:val="auto"/>
                <w:highlight w:val="none"/>
              </w:rPr>
            </w:pPr>
            <w:r>
              <w:rPr>
                <w:rFonts w:hint="eastAsia"/>
                <w:color w:val="auto"/>
                <w:highlight w:val="none"/>
              </w:rPr>
              <w:t>项目施工过程中，噪声主要为运输车辆噪声、施工作业噪声。施工期噪声环境保护措施如下：</w:t>
            </w:r>
          </w:p>
          <w:p w14:paraId="19B623A7">
            <w:pPr>
              <w:bidi w:val="0"/>
              <w:rPr>
                <w:color w:val="auto"/>
                <w:highlight w:val="none"/>
              </w:rPr>
            </w:pPr>
            <w:r>
              <w:rPr>
                <w:rFonts w:hint="eastAsia"/>
                <w:color w:val="auto"/>
                <w:highlight w:val="none"/>
              </w:rPr>
              <w:t>（1）选用低噪声施工机械及设备，合理布局施工场地，合理安排施工时间，夜间禁止施工。</w:t>
            </w:r>
          </w:p>
          <w:p w14:paraId="7B828AB1">
            <w:pPr>
              <w:bidi w:val="0"/>
              <w:rPr>
                <w:color w:val="auto"/>
                <w:highlight w:val="none"/>
              </w:rPr>
            </w:pPr>
            <w:r>
              <w:rPr>
                <w:rFonts w:hint="eastAsia"/>
                <w:color w:val="auto"/>
                <w:highlight w:val="none"/>
              </w:rPr>
              <w:t>（2）运输车辆出入施工场地要低速行驶，并合理安排运输路线，减少对周围居民的影响。</w:t>
            </w:r>
          </w:p>
          <w:p w14:paraId="5A0F9E03">
            <w:pPr>
              <w:bidi w:val="0"/>
              <w:rPr>
                <w:color w:val="auto"/>
                <w:highlight w:val="none"/>
              </w:rPr>
            </w:pPr>
            <w:r>
              <w:rPr>
                <w:rFonts w:hint="eastAsia"/>
                <w:color w:val="auto"/>
                <w:highlight w:val="none"/>
              </w:rPr>
              <w:t>（3）加强施工管理，严格执行国家规定的《建筑施工场界环境噪声排放标准》（GB12523-2011），杜绝高噪声设备夜间施工。通过采取上述措施，对环境影响很小。</w:t>
            </w:r>
          </w:p>
          <w:p w14:paraId="242DC0B8">
            <w:pPr>
              <w:bidi w:val="0"/>
              <w:rPr>
                <w:color w:val="auto"/>
                <w:highlight w:val="none"/>
              </w:rPr>
            </w:pPr>
            <w:r>
              <w:rPr>
                <w:rFonts w:hint="eastAsia"/>
                <w:color w:val="auto"/>
                <w:highlight w:val="none"/>
              </w:rPr>
              <w:t>（4）高噪声设备操作设置声屏障，加强施工管理。</w:t>
            </w:r>
          </w:p>
          <w:p w14:paraId="0A470E57">
            <w:pPr>
              <w:bidi w:val="0"/>
              <w:rPr>
                <w:color w:val="auto"/>
                <w:highlight w:val="none"/>
              </w:rPr>
            </w:pPr>
            <w:r>
              <w:rPr>
                <w:rFonts w:hint="eastAsia"/>
                <w:color w:val="auto"/>
                <w:highlight w:val="none"/>
              </w:rPr>
              <w:t>项目施工量较小，通过合理安排施工时间，选择低噪声的机械设备，降低车速等措施，施工期噪声对周边环境影响较小。</w:t>
            </w:r>
          </w:p>
          <w:p w14:paraId="62FDDB9F">
            <w:pPr>
              <w:bidi w:val="0"/>
              <w:rPr>
                <w:rFonts w:hint="default"/>
                <w:b/>
                <w:bCs/>
                <w:color w:val="auto"/>
                <w:highlight w:val="none"/>
              </w:rPr>
            </w:pPr>
            <w:r>
              <w:rPr>
                <w:b/>
                <w:bCs/>
                <w:color w:val="auto"/>
                <w:highlight w:val="none"/>
              </w:rPr>
              <w:t>4固废</w:t>
            </w:r>
          </w:p>
          <w:p w14:paraId="3FDF4F8F">
            <w:pPr>
              <w:bidi w:val="0"/>
              <w:rPr>
                <w:color w:val="auto"/>
                <w:highlight w:val="none"/>
              </w:rPr>
            </w:pPr>
            <w:r>
              <w:rPr>
                <w:rFonts w:hint="eastAsia"/>
                <w:color w:val="auto"/>
                <w:highlight w:val="none"/>
              </w:rPr>
              <w:t>（1）施工中产生的建筑垃圾集中处理，分类收集并尽可能地回收再利用（如钢材、废旧木材）；不能回收利用的，根据要求，应及时清理出施工现场，采用封闭式运输车及时清运送往当地政府指定的建筑垃圾处置场处理。不能随意抛弃、转移和扩散，特别是不能倒入附近水体，造成水土流失。需要堆放的固体废物必须覆盖防尘网，防止产生扬尘。运输车辆要清扫干净，防止产生二次污染。</w:t>
            </w:r>
          </w:p>
          <w:p w14:paraId="74FBF0E5">
            <w:pPr>
              <w:bidi w:val="0"/>
              <w:rPr>
                <w:color w:val="auto"/>
                <w:highlight w:val="none"/>
              </w:rPr>
            </w:pPr>
            <w:r>
              <w:rPr>
                <w:rFonts w:hint="eastAsia"/>
                <w:color w:val="auto"/>
                <w:highlight w:val="none"/>
              </w:rPr>
              <w:t>（2）施工人员产生的生活垃圾在厂内垃圾箱存放，定期由环卫部门进行处理，不能混置在渣土中。</w:t>
            </w:r>
          </w:p>
          <w:p w14:paraId="00557A21">
            <w:pPr>
              <w:bidi w:val="0"/>
              <w:rPr>
                <w:rFonts w:hint="default"/>
                <w:b/>
                <w:bCs/>
                <w:color w:val="auto"/>
                <w:highlight w:val="none"/>
              </w:rPr>
            </w:pPr>
            <w:r>
              <w:rPr>
                <w:b/>
                <w:bCs/>
                <w:color w:val="auto"/>
                <w:highlight w:val="none"/>
              </w:rPr>
              <w:t>5总结</w:t>
            </w:r>
          </w:p>
          <w:p w14:paraId="14DBDCD6">
            <w:pPr>
              <w:bidi w:val="0"/>
              <w:rPr>
                <w:color w:val="auto"/>
                <w:highlight w:val="none"/>
              </w:rPr>
            </w:pPr>
            <w:r>
              <w:rPr>
                <w:rFonts w:hint="eastAsia"/>
                <w:color w:val="auto"/>
                <w:highlight w:val="none"/>
              </w:rPr>
              <w:t>本项目施工期时间较短，采取上述环保措施后废气、废水、噪声、固废对环境影响较小。</w:t>
            </w:r>
          </w:p>
        </w:tc>
      </w:tr>
      <w:tr w14:paraId="496D25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69" w:hRule="atLeast"/>
          <w:jc w:val="center"/>
        </w:trPr>
        <w:tc>
          <w:tcPr>
            <w:tcW w:w="338" w:type="dxa"/>
            <w:tcMar>
              <w:left w:w="28" w:type="dxa"/>
              <w:right w:w="28" w:type="dxa"/>
            </w:tcMar>
            <w:vAlign w:val="center"/>
          </w:tcPr>
          <w:p w14:paraId="5CBB45D6">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运营</w:t>
            </w:r>
          </w:p>
          <w:p w14:paraId="5B5C4315">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期环</w:t>
            </w:r>
          </w:p>
          <w:p w14:paraId="5AADD33E">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境影</w:t>
            </w:r>
          </w:p>
          <w:p w14:paraId="5D472BC2">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响和</w:t>
            </w:r>
          </w:p>
          <w:p w14:paraId="765CAB99">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保护</w:t>
            </w:r>
          </w:p>
          <w:p w14:paraId="0113FF63">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color w:val="auto"/>
                <w:kern w:val="0"/>
                <w:szCs w:val="21"/>
                <w:highlight w:val="none"/>
              </w:rPr>
            </w:pPr>
            <w:r>
              <w:rPr>
                <w:rFonts w:hint="eastAsia" w:ascii="宋体" w:hAnsi="宋体" w:cs="宋体"/>
                <w:b/>
                <w:bCs w:val="0"/>
                <w:color w:val="auto"/>
                <w:szCs w:val="21"/>
                <w:highlight w:val="none"/>
              </w:rPr>
              <w:t>措施</w:t>
            </w:r>
          </w:p>
        </w:tc>
        <w:tc>
          <w:tcPr>
            <w:tcW w:w="8506" w:type="dxa"/>
            <w:vAlign w:val="center"/>
          </w:tcPr>
          <w:p w14:paraId="2D80E762">
            <w:pPr>
              <w:bidi w:val="0"/>
              <w:rPr>
                <w:rFonts w:hint="default"/>
                <w:b/>
                <w:bCs/>
                <w:color w:val="auto"/>
                <w:highlight w:val="none"/>
              </w:rPr>
            </w:pPr>
            <w:r>
              <w:rPr>
                <w:b/>
                <w:bCs/>
                <w:color w:val="auto"/>
                <w:highlight w:val="none"/>
              </w:rPr>
              <w:t>1废气</w:t>
            </w:r>
          </w:p>
          <w:p w14:paraId="06E95166">
            <w:pPr>
              <w:bidi w:val="0"/>
              <w:rPr>
                <w:b/>
                <w:bCs/>
                <w:color w:val="auto"/>
                <w:highlight w:val="none"/>
              </w:rPr>
            </w:pPr>
            <w:r>
              <w:rPr>
                <w:rFonts w:hint="eastAsia"/>
                <w:b/>
                <w:bCs/>
                <w:color w:val="auto"/>
                <w:highlight w:val="none"/>
              </w:rPr>
              <w:t>1.1废气污染物产生情况</w:t>
            </w:r>
          </w:p>
          <w:p w14:paraId="3A8E4BFD">
            <w:pPr>
              <w:pStyle w:val="13"/>
              <w:keepNext w:val="0"/>
              <w:keepLines w:val="0"/>
              <w:pageBreakBefore w:val="0"/>
              <w:widowControl w:val="0"/>
              <w:numPr>
                <w:ilvl w:val="0"/>
                <w:numId w:val="0"/>
              </w:numPr>
              <w:kinsoku/>
              <w:wordWrap/>
              <w:overflowPunct/>
              <w:topLinePunct w:val="0"/>
              <w:autoSpaceDE w:val="0"/>
              <w:autoSpaceDN w:val="0"/>
              <w:bidi w:val="0"/>
              <w:spacing w:line="360" w:lineRule="auto"/>
              <w:ind w:firstLine="482" w:firstLineChars="200"/>
              <w:jc w:val="both"/>
              <w:textAlignment w:val="auto"/>
              <w:rPr>
                <w:rFonts w:hint="eastAsia" w:eastAsia="宋体" w:cs="Times New Roman"/>
                <w:b/>
                <w:bCs/>
                <w:color w:val="auto"/>
                <w:sz w:val="24"/>
                <w:szCs w:val="24"/>
                <w:highlight w:val="none"/>
                <w:lang w:eastAsia="zh-CN"/>
              </w:rPr>
            </w:pPr>
            <w:r>
              <w:rPr>
                <w:rFonts w:hint="eastAsia" w:ascii="Times New Roman" w:hAnsi="Times New Roman" w:eastAsia="宋体" w:cs="Times New Roman"/>
                <w:b/>
                <w:bCs/>
                <w:color w:val="auto"/>
                <w:kern w:val="2"/>
                <w:sz w:val="24"/>
                <w:szCs w:val="24"/>
                <w:highlight w:val="none"/>
                <w:lang w:val="en-US" w:eastAsia="zh-CN" w:bidi="ar-SA"/>
              </w:rPr>
              <w:t>（1）</w:t>
            </w:r>
            <w:r>
              <w:rPr>
                <w:rFonts w:hint="eastAsia" w:cs="Times New Roman"/>
                <w:b/>
                <w:bCs/>
                <w:color w:val="auto"/>
                <w:sz w:val="24"/>
                <w:szCs w:val="24"/>
                <w:highlight w:val="none"/>
                <w:lang w:eastAsia="zh-CN"/>
              </w:rPr>
              <w:t>实验室废液</w:t>
            </w:r>
            <w:r>
              <w:rPr>
                <w:rFonts w:hint="eastAsia" w:eastAsia="宋体" w:cs="Times New Roman"/>
                <w:b/>
                <w:bCs/>
                <w:color w:val="auto"/>
                <w:sz w:val="24"/>
                <w:szCs w:val="24"/>
                <w:highlight w:val="none"/>
                <w:lang w:eastAsia="zh-CN"/>
              </w:rPr>
              <w:t>贮存废气</w:t>
            </w:r>
          </w:p>
          <w:p w14:paraId="7F9BF6B4">
            <w:pPr>
              <w:bidi w:val="0"/>
              <w:rPr>
                <w:rFonts w:hint="eastAsia"/>
                <w:color w:val="auto"/>
                <w:highlight w:val="none"/>
                <w:lang w:eastAsia="zh-CN"/>
              </w:rPr>
            </w:pPr>
            <w:r>
              <w:rPr>
                <w:rFonts w:hint="eastAsia"/>
                <w:color w:val="auto"/>
                <w:highlight w:val="none"/>
                <w:lang w:eastAsia="zh-CN"/>
              </w:rPr>
              <w:t>本项目实验室废液主要为实验室产生的，此类的包装瓶均有内置塑料盖，用于塞紧，保证液体无泄漏，并配备拧紧外置瓶盖，本项目收集实验室废液均加盖密封贮存，贮存过程中瓶中残留液体挥发性较小，故对实验室废液贮存废气仅进行定性分析。</w:t>
            </w:r>
          </w:p>
          <w:p w14:paraId="39A03B24">
            <w:pPr>
              <w:bidi w:val="0"/>
              <w:rPr>
                <w:color w:val="auto"/>
                <w:highlight w:val="none"/>
              </w:rPr>
            </w:pPr>
            <w:r>
              <w:rPr>
                <w:rFonts w:hint="eastAsia"/>
                <w:color w:val="auto"/>
                <w:highlight w:val="none"/>
                <w:lang w:eastAsia="zh-CN"/>
              </w:rPr>
              <w:t>实验室废液贮存过程中通过盖紧密封盖，并包裹在</w:t>
            </w:r>
            <w:r>
              <w:rPr>
                <w:rFonts w:hint="eastAsia"/>
                <w:color w:val="auto"/>
                <w:highlight w:val="none"/>
                <w:shd w:val="clear" w:color="auto" w:fill="auto"/>
              </w:rPr>
              <w:t>耐酸耐腐蚀</w:t>
            </w:r>
            <w:r>
              <w:rPr>
                <w:rFonts w:hint="eastAsia"/>
                <w:color w:val="auto"/>
                <w:highlight w:val="none"/>
                <w:shd w:val="clear" w:color="auto" w:fill="auto"/>
                <w:lang w:eastAsia="zh-CN"/>
              </w:rPr>
              <w:t>箱</w:t>
            </w:r>
            <w:r>
              <w:rPr>
                <w:rFonts w:hint="eastAsia"/>
                <w:color w:val="auto"/>
                <w:highlight w:val="none"/>
                <w:lang w:eastAsia="zh-CN"/>
              </w:rPr>
              <w:t>内，本危险废物贮存点设置排风扇</w:t>
            </w:r>
            <w:r>
              <w:rPr>
                <w:rFonts w:hint="eastAsia"/>
                <w:b w:val="0"/>
                <w:bCs w:val="0"/>
                <w:color w:val="auto"/>
                <w:highlight w:val="none"/>
                <w:lang w:eastAsia="zh-CN"/>
              </w:rPr>
              <w:t>，</w:t>
            </w:r>
            <w:r>
              <w:rPr>
                <w:rFonts w:hint="eastAsia" w:cs="Times New Roman"/>
                <w:b w:val="0"/>
                <w:bCs w:val="0"/>
                <w:color w:val="auto"/>
                <w:sz w:val="24"/>
                <w:szCs w:val="24"/>
                <w:highlight w:val="none"/>
                <w:lang w:eastAsia="zh-CN"/>
              </w:rPr>
              <w:t>实验室废液</w:t>
            </w:r>
            <w:r>
              <w:rPr>
                <w:rFonts w:hint="eastAsia" w:eastAsia="宋体" w:cs="Times New Roman"/>
                <w:b w:val="0"/>
                <w:bCs w:val="0"/>
                <w:color w:val="auto"/>
                <w:sz w:val="24"/>
                <w:szCs w:val="24"/>
                <w:highlight w:val="none"/>
                <w:lang w:eastAsia="zh-CN"/>
              </w:rPr>
              <w:t>贮存废气</w:t>
            </w:r>
            <w:r>
              <w:rPr>
                <w:rFonts w:hint="eastAsia"/>
                <w:b w:val="0"/>
                <w:bCs w:val="0"/>
                <w:color w:val="auto"/>
                <w:highlight w:val="none"/>
                <w:lang w:eastAsia="zh-CN"/>
              </w:rPr>
              <w:t>对周围环境影响较小。</w:t>
            </w:r>
          </w:p>
          <w:p w14:paraId="570CA692">
            <w:pPr>
              <w:pStyle w:val="13"/>
              <w:keepNext w:val="0"/>
              <w:keepLines w:val="0"/>
              <w:pageBreakBefore w:val="0"/>
              <w:widowControl w:val="0"/>
              <w:kinsoku/>
              <w:wordWrap/>
              <w:overflowPunct/>
              <w:topLinePunct w:val="0"/>
              <w:autoSpaceDE w:val="0"/>
              <w:autoSpaceDN w:val="0"/>
              <w:bidi w:val="0"/>
              <w:spacing w:line="360" w:lineRule="auto"/>
              <w:ind w:firstLine="482" w:firstLineChars="200"/>
              <w:jc w:val="both"/>
              <w:textAlignment w:val="auto"/>
              <w:rPr>
                <w:rFonts w:hint="eastAsia" w:ascii="Times New Roman" w:hAnsi="Times New Roman" w:eastAsia="宋体" w:cs="Times New Roman"/>
                <w:b/>
                <w:bCs/>
                <w:color w:val="auto"/>
                <w:sz w:val="24"/>
                <w:szCs w:val="24"/>
                <w:highlight w:val="none"/>
                <w:lang w:eastAsia="zh-CN"/>
              </w:rPr>
            </w:pPr>
            <w:r>
              <w:rPr>
                <w:rFonts w:hint="eastAsia" w:eastAsia="宋体" w:cs="Times New Roman"/>
                <w:b/>
                <w:bCs/>
                <w:color w:val="auto"/>
                <w:sz w:val="24"/>
                <w:szCs w:val="24"/>
                <w:highlight w:val="none"/>
                <w:lang w:eastAsia="zh-CN"/>
              </w:rPr>
              <w:t>（</w:t>
            </w:r>
            <w:r>
              <w:rPr>
                <w:rFonts w:hint="eastAsia" w:eastAsia="宋体" w:cs="Times New Roman"/>
                <w:b/>
                <w:bCs/>
                <w:color w:val="auto"/>
                <w:sz w:val="24"/>
                <w:szCs w:val="24"/>
                <w:highlight w:val="none"/>
                <w:lang w:val="en-US" w:eastAsia="zh-CN"/>
              </w:rPr>
              <w:t>2</w:t>
            </w:r>
            <w:r>
              <w:rPr>
                <w:rFonts w:hint="eastAsia" w:eastAsia="宋体" w:cs="Times New Roman"/>
                <w:b/>
                <w:bCs/>
                <w:color w:val="auto"/>
                <w:sz w:val="24"/>
                <w:szCs w:val="24"/>
                <w:highlight w:val="none"/>
                <w:lang w:eastAsia="zh-CN"/>
              </w:rPr>
              <w:t>）废油、废油桶等贮存产生的挥发性有机物废气</w:t>
            </w:r>
          </w:p>
          <w:p w14:paraId="43CBB212">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lang w:eastAsia="zh-CN"/>
              </w:rPr>
            </w:pPr>
            <w:r>
              <w:rPr>
                <w:rFonts w:hint="eastAsia" w:ascii="Times New Roman" w:hAnsi="Times New Roman" w:eastAsia="Times New Roman" w:cs="Times New Roman"/>
                <w:color w:val="auto"/>
                <w:sz w:val="24"/>
                <w:szCs w:val="24"/>
                <w:highlight w:val="none"/>
              </w:rPr>
              <w:t>本项目运营期主要为废液压油、废空压机油、废汽轮机油、废变压器油、废润滑油</w:t>
            </w:r>
            <w:r>
              <w:rPr>
                <w:rFonts w:hint="eastAsia" w:eastAsia="宋体" w:cs="Times New Roman"/>
                <w:color w:val="auto"/>
                <w:sz w:val="24"/>
                <w:szCs w:val="24"/>
                <w:highlight w:val="none"/>
                <w:lang w:eastAsia="zh-CN"/>
              </w:rPr>
              <w:t>、废油漆桶、废油桶</w:t>
            </w:r>
            <w:r>
              <w:rPr>
                <w:rFonts w:hint="eastAsia" w:ascii="Times New Roman" w:hAnsi="Times New Roman" w:eastAsia="Times New Roman" w:cs="Times New Roman"/>
                <w:color w:val="auto"/>
                <w:sz w:val="24"/>
                <w:szCs w:val="24"/>
                <w:highlight w:val="none"/>
                <w:lang w:val="en-US" w:eastAsia="zh-CN"/>
              </w:rPr>
              <w:t>等危险废物</w:t>
            </w:r>
            <w:r>
              <w:rPr>
                <w:rFonts w:hint="eastAsia" w:ascii="Times New Roman" w:hAnsi="Times New Roman" w:eastAsia="Times New Roman" w:cs="Times New Roman"/>
                <w:color w:val="auto"/>
                <w:sz w:val="24"/>
                <w:szCs w:val="24"/>
                <w:highlight w:val="none"/>
              </w:rPr>
              <w:t>贮存</w:t>
            </w:r>
            <w:r>
              <w:rPr>
                <w:rFonts w:hint="eastAsia" w:ascii="Times New Roman" w:hAnsi="Times New Roman" w:eastAsia="Times New Roman" w:cs="Times New Roman"/>
                <w:color w:val="auto"/>
                <w:sz w:val="24"/>
                <w:szCs w:val="24"/>
                <w:highlight w:val="none"/>
                <w:lang w:val="en-US" w:eastAsia="zh-CN"/>
              </w:rPr>
              <w:t>产生的挥发性有机物</w:t>
            </w:r>
            <w:r>
              <w:rPr>
                <w:rFonts w:hint="eastAsia" w:ascii="Times New Roman" w:hAnsi="Times New Roman" w:eastAsia="Times New Roman" w:cs="Times New Roman"/>
                <w:color w:val="auto"/>
                <w:sz w:val="24"/>
                <w:szCs w:val="24"/>
                <w:highlight w:val="none"/>
              </w:rPr>
              <w:t>，主要污染物为非甲烷总烃</w:t>
            </w:r>
            <w:r>
              <w:rPr>
                <w:rFonts w:hint="eastAsia" w:ascii="Times New Roman" w:hAnsi="Times New Roman" w:eastAsia="Times New Roman" w:cs="Times New Roman"/>
                <w:color w:val="auto"/>
                <w:sz w:val="24"/>
                <w:szCs w:val="24"/>
                <w:highlight w:val="none"/>
                <w:lang w:eastAsia="zh-CN"/>
              </w:rPr>
              <w:t>。</w:t>
            </w:r>
          </w:p>
          <w:p w14:paraId="4B3CD208">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color w:val="auto"/>
                <w:highlight w:val="none"/>
                <w:lang w:eastAsia="zh-CN"/>
              </w:rPr>
            </w:pPr>
            <w:r>
              <w:rPr>
                <w:rFonts w:hint="eastAsia"/>
                <w:color w:val="auto"/>
                <w:highlight w:val="none"/>
                <w:lang w:eastAsia="zh-CN"/>
              </w:rPr>
              <w:t>本项目废液压油、废空压机油、废汽轮机油、废变压器油、废润滑油经桶装加盖贮存，废油漆桶、废油桶加盖贮存，非甲烷总烃产生量参照国家标准《散装液态石油产品损耗》（GB11085-1989），辽宁属于C类地区，本项目所涉及的废液压油、废空压机油、废汽轮机油、废变压器油、废润滑油按其他油品，月贮存损耗率为0.01%，按最长存储时间12个月计算。本项目</w:t>
            </w:r>
            <w:r>
              <w:rPr>
                <w:rFonts w:hint="eastAsia"/>
                <w:color w:val="auto"/>
                <w:highlight w:val="none"/>
                <w:lang w:val="en-US" w:eastAsia="zh-CN"/>
              </w:rPr>
              <w:t>废油类物质</w:t>
            </w:r>
            <w:r>
              <w:rPr>
                <w:rFonts w:hint="eastAsia"/>
                <w:color w:val="auto"/>
                <w:highlight w:val="none"/>
                <w:lang w:eastAsia="zh-CN"/>
              </w:rPr>
              <w:t>最大年贮存量为</w:t>
            </w:r>
            <w:r>
              <w:rPr>
                <w:rFonts w:hint="eastAsia"/>
                <w:color w:val="auto"/>
                <w:highlight w:val="none"/>
                <w:lang w:val="en-US" w:eastAsia="zh-CN"/>
              </w:rPr>
              <w:t>1.3</w:t>
            </w:r>
            <w:r>
              <w:rPr>
                <w:rFonts w:hint="eastAsia"/>
                <w:color w:val="auto"/>
                <w:highlight w:val="none"/>
                <w:lang w:eastAsia="zh-CN"/>
              </w:rPr>
              <w:t>t，</w:t>
            </w:r>
            <w:r>
              <w:rPr>
                <w:rFonts w:hint="eastAsia"/>
                <w:color w:val="auto"/>
                <w:highlight w:val="none"/>
                <w:lang w:val="en-US" w:eastAsia="zh-CN"/>
              </w:rPr>
              <w:t>废油桶、废油漆桶最大贮存量为为0.68t（残渣约为0.034t）</w:t>
            </w:r>
            <w:r>
              <w:rPr>
                <w:rFonts w:hint="eastAsia"/>
                <w:color w:val="auto"/>
                <w:highlight w:val="none"/>
                <w:lang w:eastAsia="zh-CN"/>
              </w:rPr>
              <w:t>，计算损耗量为</w:t>
            </w:r>
            <w:r>
              <w:rPr>
                <w:rFonts w:hint="eastAsia"/>
                <w:color w:val="auto"/>
                <w:highlight w:val="none"/>
                <w:lang w:val="en-US" w:eastAsia="zh-CN"/>
              </w:rPr>
              <w:t>1.6×10</w:t>
            </w:r>
            <w:r>
              <w:rPr>
                <w:rFonts w:hint="eastAsia"/>
                <w:color w:val="auto"/>
                <w:highlight w:val="none"/>
                <w:vertAlign w:val="superscript"/>
                <w:lang w:val="en-US" w:eastAsia="zh-CN"/>
              </w:rPr>
              <w:t>-3</w:t>
            </w:r>
            <w:r>
              <w:rPr>
                <w:rFonts w:hint="eastAsia"/>
                <w:color w:val="auto"/>
                <w:highlight w:val="none"/>
                <w:lang w:eastAsia="zh-CN"/>
              </w:rPr>
              <w:t>t/a，全部按挥发损耗计，则本项目非甲烷总烃产生量为</w:t>
            </w:r>
            <w:r>
              <w:rPr>
                <w:rFonts w:hint="eastAsia"/>
                <w:color w:val="auto"/>
                <w:highlight w:val="none"/>
                <w:lang w:val="en-US" w:eastAsia="zh-CN"/>
              </w:rPr>
              <w:t>1.6×10</w:t>
            </w:r>
            <w:r>
              <w:rPr>
                <w:rFonts w:hint="eastAsia"/>
                <w:color w:val="auto"/>
                <w:highlight w:val="none"/>
                <w:vertAlign w:val="superscript"/>
                <w:lang w:val="en-US" w:eastAsia="zh-CN"/>
              </w:rPr>
              <w:t>-3</w:t>
            </w:r>
            <w:r>
              <w:rPr>
                <w:rFonts w:hint="eastAsia"/>
                <w:color w:val="auto"/>
                <w:highlight w:val="none"/>
                <w:lang w:eastAsia="zh-CN"/>
              </w:rPr>
              <w:t>t/a。</w:t>
            </w:r>
          </w:p>
          <w:p w14:paraId="2AAB0B23">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bCs/>
                <w:color w:val="auto"/>
                <w:sz w:val="24"/>
                <w:szCs w:val="24"/>
                <w:highlight w:val="none"/>
              </w:rPr>
            </w:pP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产生的</w:t>
            </w:r>
            <w:r>
              <w:rPr>
                <w:rFonts w:hint="eastAsia"/>
                <w:color w:val="auto"/>
                <w:highlight w:val="none"/>
                <w:lang w:eastAsia="zh-CN"/>
              </w:rPr>
              <w:t>废液压油、废空压机油、废汽轮机油、废变压器油、废润滑油</w:t>
            </w:r>
            <w:r>
              <w:rPr>
                <w:rFonts w:hint="eastAsia" w:ascii="Times New Roman" w:hAnsi="Times New Roman" w:eastAsia="Times New Roman" w:cs="Times New Roman"/>
                <w:color w:val="auto"/>
                <w:sz w:val="24"/>
                <w:szCs w:val="24"/>
                <w:highlight w:val="none"/>
              </w:rPr>
              <w:t>经桶</w:t>
            </w:r>
            <w:r>
              <w:rPr>
                <w:rFonts w:hint="eastAsia" w:ascii="Times New Roman" w:hAnsi="Times New Roman" w:eastAsia="宋体" w:cs="Times New Roman"/>
                <w:color w:val="auto"/>
                <w:sz w:val="24"/>
                <w:szCs w:val="24"/>
                <w:highlight w:val="none"/>
                <w:lang w:val="en-US" w:eastAsia="zh-CN"/>
              </w:rPr>
              <w:t>装</w:t>
            </w:r>
            <w:r>
              <w:rPr>
                <w:rFonts w:hint="eastAsia" w:ascii="Times New Roman" w:hAnsi="Times New Roman" w:eastAsia="Times New Roman" w:cs="Times New Roman"/>
                <w:color w:val="auto"/>
                <w:sz w:val="24"/>
                <w:szCs w:val="24"/>
                <w:highlight w:val="none"/>
              </w:rPr>
              <w:t>加盖密封</w:t>
            </w:r>
            <w:r>
              <w:rPr>
                <w:rFonts w:hint="eastAsia" w:ascii="Times New Roman" w:hAnsi="Times New Roman" w:eastAsia="宋体" w:cs="Times New Roman"/>
                <w:color w:val="auto"/>
                <w:sz w:val="24"/>
                <w:szCs w:val="24"/>
                <w:highlight w:val="none"/>
                <w:lang w:eastAsia="zh-CN"/>
              </w:rPr>
              <w:t>，</w:t>
            </w:r>
            <w:r>
              <w:rPr>
                <w:rFonts w:hint="eastAsia"/>
                <w:color w:val="auto"/>
                <w:highlight w:val="none"/>
                <w:lang w:eastAsia="zh-CN"/>
              </w:rPr>
              <w:t>废油漆桶、废油桶</w:t>
            </w:r>
            <w:r>
              <w:rPr>
                <w:rFonts w:hint="eastAsia" w:ascii="Times New Roman" w:hAnsi="Times New Roman" w:eastAsia="宋体" w:cs="Times New Roman"/>
                <w:color w:val="auto"/>
                <w:sz w:val="24"/>
                <w:szCs w:val="24"/>
                <w:highlight w:val="none"/>
                <w:lang w:val="en-US" w:eastAsia="zh-CN"/>
              </w:rPr>
              <w:t>加盖封存</w:t>
            </w:r>
            <w:r>
              <w:rPr>
                <w:rFonts w:hint="eastAsia" w:ascii="Times New Roman" w:hAnsi="Times New Roman" w:eastAsia="Times New Roman" w:cs="Times New Roman"/>
                <w:color w:val="auto"/>
                <w:sz w:val="24"/>
                <w:szCs w:val="24"/>
                <w:highlight w:val="none"/>
              </w:rPr>
              <w:t>。未收集部分</w:t>
            </w:r>
            <w:r>
              <w:rPr>
                <w:rFonts w:hint="eastAsia" w:ascii="Times New Roman" w:hAnsi="Times New Roman" w:eastAsia="Times New Roman" w:cs="Times New Roman"/>
                <w:bCs/>
                <w:color w:val="auto"/>
                <w:sz w:val="24"/>
                <w:szCs w:val="24"/>
                <w:highlight w:val="none"/>
              </w:rPr>
              <w:t>主要考虑</w:t>
            </w:r>
            <w:r>
              <w:rPr>
                <w:rFonts w:hint="eastAsia" w:eastAsia="宋体" w:cs="Times New Roman"/>
                <w:bCs/>
                <w:color w:val="auto"/>
                <w:sz w:val="24"/>
                <w:szCs w:val="24"/>
                <w:highlight w:val="none"/>
                <w:lang w:eastAsia="zh-CN"/>
              </w:rPr>
              <w:t>在</w:t>
            </w:r>
            <w:r>
              <w:rPr>
                <w:rFonts w:hint="eastAsia" w:ascii="Times New Roman" w:hAnsi="Times New Roman" w:eastAsia="Times New Roman" w:cs="Times New Roman"/>
                <w:bCs/>
                <w:color w:val="auto"/>
                <w:sz w:val="24"/>
                <w:szCs w:val="24"/>
                <w:highlight w:val="none"/>
              </w:rPr>
              <w:t>关门情况下非甲烷总烃的无组织逸散入大气中。本项目危废点为封闭结构</w:t>
            </w:r>
            <w:r>
              <w:rPr>
                <w:rFonts w:hint="eastAsia" w:eastAsia="宋体" w:cs="Times New Roman"/>
                <w:bCs/>
                <w:color w:val="auto"/>
                <w:sz w:val="24"/>
                <w:szCs w:val="24"/>
                <w:highlight w:val="none"/>
                <w:lang w:eastAsia="zh-CN"/>
              </w:rPr>
              <w:t>设置</w:t>
            </w:r>
            <w:r>
              <w:rPr>
                <w:rFonts w:hint="eastAsia" w:cs="Times New Roman"/>
                <w:bCs/>
                <w:color w:val="auto"/>
                <w:sz w:val="24"/>
                <w:szCs w:val="24"/>
                <w:highlight w:val="none"/>
                <w:lang w:eastAsia="zh-CN"/>
              </w:rPr>
              <w:t>排气扇</w:t>
            </w:r>
            <w:r>
              <w:rPr>
                <w:rFonts w:hint="eastAsia" w:ascii="Times New Roman" w:hAnsi="Times New Roman" w:eastAsia="Times New Roman" w:cs="Times New Roman"/>
                <w:bCs/>
                <w:color w:val="auto"/>
                <w:sz w:val="24"/>
                <w:szCs w:val="24"/>
                <w:highlight w:val="none"/>
              </w:rPr>
              <w:t>，</w:t>
            </w:r>
            <w:r>
              <w:rPr>
                <w:rFonts w:hint="eastAsia" w:eastAsia="宋体" w:cs="Times New Roman"/>
                <w:bCs/>
                <w:color w:val="auto"/>
                <w:sz w:val="24"/>
                <w:szCs w:val="24"/>
                <w:highlight w:val="none"/>
                <w:lang w:eastAsia="zh-CN"/>
              </w:rPr>
              <w:t>企业计划购置</w:t>
            </w:r>
            <w:r>
              <w:rPr>
                <w:rFonts w:hint="eastAsia" w:cs="Times New Roman"/>
                <w:bCs/>
                <w:color w:val="auto"/>
                <w:sz w:val="24"/>
                <w:szCs w:val="24"/>
                <w:highlight w:val="none"/>
                <w:lang w:val="en-US" w:eastAsia="zh-CN"/>
              </w:rPr>
              <w:t>排气扇风量为1000m</w:t>
            </w:r>
            <w:r>
              <w:rPr>
                <w:rFonts w:hint="eastAsia" w:cs="Times New Roman"/>
                <w:bCs/>
                <w:color w:val="auto"/>
                <w:sz w:val="24"/>
                <w:szCs w:val="24"/>
                <w:highlight w:val="none"/>
                <w:vertAlign w:val="superscript"/>
                <w:lang w:val="en-US" w:eastAsia="zh-CN"/>
              </w:rPr>
              <w:t>3</w:t>
            </w:r>
            <w:r>
              <w:rPr>
                <w:rFonts w:hint="eastAsia" w:cs="Times New Roman"/>
                <w:bCs/>
                <w:color w:val="auto"/>
                <w:sz w:val="24"/>
                <w:szCs w:val="24"/>
                <w:highlight w:val="none"/>
                <w:lang w:val="en-US" w:eastAsia="zh-CN"/>
              </w:rPr>
              <w:t>/h，</w:t>
            </w:r>
            <w:r>
              <w:rPr>
                <w:rFonts w:hint="eastAsia" w:eastAsia="宋体" w:cs="Times New Roman"/>
                <w:bCs/>
                <w:color w:val="auto"/>
                <w:sz w:val="24"/>
                <w:szCs w:val="24"/>
                <w:highlight w:val="none"/>
                <w:lang w:val="en-US" w:eastAsia="zh-CN"/>
              </w:rPr>
              <w:t>全年运行，</w:t>
            </w:r>
            <w:r>
              <w:rPr>
                <w:rFonts w:hint="eastAsia" w:ascii="Times New Roman" w:hAnsi="Times New Roman" w:eastAsia="Times New Roman" w:cs="Times New Roman"/>
                <w:bCs/>
                <w:color w:val="auto"/>
                <w:sz w:val="24"/>
                <w:szCs w:val="24"/>
                <w:highlight w:val="none"/>
              </w:rPr>
              <w:t>废气以无组织形式排放。</w:t>
            </w:r>
          </w:p>
          <w:p w14:paraId="4DA178AB">
            <w:pPr>
              <w:pStyle w:val="25"/>
              <w:bidi w:val="0"/>
              <w:rPr>
                <w:rFonts w:hint="eastAsia"/>
                <w:color w:val="auto"/>
                <w:highlight w:val="none"/>
              </w:rPr>
            </w:pPr>
            <w:r>
              <w:rPr>
                <w:rFonts w:hint="eastAsia" w:eastAsia="宋体" w:cs="Times New Roman"/>
                <w:color w:val="auto"/>
                <w:sz w:val="24"/>
                <w:szCs w:val="24"/>
                <w:highlight w:val="none"/>
                <w:lang w:val="en-US" w:eastAsia="zh-CN"/>
              </w:rPr>
              <w:t>危险废物</w:t>
            </w:r>
            <w:r>
              <w:rPr>
                <w:rFonts w:hint="eastAsia" w:cs="Times New Roman"/>
                <w:color w:val="auto"/>
                <w:sz w:val="24"/>
                <w:szCs w:val="24"/>
                <w:highlight w:val="none"/>
              </w:rPr>
              <w:t>产生的挥发性有机物废气污染物产排情况表</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3"/>
              <w:gridCol w:w="679"/>
              <w:gridCol w:w="865"/>
              <w:gridCol w:w="1050"/>
              <w:gridCol w:w="1103"/>
              <w:gridCol w:w="997"/>
              <w:gridCol w:w="1172"/>
              <w:gridCol w:w="817"/>
              <w:gridCol w:w="478"/>
              <w:gridCol w:w="478"/>
            </w:tblGrid>
            <w:tr w14:paraId="091C20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dxa"/>
                  <w:tcBorders>
                    <w:tl2br w:val="nil"/>
                    <w:tr2bl w:val="nil"/>
                  </w:tcBorders>
                  <w:vAlign w:val="center"/>
                </w:tcPr>
                <w:p w14:paraId="22B28F56">
                  <w:pPr>
                    <w:pStyle w:val="27"/>
                    <w:spacing w:line="240" w:lineRule="auto"/>
                    <w:jc w:val="center"/>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产污环节</w:t>
                  </w:r>
                </w:p>
              </w:tc>
              <w:tc>
                <w:tcPr>
                  <w:tcW w:w="679" w:type="dxa"/>
                  <w:tcBorders>
                    <w:tl2br w:val="nil"/>
                    <w:tr2bl w:val="nil"/>
                  </w:tcBorders>
                  <w:vAlign w:val="center"/>
                </w:tcPr>
                <w:p w14:paraId="0D47D9E3">
                  <w:pPr>
                    <w:pStyle w:val="27"/>
                    <w:spacing w:line="240" w:lineRule="auto"/>
                    <w:jc w:val="center"/>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污染物</w:t>
                  </w:r>
                </w:p>
              </w:tc>
              <w:tc>
                <w:tcPr>
                  <w:tcW w:w="865" w:type="dxa"/>
                  <w:tcBorders>
                    <w:tl2br w:val="nil"/>
                    <w:tr2bl w:val="nil"/>
                  </w:tcBorders>
                  <w:vAlign w:val="center"/>
                </w:tcPr>
                <w:p w14:paraId="61A1EE74">
                  <w:pPr>
                    <w:pStyle w:val="27"/>
                    <w:spacing w:line="240" w:lineRule="auto"/>
                    <w:jc w:val="center"/>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产生量t/a</w:t>
                  </w:r>
                </w:p>
              </w:tc>
              <w:tc>
                <w:tcPr>
                  <w:tcW w:w="1050" w:type="dxa"/>
                  <w:tcBorders>
                    <w:tl2br w:val="nil"/>
                    <w:tr2bl w:val="nil"/>
                  </w:tcBorders>
                  <w:vAlign w:val="center"/>
                </w:tcPr>
                <w:p w14:paraId="1E2E8401">
                  <w:pPr>
                    <w:pStyle w:val="27"/>
                    <w:spacing w:line="240" w:lineRule="auto"/>
                    <w:jc w:val="center"/>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产生速率kg/h</w:t>
                  </w:r>
                </w:p>
              </w:tc>
              <w:tc>
                <w:tcPr>
                  <w:tcW w:w="1103" w:type="dxa"/>
                  <w:tcBorders>
                    <w:tl2br w:val="nil"/>
                    <w:tr2bl w:val="nil"/>
                  </w:tcBorders>
                  <w:vAlign w:val="center"/>
                </w:tcPr>
                <w:p w14:paraId="102ABC01">
                  <w:pPr>
                    <w:pStyle w:val="27"/>
                    <w:spacing w:line="240" w:lineRule="auto"/>
                    <w:jc w:val="center"/>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产生浓度mg/m</w:t>
                  </w:r>
                  <w:r>
                    <w:rPr>
                      <w:rFonts w:ascii="Times New Roman" w:hAnsi="Times New Roman" w:eastAsia="宋体" w:cs="Times New Roman"/>
                      <w:b/>
                      <w:color w:val="auto"/>
                      <w:sz w:val="21"/>
                      <w:szCs w:val="21"/>
                      <w:highlight w:val="none"/>
                      <w:vertAlign w:val="superscript"/>
                    </w:rPr>
                    <w:t>3</w:t>
                  </w:r>
                </w:p>
              </w:tc>
              <w:tc>
                <w:tcPr>
                  <w:tcW w:w="997" w:type="dxa"/>
                  <w:tcBorders>
                    <w:tl2br w:val="nil"/>
                    <w:tr2bl w:val="nil"/>
                  </w:tcBorders>
                  <w:vAlign w:val="center"/>
                </w:tcPr>
                <w:p w14:paraId="39D6514B">
                  <w:pPr>
                    <w:pStyle w:val="27"/>
                    <w:spacing w:line="240" w:lineRule="auto"/>
                    <w:jc w:val="center"/>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排放量t/a</w:t>
                  </w:r>
                </w:p>
              </w:tc>
              <w:tc>
                <w:tcPr>
                  <w:tcW w:w="1172" w:type="dxa"/>
                  <w:tcBorders>
                    <w:tl2br w:val="nil"/>
                    <w:tr2bl w:val="nil"/>
                  </w:tcBorders>
                  <w:vAlign w:val="center"/>
                </w:tcPr>
                <w:p w14:paraId="4A960BA3">
                  <w:pPr>
                    <w:pStyle w:val="27"/>
                    <w:spacing w:line="240" w:lineRule="auto"/>
                    <w:jc w:val="center"/>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排放速率kg/h</w:t>
                  </w:r>
                </w:p>
              </w:tc>
              <w:tc>
                <w:tcPr>
                  <w:tcW w:w="817" w:type="dxa"/>
                  <w:tcBorders>
                    <w:tl2br w:val="nil"/>
                    <w:tr2bl w:val="nil"/>
                  </w:tcBorders>
                  <w:vAlign w:val="center"/>
                </w:tcPr>
                <w:p w14:paraId="15808BAB">
                  <w:pPr>
                    <w:pStyle w:val="27"/>
                    <w:spacing w:line="240" w:lineRule="auto"/>
                    <w:jc w:val="center"/>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排放浓度mg/m</w:t>
                  </w:r>
                  <w:r>
                    <w:rPr>
                      <w:rFonts w:ascii="Times New Roman" w:hAnsi="Times New Roman" w:eastAsia="宋体" w:cs="Times New Roman"/>
                      <w:b/>
                      <w:color w:val="auto"/>
                      <w:sz w:val="21"/>
                      <w:szCs w:val="21"/>
                      <w:highlight w:val="none"/>
                      <w:vertAlign w:val="superscript"/>
                    </w:rPr>
                    <w:t>3</w:t>
                  </w:r>
                </w:p>
              </w:tc>
              <w:tc>
                <w:tcPr>
                  <w:tcW w:w="478" w:type="dxa"/>
                  <w:tcBorders>
                    <w:tl2br w:val="nil"/>
                    <w:tr2bl w:val="nil"/>
                  </w:tcBorders>
                  <w:vAlign w:val="center"/>
                </w:tcPr>
                <w:p w14:paraId="41068913">
                  <w:pPr>
                    <w:pStyle w:val="27"/>
                    <w:spacing w:line="240" w:lineRule="auto"/>
                    <w:jc w:val="center"/>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排放位置</w:t>
                  </w:r>
                </w:p>
              </w:tc>
              <w:tc>
                <w:tcPr>
                  <w:tcW w:w="478" w:type="dxa"/>
                  <w:tcBorders>
                    <w:tl2br w:val="nil"/>
                    <w:tr2bl w:val="nil"/>
                  </w:tcBorders>
                  <w:vAlign w:val="center"/>
                </w:tcPr>
                <w:p w14:paraId="0A210508">
                  <w:pPr>
                    <w:pStyle w:val="27"/>
                    <w:spacing w:line="240" w:lineRule="auto"/>
                    <w:jc w:val="center"/>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排放形式</w:t>
                  </w:r>
                </w:p>
              </w:tc>
            </w:tr>
            <w:tr w14:paraId="67DBDF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dxa"/>
                  <w:tcBorders>
                    <w:tl2br w:val="nil"/>
                    <w:tr2bl w:val="nil"/>
                  </w:tcBorders>
                  <w:vAlign w:val="center"/>
                </w:tcPr>
                <w:p w14:paraId="04E3DAB1">
                  <w:pPr>
                    <w:pStyle w:val="24"/>
                    <w:spacing w:line="240"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危险废物</w:t>
                  </w:r>
                  <w:r>
                    <w:rPr>
                      <w:rFonts w:hint="eastAsia" w:ascii="Times New Roman" w:hAnsi="Times New Roman" w:eastAsia="宋体" w:cs="Times New Roman"/>
                      <w:color w:val="auto"/>
                      <w:sz w:val="21"/>
                      <w:szCs w:val="21"/>
                      <w:highlight w:val="none"/>
                    </w:rPr>
                    <w:t>贮存</w:t>
                  </w:r>
                </w:p>
              </w:tc>
              <w:tc>
                <w:tcPr>
                  <w:tcW w:w="679" w:type="dxa"/>
                  <w:tcBorders>
                    <w:tl2br w:val="nil"/>
                    <w:tr2bl w:val="nil"/>
                  </w:tcBorders>
                  <w:vAlign w:val="center"/>
                </w:tcPr>
                <w:p w14:paraId="4A871CFE">
                  <w:pPr>
                    <w:pStyle w:val="24"/>
                    <w:spacing w:line="240"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非甲烷总烃</w:t>
                  </w:r>
                </w:p>
              </w:tc>
              <w:tc>
                <w:tcPr>
                  <w:tcW w:w="865" w:type="dxa"/>
                  <w:tcBorders>
                    <w:tl2br w:val="nil"/>
                    <w:tr2bl w:val="nil"/>
                  </w:tcBorders>
                  <w:vAlign w:val="center"/>
                </w:tcPr>
                <w:p w14:paraId="372832D5">
                  <w:pPr>
                    <w:pStyle w:val="24"/>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w:t>
                  </w:r>
                  <w:r>
                    <w:rPr>
                      <w:rFonts w:hint="eastAsia" w:eastAsia="宋体" w:cs="Times New Roman"/>
                      <w:color w:val="auto"/>
                      <w:sz w:val="21"/>
                      <w:szCs w:val="21"/>
                      <w:highlight w:val="none"/>
                      <w:lang w:val="en-US" w:eastAsia="zh-CN"/>
                    </w:rPr>
                    <w:t>16</w:t>
                  </w:r>
                </w:p>
              </w:tc>
              <w:tc>
                <w:tcPr>
                  <w:tcW w:w="1050" w:type="dxa"/>
                  <w:tcBorders>
                    <w:tl2br w:val="nil"/>
                    <w:tr2bl w:val="nil"/>
                  </w:tcBorders>
                  <w:vAlign w:val="center"/>
                </w:tcPr>
                <w:p w14:paraId="7BE772C9">
                  <w:pPr>
                    <w:pStyle w:val="24"/>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0.000183</w:t>
                  </w:r>
                </w:p>
              </w:tc>
              <w:tc>
                <w:tcPr>
                  <w:tcW w:w="1103" w:type="dxa"/>
                  <w:tcBorders>
                    <w:tl2br w:val="nil"/>
                    <w:tr2bl w:val="nil"/>
                  </w:tcBorders>
                  <w:vAlign w:val="center"/>
                </w:tcPr>
                <w:p w14:paraId="3134BE34">
                  <w:pPr>
                    <w:pStyle w:val="24"/>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0.183</w:t>
                  </w:r>
                </w:p>
              </w:tc>
              <w:tc>
                <w:tcPr>
                  <w:tcW w:w="997" w:type="dxa"/>
                  <w:tcBorders>
                    <w:tl2br w:val="nil"/>
                    <w:tr2bl w:val="nil"/>
                  </w:tcBorders>
                  <w:shd w:val="clear" w:color="auto" w:fill="auto"/>
                  <w:vAlign w:val="center"/>
                </w:tcPr>
                <w:p w14:paraId="0F14ED24">
                  <w:pPr>
                    <w:pStyle w:val="24"/>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0.00</w:t>
                  </w:r>
                  <w:r>
                    <w:rPr>
                      <w:rFonts w:hint="eastAsia" w:eastAsia="宋体" w:cs="Times New Roman"/>
                      <w:color w:val="auto"/>
                      <w:sz w:val="21"/>
                      <w:szCs w:val="21"/>
                      <w:highlight w:val="none"/>
                      <w:lang w:val="en-US" w:eastAsia="zh-CN"/>
                    </w:rPr>
                    <w:t>16</w:t>
                  </w:r>
                </w:p>
              </w:tc>
              <w:tc>
                <w:tcPr>
                  <w:tcW w:w="1172" w:type="dxa"/>
                  <w:tcBorders>
                    <w:tl2br w:val="nil"/>
                    <w:tr2bl w:val="nil"/>
                  </w:tcBorders>
                  <w:shd w:val="clear" w:color="auto" w:fill="auto"/>
                  <w:vAlign w:val="center"/>
                </w:tcPr>
                <w:p w14:paraId="7F81695D">
                  <w:pPr>
                    <w:pStyle w:val="24"/>
                    <w:spacing w:line="240" w:lineRule="auto"/>
                    <w:ind w:firstLine="0" w:firstLineChars="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0.000183</w:t>
                  </w:r>
                </w:p>
              </w:tc>
              <w:tc>
                <w:tcPr>
                  <w:tcW w:w="817" w:type="dxa"/>
                  <w:tcBorders>
                    <w:tl2br w:val="nil"/>
                    <w:tr2bl w:val="nil"/>
                  </w:tcBorders>
                  <w:shd w:val="clear" w:color="auto" w:fill="auto"/>
                  <w:vAlign w:val="center"/>
                </w:tcPr>
                <w:p w14:paraId="67A6770C">
                  <w:pPr>
                    <w:pStyle w:val="24"/>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0.183</w:t>
                  </w:r>
                </w:p>
              </w:tc>
              <w:tc>
                <w:tcPr>
                  <w:tcW w:w="478" w:type="dxa"/>
                  <w:tcBorders>
                    <w:tl2br w:val="nil"/>
                    <w:tr2bl w:val="nil"/>
                  </w:tcBorders>
                  <w:vAlign w:val="center"/>
                </w:tcPr>
                <w:p w14:paraId="6DA2E6F7">
                  <w:pPr>
                    <w:pStyle w:val="24"/>
                    <w:spacing w:line="240"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排</w:t>
                  </w:r>
                  <w:r>
                    <w:rPr>
                      <w:rFonts w:hint="eastAsia" w:ascii="Times New Roman" w:hAnsi="Times New Roman" w:eastAsia="宋体" w:cs="Times New Roman"/>
                      <w:color w:val="auto"/>
                      <w:sz w:val="21"/>
                      <w:szCs w:val="21"/>
                      <w:highlight w:val="none"/>
                      <w:lang w:val="en-US" w:eastAsia="zh-CN"/>
                    </w:rPr>
                    <w:t>气</w:t>
                  </w:r>
                  <w:r>
                    <w:rPr>
                      <w:rFonts w:hint="eastAsia" w:ascii="Times New Roman" w:hAnsi="Times New Roman" w:eastAsia="宋体" w:cs="Times New Roman"/>
                      <w:color w:val="auto"/>
                      <w:sz w:val="21"/>
                      <w:szCs w:val="21"/>
                      <w:highlight w:val="none"/>
                    </w:rPr>
                    <w:t>扇</w:t>
                  </w:r>
                </w:p>
              </w:tc>
              <w:tc>
                <w:tcPr>
                  <w:tcW w:w="478" w:type="dxa"/>
                  <w:tcBorders>
                    <w:tl2br w:val="nil"/>
                    <w:tr2bl w:val="nil"/>
                  </w:tcBorders>
                  <w:vAlign w:val="center"/>
                </w:tcPr>
                <w:p w14:paraId="38A0F3AD">
                  <w:pPr>
                    <w:pStyle w:val="24"/>
                    <w:spacing w:line="240"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无组织</w:t>
                  </w:r>
                </w:p>
              </w:tc>
            </w:tr>
          </w:tbl>
          <w:p w14:paraId="0AE6D30E">
            <w:pPr>
              <w:bidi w:val="0"/>
              <w:rPr>
                <w:rFonts w:hint="eastAsia"/>
                <w:b/>
                <w:bCs/>
                <w:color w:val="auto"/>
                <w:highlight w:val="none"/>
                <w:lang w:eastAsia="zh-CN"/>
              </w:rPr>
            </w:pPr>
            <w:r>
              <w:rPr>
                <w:rFonts w:hint="eastAsia"/>
                <w:b/>
                <w:bCs/>
                <w:color w:val="auto"/>
                <w:highlight w:val="none"/>
              </w:rPr>
              <w:t>1.2</w:t>
            </w:r>
            <w:r>
              <w:rPr>
                <w:rFonts w:hint="eastAsia"/>
                <w:b/>
                <w:bCs/>
                <w:color w:val="auto"/>
                <w:highlight w:val="none"/>
                <w:lang w:eastAsia="zh-CN"/>
              </w:rPr>
              <w:t>无组织</w:t>
            </w:r>
            <w:r>
              <w:rPr>
                <w:rFonts w:hint="eastAsia"/>
                <w:b/>
                <w:bCs/>
                <w:color w:val="auto"/>
                <w:highlight w:val="none"/>
              </w:rPr>
              <w:t>排放</w:t>
            </w:r>
            <w:r>
              <w:rPr>
                <w:rFonts w:hint="eastAsia"/>
                <w:b/>
                <w:bCs/>
                <w:color w:val="auto"/>
                <w:highlight w:val="none"/>
                <w:lang w:eastAsia="zh-CN"/>
              </w:rPr>
              <w:t>情况</w:t>
            </w:r>
          </w:p>
          <w:p w14:paraId="57611043">
            <w:pPr>
              <w:bidi w:val="0"/>
              <w:rPr>
                <w:rFonts w:hint="eastAsia"/>
                <w:color w:val="auto"/>
                <w:highlight w:val="none"/>
              </w:rPr>
            </w:pPr>
            <w:r>
              <w:rPr>
                <w:rFonts w:hint="eastAsia"/>
                <w:color w:val="auto"/>
                <w:highlight w:val="none"/>
              </w:rPr>
              <w:t>本项目无组织排放废气主要</w:t>
            </w:r>
            <w:r>
              <w:rPr>
                <w:rFonts w:hint="eastAsia"/>
                <w:color w:val="auto"/>
                <w:highlight w:val="none"/>
                <w:lang w:val="en-US" w:eastAsia="zh-CN"/>
              </w:rPr>
              <w:t>来自</w:t>
            </w:r>
            <w:r>
              <w:rPr>
                <w:rFonts w:hint="eastAsia"/>
                <w:color w:val="auto"/>
                <w:highlight w:val="none"/>
              </w:rPr>
              <w:t>贮存</w:t>
            </w:r>
            <w:r>
              <w:rPr>
                <w:rFonts w:hint="eastAsia"/>
                <w:color w:val="auto"/>
                <w:highlight w:val="none"/>
                <w:lang w:eastAsia="zh-CN"/>
              </w:rPr>
              <w:t>废液压油、废空压机油和废汽轮机油、废变压器油、废润滑油、废油漆桶、废油桶</w:t>
            </w:r>
            <w:r>
              <w:rPr>
                <w:rFonts w:hint="eastAsia"/>
                <w:color w:val="auto"/>
                <w:highlight w:val="none"/>
                <w:lang w:val="en-US" w:eastAsia="zh-CN"/>
              </w:rPr>
              <w:t>所</w:t>
            </w:r>
            <w:r>
              <w:rPr>
                <w:rFonts w:hint="eastAsia"/>
                <w:color w:val="auto"/>
                <w:highlight w:val="none"/>
              </w:rPr>
              <w:t>产生的</w:t>
            </w:r>
            <w:r>
              <w:rPr>
                <w:rFonts w:hint="eastAsia"/>
                <w:color w:val="auto"/>
                <w:highlight w:val="none"/>
                <w:lang w:val="en-US" w:eastAsia="zh-CN"/>
              </w:rPr>
              <w:t>非甲烷总烃0.0016</w:t>
            </w:r>
            <w:r>
              <w:rPr>
                <w:rFonts w:hint="eastAsia"/>
                <w:color w:val="auto"/>
                <w:highlight w:val="none"/>
              </w:rPr>
              <w:t>t/a。</w:t>
            </w:r>
          </w:p>
          <w:p w14:paraId="716040BA">
            <w:pPr>
              <w:pStyle w:val="25"/>
              <w:bidi w:val="0"/>
              <w:rPr>
                <w:color w:val="auto"/>
                <w:highlight w:val="none"/>
              </w:rPr>
            </w:pPr>
            <w:r>
              <w:rPr>
                <w:rFonts w:hint="eastAsia"/>
                <w:color w:val="auto"/>
                <w:highlight w:val="none"/>
              </w:rPr>
              <w:t>本项目</w:t>
            </w:r>
            <w:r>
              <w:rPr>
                <w:color w:val="auto"/>
                <w:highlight w:val="none"/>
              </w:rPr>
              <w:t>主要废气污染源参数一览表</w:t>
            </w:r>
            <w:r>
              <w:rPr>
                <w:rFonts w:hint="eastAsia"/>
                <w:color w:val="auto"/>
                <w:highlight w:val="none"/>
              </w:rPr>
              <w:t>（</w:t>
            </w:r>
            <w:r>
              <w:rPr>
                <w:color w:val="auto"/>
                <w:highlight w:val="none"/>
              </w:rPr>
              <w:t>矩形面源</w:t>
            </w:r>
            <w:r>
              <w:rPr>
                <w:rFonts w:hint="eastAsia"/>
                <w:color w:val="auto"/>
                <w:highlight w:val="none"/>
              </w:rPr>
              <w:t>）</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2"/>
              <w:gridCol w:w="975"/>
              <w:gridCol w:w="865"/>
              <w:gridCol w:w="829"/>
              <w:gridCol w:w="707"/>
              <w:gridCol w:w="924"/>
              <w:gridCol w:w="1489"/>
              <w:gridCol w:w="1261"/>
            </w:tblGrid>
            <w:tr w14:paraId="64749A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dxa"/>
                  <w:vMerge w:val="restart"/>
                  <w:tcBorders>
                    <w:tl2br w:val="nil"/>
                    <w:tr2bl w:val="nil"/>
                  </w:tcBorders>
                  <w:vAlign w:val="center"/>
                </w:tcPr>
                <w:p w14:paraId="32985A96">
                  <w:pPr>
                    <w:pStyle w:val="27"/>
                    <w:spacing w:line="240" w:lineRule="auto"/>
                    <w:rPr>
                      <w:rFonts w:hint="default"/>
                      <w:color w:val="auto"/>
                      <w:highlight w:val="none"/>
                    </w:rPr>
                  </w:pPr>
                  <w:r>
                    <w:rPr>
                      <w:rFonts w:hint="default" w:eastAsia="宋体"/>
                      <w:b/>
                      <w:color w:val="auto"/>
                      <w:sz w:val="21"/>
                      <w:highlight w:val="none"/>
                    </w:rPr>
                    <w:t>污染源名称</w:t>
                  </w:r>
                </w:p>
              </w:tc>
              <w:tc>
                <w:tcPr>
                  <w:tcW w:w="1797" w:type="dxa"/>
                  <w:gridSpan w:val="2"/>
                  <w:tcBorders>
                    <w:tl2br w:val="nil"/>
                    <w:tr2bl w:val="nil"/>
                  </w:tcBorders>
                  <w:vAlign w:val="center"/>
                </w:tcPr>
                <w:p w14:paraId="4455E53C">
                  <w:pPr>
                    <w:pStyle w:val="27"/>
                    <w:spacing w:line="240" w:lineRule="auto"/>
                    <w:rPr>
                      <w:rFonts w:hint="eastAsia" w:eastAsiaTheme="minorEastAsia"/>
                      <w:color w:val="auto"/>
                      <w:highlight w:val="none"/>
                      <w:lang w:val="en-US" w:eastAsia="zh-CN"/>
                    </w:rPr>
                  </w:pPr>
                  <w:r>
                    <w:rPr>
                      <w:rFonts w:hint="default" w:eastAsia="宋体"/>
                      <w:b/>
                      <w:color w:val="auto"/>
                      <w:sz w:val="21"/>
                      <w:highlight w:val="none"/>
                    </w:rPr>
                    <w:t>坐标</w:t>
                  </w:r>
                  <w:r>
                    <w:rPr>
                      <w:rFonts w:eastAsia="宋体"/>
                      <w:b/>
                      <w:color w:val="auto"/>
                      <w:sz w:val="21"/>
                      <w:highlight w:val="none"/>
                    </w:rPr>
                    <w:t>（</w:t>
                  </w:r>
                  <w:r>
                    <w:rPr>
                      <w:rFonts w:hint="default" w:eastAsia="宋体"/>
                      <w:b/>
                      <w:color w:val="auto"/>
                      <w:sz w:val="21"/>
                      <w:highlight w:val="none"/>
                    </w:rPr>
                    <w:t>°</w:t>
                  </w:r>
                  <w:r>
                    <w:rPr>
                      <w:rFonts w:hint="eastAsia" w:eastAsia="宋体"/>
                      <w:b/>
                      <w:color w:val="auto"/>
                      <w:sz w:val="21"/>
                      <w:highlight w:val="none"/>
                      <w:lang w:eastAsia="zh-CN"/>
                    </w:rPr>
                    <w:t>）</w:t>
                  </w:r>
                </w:p>
              </w:tc>
              <w:tc>
                <w:tcPr>
                  <w:tcW w:w="2402" w:type="dxa"/>
                  <w:gridSpan w:val="3"/>
                  <w:tcBorders>
                    <w:tl2br w:val="nil"/>
                    <w:tr2bl w:val="nil"/>
                  </w:tcBorders>
                  <w:vAlign w:val="center"/>
                </w:tcPr>
                <w:p w14:paraId="7CB63134">
                  <w:pPr>
                    <w:pStyle w:val="27"/>
                    <w:spacing w:line="240" w:lineRule="auto"/>
                    <w:rPr>
                      <w:rFonts w:hint="default"/>
                      <w:color w:val="auto"/>
                      <w:highlight w:val="none"/>
                    </w:rPr>
                  </w:pPr>
                  <w:r>
                    <w:rPr>
                      <w:rFonts w:hint="default" w:eastAsia="宋体"/>
                      <w:b/>
                      <w:color w:val="auto"/>
                      <w:sz w:val="21"/>
                      <w:highlight w:val="none"/>
                    </w:rPr>
                    <w:t>矩形面源</w:t>
                  </w:r>
                </w:p>
              </w:tc>
              <w:tc>
                <w:tcPr>
                  <w:tcW w:w="2685" w:type="dxa"/>
                  <w:gridSpan w:val="2"/>
                  <w:tcBorders>
                    <w:tl2br w:val="nil"/>
                    <w:tr2bl w:val="nil"/>
                  </w:tcBorders>
                  <w:vAlign w:val="center"/>
                </w:tcPr>
                <w:p w14:paraId="6252FE76">
                  <w:pPr>
                    <w:pStyle w:val="27"/>
                    <w:spacing w:line="240" w:lineRule="auto"/>
                    <w:rPr>
                      <w:rFonts w:eastAsia="宋体"/>
                      <w:b/>
                      <w:color w:val="auto"/>
                      <w:sz w:val="21"/>
                      <w:highlight w:val="none"/>
                    </w:rPr>
                  </w:pPr>
                  <w:r>
                    <w:rPr>
                      <w:rFonts w:eastAsia="宋体"/>
                      <w:b/>
                      <w:color w:val="auto"/>
                      <w:sz w:val="21"/>
                      <w:highlight w:val="none"/>
                    </w:rPr>
                    <w:t>非甲烷总烃</w:t>
                  </w:r>
                </w:p>
              </w:tc>
            </w:tr>
            <w:tr w14:paraId="4CEBF3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dxa"/>
                  <w:vMerge w:val="continue"/>
                  <w:tcBorders>
                    <w:tl2br w:val="nil"/>
                    <w:tr2bl w:val="nil"/>
                  </w:tcBorders>
                  <w:vAlign w:val="center"/>
                </w:tcPr>
                <w:p w14:paraId="368B57E2">
                  <w:pPr>
                    <w:pStyle w:val="27"/>
                    <w:spacing w:line="240" w:lineRule="auto"/>
                    <w:rPr>
                      <w:rFonts w:hint="default"/>
                      <w:color w:val="auto"/>
                      <w:highlight w:val="none"/>
                    </w:rPr>
                  </w:pPr>
                </w:p>
              </w:tc>
              <w:tc>
                <w:tcPr>
                  <w:tcW w:w="952" w:type="dxa"/>
                  <w:tcBorders>
                    <w:tl2br w:val="nil"/>
                    <w:tr2bl w:val="nil"/>
                  </w:tcBorders>
                  <w:vAlign w:val="center"/>
                </w:tcPr>
                <w:p w14:paraId="10B110F3">
                  <w:pPr>
                    <w:pStyle w:val="27"/>
                    <w:spacing w:line="240" w:lineRule="auto"/>
                    <w:rPr>
                      <w:rFonts w:hint="default" w:eastAsiaTheme="minorEastAsia"/>
                      <w:color w:val="auto"/>
                      <w:highlight w:val="none"/>
                      <w:lang w:val="en-US" w:eastAsia="zh-CN"/>
                    </w:rPr>
                  </w:pPr>
                  <w:r>
                    <w:rPr>
                      <w:rFonts w:hint="eastAsia" w:eastAsia="宋体"/>
                      <w:b/>
                      <w:color w:val="auto"/>
                      <w:sz w:val="21"/>
                      <w:highlight w:val="none"/>
                      <w:lang w:val="en-US" w:eastAsia="zh-CN"/>
                    </w:rPr>
                    <w:t>经度</w:t>
                  </w:r>
                </w:p>
              </w:tc>
              <w:tc>
                <w:tcPr>
                  <w:tcW w:w="845" w:type="dxa"/>
                  <w:tcBorders>
                    <w:tl2br w:val="nil"/>
                    <w:tr2bl w:val="nil"/>
                  </w:tcBorders>
                  <w:vAlign w:val="center"/>
                </w:tcPr>
                <w:p w14:paraId="280D717E">
                  <w:pPr>
                    <w:pStyle w:val="27"/>
                    <w:spacing w:line="240" w:lineRule="auto"/>
                    <w:rPr>
                      <w:rFonts w:hint="eastAsia" w:eastAsiaTheme="minorEastAsia"/>
                      <w:color w:val="auto"/>
                      <w:highlight w:val="none"/>
                      <w:lang w:eastAsia="zh-CN"/>
                    </w:rPr>
                  </w:pPr>
                  <w:r>
                    <w:rPr>
                      <w:rFonts w:hint="eastAsia" w:eastAsia="宋体"/>
                      <w:b/>
                      <w:color w:val="auto"/>
                      <w:sz w:val="21"/>
                      <w:highlight w:val="none"/>
                      <w:lang w:val="en-US" w:eastAsia="zh-CN"/>
                    </w:rPr>
                    <w:t>维度</w:t>
                  </w:r>
                </w:p>
              </w:tc>
              <w:tc>
                <w:tcPr>
                  <w:tcW w:w="810" w:type="dxa"/>
                  <w:tcBorders>
                    <w:tl2br w:val="nil"/>
                    <w:tr2bl w:val="nil"/>
                  </w:tcBorders>
                  <w:vAlign w:val="center"/>
                </w:tcPr>
                <w:p w14:paraId="406F9F16">
                  <w:pPr>
                    <w:pStyle w:val="27"/>
                    <w:spacing w:line="240" w:lineRule="auto"/>
                    <w:rPr>
                      <w:rFonts w:hint="default"/>
                      <w:color w:val="auto"/>
                      <w:highlight w:val="none"/>
                    </w:rPr>
                  </w:pPr>
                  <w:r>
                    <w:rPr>
                      <w:rFonts w:hint="default" w:eastAsia="宋体"/>
                      <w:b/>
                      <w:color w:val="auto"/>
                      <w:sz w:val="21"/>
                      <w:highlight w:val="none"/>
                    </w:rPr>
                    <w:t>长度</w:t>
                  </w:r>
                  <w:r>
                    <w:rPr>
                      <w:rFonts w:hint="eastAsia" w:eastAsia="宋体"/>
                      <w:b/>
                      <w:color w:val="auto"/>
                      <w:sz w:val="21"/>
                      <w:highlight w:val="none"/>
                      <w:lang w:val="en-US" w:eastAsia="zh-CN"/>
                    </w:rPr>
                    <w:t>/</w:t>
                  </w:r>
                  <w:r>
                    <w:rPr>
                      <w:rFonts w:eastAsia="宋体"/>
                      <w:b/>
                      <w:color w:val="auto"/>
                      <w:sz w:val="21"/>
                      <w:highlight w:val="none"/>
                    </w:rPr>
                    <w:t>m</w:t>
                  </w:r>
                </w:p>
              </w:tc>
              <w:tc>
                <w:tcPr>
                  <w:tcW w:w="690" w:type="dxa"/>
                  <w:tcBorders>
                    <w:tl2br w:val="nil"/>
                    <w:tr2bl w:val="nil"/>
                  </w:tcBorders>
                  <w:vAlign w:val="center"/>
                </w:tcPr>
                <w:p w14:paraId="28E36B6C">
                  <w:pPr>
                    <w:pStyle w:val="27"/>
                    <w:spacing w:line="240" w:lineRule="auto"/>
                    <w:rPr>
                      <w:rFonts w:hint="default"/>
                      <w:color w:val="auto"/>
                      <w:highlight w:val="none"/>
                    </w:rPr>
                  </w:pPr>
                  <w:r>
                    <w:rPr>
                      <w:rFonts w:hint="default" w:eastAsia="宋体"/>
                      <w:b/>
                      <w:color w:val="auto"/>
                      <w:sz w:val="21"/>
                      <w:highlight w:val="none"/>
                    </w:rPr>
                    <w:t>宽度</w:t>
                  </w:r>
                  <w:r>
                    <w:rPr>
                      <w:rFonts w:hint="eastAsia" w:eastAsia="宋体"/>
                      <w:b/>
                      <w:color w:val="auto"/>
                      <w:sz w:val="21"/>
                      <w:highlight w:val="none"/>
                      <w:lang w:val="en-US" w:eastAsia="zh-CN"/>
                    </w:rPr>
                    <w:t>/</w:t>
                  </w:r>
                  <w:r>
                    <w:rPr>
                      <w:rFonts w:eastAsia="宋体"/>
                      <w:b/>
                      <w:color w:val="auto"/>
                      <w:sz w:val="21"/>
                      <w:highlight w:val="none"/>
                    </w:rPr>
                    <w:t>m</w:t>
                  </w:r>
                </w:p>
              </w:tc>
              <w:tc>
                <w:tcPr>
                  <w:tcW w:w="902" w:type="dxa"/>
                  <w:tcBorders>
                    <w:tl2br w:val="nil"/>
                    <w:tr2bl w:val="nil"/>
                  </w:tcBorders>
                  <w:vAlign w:val="center"/>
                </w:tcPr>
                <w:p w14:paraId="29D8814A">
                  <w:pPr>
                    <w:pStyle w:val="27"/>
                    <w:spacing w:line="240" w:lineRule="auto"/>
                    <w:rPr>
                      <w:rFonts w:hint="default"/>
                      <w:color w:val="auto"/>
                      <w:highlight w:val="none"/>
                    </w:rPr>
                  </w:pPr>
                  <w:r>
                    <w:rPr>
                      <w:rFonts w:hint="default" w:eastAsia="宋体"/>
                      <w:b/>
                      <w:color w:val="auto"/>
                      <w:sz w:val="21"/>
                      <w:highlight w:val="none"/>
                    </w:rPr>
                    <w:t>有效高度</w:t>
                  </w:r>
                  <w:r>
                    <w:rPr>
                      <w:rFonts w:hint="eastAsia" w:eastAsia="宋体"/>
                      <w:b/>
                      <w:color w:val="auto"/>
                      <w:sz w:val="21"/>
                      <w:highlight w:val="none"/>
                      <w:lang w:val="en-US" w:eastAsia="zh-CN"/>
                    </w:rPr>
                    <w:t>/</w:t>
                  </w:r>
                  <w:r>
                    <w:rPr>
                      <w:rFonts w:eastAsia="宋体"/>
                      <w:b/>
                      <w:color w:val="auto"/>
                      <w:sz w:val="21"/>
                      <w:highlight w:val="none"/>
                    </w:rPr>
                    <w:t>m</w:t>
                  </w:r>
                </w:p>
              </w:tc>
              <w:tc>
                <w:tcPr>
                  <w:tcW w:w="1454" w:type="dxa"/>
                  <w:tcBorders>
                    <w:tl2br w:val="nil"/>
                    <w:tr2bl w:val="nil"/>
                  </w:tcBorders>
                  <w:vAlign w:val="center"/>
                </w:tcPr>
                <w:p w14:paraId="737D16D4">
                  <w:pPr>
                    <w:pStyle w:val="27"/>
                    <w:spacing w:line="240" w:lineRule="auto"/>
                    <w:rPr>
                      <w:rFonts w:hint="eastAsia" w:eastAsia="宋体"/>
                      <w:b/>
                      <w:color w:val="auto"/>
                      <w:sz w:val="21"/>
                      <w:highlight w:val="none"/>
                      <w:lang w:eastAsia="zh-CN"/>
                    </w:rPr>
                  </w:pPr>
                  <w:r>
                    <w:rPr>
                      <w:rFonts w:hint="default" w:eastAsia="宋体"/>
                      <w:b/>
                      <w:color w:val="auto"/>
                      <w:sz w:val="21"/>
                      <w:highlight w:val="none"/>
                    </w:rPr>
                    <w:t>污染物排放速率</w:t>
                  </w:r>
                  <w:r>
                    <w:rPr>
                      <w:rFonts w:eastAsia="宋体"/>
                      <w:b/>
                      <w:color w:val="auto"/>
                      <w:sz w:val="21"/>
                      <w:highlight w:val="none"/>
                    </w:rPr>
                    <w:t>（</w:t>
                  </w:r>
                  <w:r>
                    <w:rPr>
                      <w:rFonts w:hint="default" w:eastAsia="宋体"/>
                      <w:b/>
                      <w:color w:val="auto"/>
                      <w:sz w:val="21"/>
                      <w:highlight w:val="none"/>
                    </w:rPr>
                    <w:t>kg/h</w:t>
                  </w:r>
                  <w:r>
                    <w:rPr>
                      <w:rFonts w:hint="eastAsia" w:eastAsia="宋体"/>
                      <w:b/>
                      <w:color w:val="auto"/>
                      <w:sz w:val="21"/>
                      <w:highlight w:val="none"/>
                      <w:lang w:eastAsia="zh-CN"/>
                    </w:rPr>
                    <w:t>）</w:t>
                  </w:r>
                </w:p>
              </w:tc>
              <w:tc>
                <w:tcPr>
                  <w:tcW w:w="1231" w:type="dxa"/>
                  <w:tcBorders>
                    <w:tl2br w:val="nil"/>
                    <w:tr2bl w:val="nil"/>
                  </w:tcBorders>
                  <w:vAlign w:val="center"/>
                </w:tcPr>
                <w:p w14:paraId="5B5CEB8A">
                  <w:pPr>
                    <w:pStyle w:val="27"/>
                    <w:spacing w:line="240" w:lineRule="auto"/>
                    <w:rPr>
                      <w:rFonts w:hint="eastAsia" w:eastAsia="宋体"/>
                      <w:b/>
                      <w:color w:val="auto"/>
                      <w:sz w:val="21"/>
                      <w:highlight w:val="none"/>
                      <w:lang w:eastAsia="zh-CN"/>
                    </w:rPr>
                  </w:pPr>
                  <w:r>
                    <w:rPr>
                      <w:rFonts w:eastAsia="宋体"/>
                      <w:b/>
                      <w:color w:val="auto"/>
                      <w:sz w:val="21"/>
                      <w:highlight w:val="none"/>
                    </w:rPr>
                    <w:t>污染物排放量（t/a）</w:t>
                  </w:r>
                </w:p>
              </w:tc>
            </w:tr>
            <w:tr w14:paraId="475923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dxa"/>
                  <w:tcBorders>
                    <w:tl2br w:val="nil"/>
                    <w:tr2bl w:val="nil"/>
                  </w:tcBorders>
                  <w:vAlign w:val="center"/>
                </w:tcPr>
                <w:p w14:paraId="075BFD43">
                  <w:pPr>
                    <w:pStyle w:val="24"/>
                    <w:spacing w:line="240" w:lineRule="auto"/>
                    <w:rPr>
                      <w:rFonts w:hint="eastAsia" w:eastAsiaTheme="minorEastAsia"/>
                      <w:color w:val="auto"/>
                      <w:highlight w:val="none"/>
                      <w:lang w:eastAsia="zh-CN"/>
                    </w:rPr>
                  </w:pPr>
                  <w:r>
                    <w:rPr>
                      <w:rFonts w:hint="eastAsia"/>
                      <w:color w:val="auto"/>
                      <w:highlight w:val="none"/>
                      <w:lang w:eastAsia="zh-CN"/>
                    </w:rPr>
                    <w:t>危险废物贮存点</w:t>
                  </w:r>
                </w:p>
              </w:tc>
              <w:tc>
                <w:tcPr>
                  <w:tcW w:w="952" w:type="dxa"/>
                  <w:tcBorders>
                    <w:tl2br w:val="nil"/>
                    <w:tr2bl w:val="nil"/>
                  </w:tcBorders>
                  <w:vAlign w:val="center"/>
                </w:tcPr>
                <w:p w14:paraId="6A3A273C">
                  <w:pPr>
                    <w:pStyle w:val="24"/>
                    <w:spacing w:line="240" w:lineRule="auto"/>
                    <w:rPr>
                      <w:rFonts w:hint="eastAsia" w:eastAsiaTheme="minorEastAsia"/>
                      <w:color w:val="auto"/>
                      <w:highlight w:val="none"/>
                      <w:lang w:eastAsia="zh-CN"/>
                    </w:rPr>
                  </w:pPr>
                  <w:r>
                    <w:rPr>
                      <w:rFonts w:hint="eastAsia" w:eastAsiaTheme="minorEastAsia"/>
                      <w:color w:val="auto"/>
                      <w:highlight w:val="none"/>
                      <w:lang w:eastAsia="zh-CN"/>
                    </w:rPr>
                    <w:t>120.75582880</w:t>
                  </w:r>
                </w:p>
              </w:tc>
              <w:tc>
                <w:tcPr>
                  <w:tcW w:w="845" w:type="dxa"/>
                  <w:tcBorders>
                    <w:tl2br w:val="nil"/>
                    <w:tr2bl w:val="nil"/>
                  </w:tcBorders>
                  <w:vAlign w:val="center"/>
                </w:tcPr>
                <w:p w14:paraId="78587B9E">
                  <w:pPr>
                    <w:pStyle w:val="24"/>
                    <w:spacing w:line="240" w:lineRule="auto"/>
                    <w:rPr>
                      <w:color w:val="auto"/>
                      <w:highlight w:val="none"/>
                    </w:rPr>
                  </w:pPr>
                  <w:r>
                    <w:rPr>
                      <w:rFonts w:hint="eastAsia" w:eastAsiaTheme="minorEastAsia"/>
                      <w:color w:val="auto"/>
                      <w:highlight w:val="none"/>
                      <w:lang w:eastAsia="zh-CN"/>
                    </w:rPr>
                    <w:t>41.80211240</w:t>
                  </w:r>
                </w:p>
              </w:tc>
              <w:tc>
                <w:tcPr>
                  <w:tcW w:w="810" w:type="dxa"/>
                  <w:tcBorders>
                    <w:tl2br w:val="nil"/>
                    <w:tr2bl w:val="nil"/>
                  </w:tcBorders>
                  <w:vAlign w:val="center"/>
                </w:tcPr>
                <w:p w14:paraId="30B1A26F">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6</w:t>
                  </w:r>
                </w:p>
              </w:tc>
              <w:tc>
                <w:tcPr>
                  <w:tcW w:w="690" w:type="dxa"/>
                  <w:tcBorders>
                    <w:tl2br w:val="nil"/>
                    <w:tr2bl w:val="nil"/>
                  </w:tcBorders>
                  <w:vAlign w:val="center"/>
                </w:tcPr>
                <w:p w14:paraId="51C47EA3">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7</w:t>
                  </w:r>
                </w:p>
              </w:tc>
              <w:tc>
                <w:tcPr>
                  <w:tcW w:w="902" w:type="dxa"/>
                  <w:tcBorders>
                    <w:tl2br w:val="nil"/>
                    <w:tr2bl w:val="nil"/>
                  </w:tcBorders>
                  <w:vAlign w:val="center"/>
                </w:tcPr>
                <w:p w14:paraId="5052DCF7">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4</w:t>
                  </w:r>
                </w:p>
              </w:tc>
              <w:tc>
                <w:tcPr>
                  <w:tcW w:w="1454" w:type="dxa"/>
                  <w:tcBorders>
                    <w:tl2br w:val="nil"/>
                    <w:tr2bl w:val="nil"/>
                  </w:tcBorders>
                  <w:vAlign w:val="center"/>
                </w:tcPr>
                <w:p w14:paraId="7029462A">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0.000183</w:t>
                  </w:r>
                </w:p>
              </w:tc>
              <w:tc>
                <w:tcPr>
                  <w:tcW w:w="1231" w:type="dxa"/>
                  <w:tcBorders>
                    <w:tl2br w:val="nil"/>
                    <w:tr2bl w:val="nil"/>
                  </w:tcBorders>
                  <w:vAlign w:val="center"/>
                </w:tcPr>
                <w:p w14:paraId="28FB56F7">
                  <w:pPr>
                    <w:pStyle w:val="24"/>
                    <w:spacing w:line="240" w:lineRule="auto"/>
                    <w:rPr>
                      <w:rFonts w:hint="default" w:eastAsiaTheme="minorEastAsia"/>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0.00</w:t>
                  </w:r>
                  <w:r>
                    <w:rPr>
                      <w:rFonts w:hint="eastAsia" w:eastAsia="宋体" w:cs="Times New Roman"/>
                      <w:color w:val="auto"/>
                      <w:sz w:val="21"/>
                      <w:szCs w:val="21"/>
                      <w:highlight w:val="none"/>
                      <w:lang w:val="en-US" w:eastAsia="zh-CN"/>
                    </w:rPr>
                    <w:t>16</w:t>
                  </w:r>
                </w:p>
              </w:tc>
            </w:tr>
          </w:tbl>
          <w:p w14:paraId="78F4F2DF">
            <w:pPr>
              <w:pStyle w:val="25"/>
              <w:bidi w:val="0"/>
              <w:rPr>
                <w:color w:val="auto"/>
                <w:highlight w:val="none"/>
              </w:rPr>
            </w:pPr>
            <w:r>
              <w:rPr>
                <w:rFonts w:hint="eastAsia"/>
                <w:color w:val="auto"/>
                <w:highlight w:val="none"/>
              </w:rPr>
              <w:t>项目矩形面源参数表</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3"/>
              <w:gridCol w:w="615"/>
              <w:gridCol w:w="1349"/>
              <w:gridCol w:w="3995"/>
            </w:tblGrid>
            <w:tr w14:paraId="2EBDAA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8" w:type="pct"/>
                  <w:gridSpan w:val="3"/>
                  <w:tcBorders>
                    <w:tl2br w:val="nil"/>
                    <w:tr2bl w:val="nil"/>
                  </w:tcBorders>
                  <w:shd w:val="clear" w:color="auto" w:fill="auto"/>
                  <w:vAlign w:val="center"/>
                </w:tcPr>
                <w:p w14:paraId="3AFB5E34">
                  <w:pPr>
                    <w:pStyle w:val="27"/>
                    <w:spacing w:line="240" w:lineRule="auto"/>
                    <w:rPr>
                      <w:rFonts w:hint="default"/>
                      <w:color w:val="auto"/>
                      <w:highlight w:val="none"/>
                    </w:rPr>
                  </w:pPr>
                  <w:r>
                    <w:rPr>
                      <w:rFonts w:eastAsia="宋体"/>
                      <w:b/>
                      <w:color w:val="auto"/>
                      <w:sz w:val="21"/>
                      <w:highlight w:val="none"/>
                    </w:rPr>
                    <w:t>编号</w:t>
                  </w:r>
                </w:p>
              </w:tc>
              <w:tc>
                <w:tcPr>
                  <w:tcW w:w="2411" w:type="pct"/>
                  <w:tcBorders>
                    <w:tl2br w:val="nil"/>
                    <w:tr2bl w:val="nil"/>
                  </w:tcBorders>
                  <w:shd w:val="clear" w:color="auto" w:fill="auto"/>
                  <w:vAlign w:val="center"/>
                </w:tcPr>
                <w:p w14:paraId="079B9AF5">
                  <w:pPr>
                    <w:pStyle w:val="24"/>
                    <w:spacing w:line="240" w:lineRule="auto"/>
                    <w:rPr>
                      <w:color w:val="auto"/>
                      <w:highlight w:val="none"/>
                    </w:rPr>
                  </w:pPr>
                  <w:r>
                    <w:rPr>
                      <w:rFonts w:hint="eastAsia"/>
                      <w:color w:val="auto"/>
                      <w:highlight w:val="none"/>
                    </w:rPr>
                    <w:t>1</w:t>
                  </w:r>
                </w:p>
              </w:tc>
            </w:tr>
            <w:tr w14:paraId="791557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8" w:type="pct"/>
                  <w:gridSpan w:val="3"/>
                  <w:tcBorders>
                    <w:tl2br w:val="nil"/>
                    <w:tr2bl w:val="nil"/>
                  </w:tcBorders>
                  <w:shd w:val="clear" w:color="auto" w:fill="auto"/>
                  <w:vAlign w:val="center"/>
                </w:tcPr>
                <w:p w14:paraId="2A07773B">
                  <w:pPr>
                    <w:pStyle w:val="27"/>
                    <w:spacing w:line="240" w:lineRule="auto"/>
                    <w:rPr>
                      <w:rFonts w:hint="default"/>
                      <w:color w:val="auto"/>
                      <w:highlight w:val="none"/>
                    </w:rPr>
                  </w:pPr>
                  <w:r>
                    <w:rPr>
                      <w:rFonts w:eastAsia="宋体"/>
                      <w:b/>
                      <w:color w:val="auto"/>
                      <w:sz w:val="21"/>
                      <w:highlight w:val="none"/>
                    </w:rPr>
                    <w:t>名称</w:t>
                  </w:r>
                </w:p>
              </w:tc>
              <w:tc>
                <w:tcPr>
                  <w:tcW w:w="2411" w:type="pct"/>
                  <w:tcBorders>
                    <w:tl2br w:val="nil"/>
                    <w:tr2bl w:val="nil"/>
                  </w:tcBorders>
                  <w:shd w:val="clear" w:color="auto" w:fill="auto"/>
                  <w:vAlign w:val="center"/>
                </w:tcPr>
                <w:p w14:paraId="3EB32EB6">
                  <w:pPr>
                    <w:pStyle w:val="24"/>
                    <w:spacing w:line="240" w:lineRule="auto"/>
                    <w:rPr>
                      <w:rFonts w:hint="eastAsia" w:eastAsiaTheme="minorEastAsia"/>
                      <w:color w:val="auto"/>
                      <w:highlight w:val="none"/>
                      <w:lang w:eastAsia="zh-CN"/>
                    </w:rPr>
                  </w:pPr>
                  <w:r>
                    <w:rPr>
                      <w:rFonts w:hint="eastAsia"/>
                      <w:color w:val="auto"/>
                      <w:highlight w:val="none"/>
                      <w:lang w:eastAsia="zh-CN"/>
                    </w:rPr>
                    <w:t>危险废物贮存点</w:t>
                  </w:r>
                </w:p>
              </w:tc>
            </w:tr>
            <w:tr w14:paraId="515D29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3" w:type="pct"/>
                  <w:gridSpan w:val="2"/>
                  <w:vMerge w:val="restart"/>
                  <w:tcBorders>
                    <w:tl2br w:val="nil"/>
                    <w:tr2bl w:val="nil"/>
                  </w:tcBorders>
                  <w:shd w:val="clear" w:color="auto" w:fill="auto"/>
                  <w:vAlign w:val="center"/>
                </w:tcPr>
                <w:p w14:paraId="3861693D">
                  <w:pPr>
                    <w:pStyle w:val="27"/>
                    <w:spacing w:line="240" w:lineRule="auto"/>
                    <w:rPr>
                      <w:rFonts w:hint="eastAsia" w:eastAsiaTheme="minorEastAsia"/>
                      <w:color w:val="auto"/>
                      <w:highlight w:val="none"/>
                      <w:lang w:val="en-US" w:eastAsia="zh-CN"/>
                    </w:rPr>
                  </w:pPr>
                  <w:r>
                    <w:rPr>
                      <w:rFonts w:eastAsia="宋体"/>
                      <w:b/>
                      <w:color w:val="auto"/>
                      <w:sz w:val="21"/>
                      <w:highlight w:val="none"/>
                    </w:rPr>
                    <w:t>面源起点坐标/</w:t>
                  </w:r>
                  <w:r>
                    <w:rPr>
                      <w:rFonts w:hint="eastAsia" w:eastAsia="宋体"/>
                      <w:b/>
                      <w:color w:val="auto"/>
                      <w:sz w:val="21"/>
                      <w:highlight w:val="none"/>
                      <w:lang w:val="en-US" w:eastAsia="zh-CN"/>
                    </w:rPr>
                    <w:t>°</w:t>
                  </w:r>
                </w:p>
              </w:tc>
              <w:tc>
                <w:tcPr>
                  <w:tcW w:w="814" w:type="pct"/>
                  <w:tcBorders>
                    <w:tl2br w:val="nil"/>
                    <w:tr2bl w:val="nil"/>
                  </w:tcBorders>
                  <w:shd w:val="clear" w:color="auto" w:fill="auto"/>
                  <w:vAlign w:val="center"/>
                </w:tcPr>
                <w:p w14:paraId="1EE51889">
                  <w:pPr>
                    <w:pStyle w:val="27"/>
                    <w:spacing w:line="240" w:lineRule="auto"/>
                    <w:rPr>
                      <w:rFonts w:hint="eastAsia" w:eastAsiaTheme="minorEastAsia"/>
                      <w:color w:val="auto"/>
                      <w:highlight w:val="none"/>
                      <w:lang w:eastAsia="zh-CN"/>
                    </w:rPr>
                  </w:pPr>
                  <w:r>
                    <w:rPr>
                      <w:rFonts w:hint="eastAsia" w:eastAsia="宋体"/>
                      <w:b/>
                      <w:color w:val="auto"/>
                      <w:sz w:val="21"/>
                      <w:highlight w:val="none"/>
                      <w:lang w:val="en-US" w:eastAsia="zh-CN"/>
                    </w:rPr>
                    <w:t>经度</w:t>
                  </w:r>
                </w:p>
              </w:tc>
              <w:tc>
                <w:tcPr>
                  <w:tcW w:w="2411" w:type="pct"/>
                  <w:tcBorders>
                    <w:tl2br w:val="nil"/>
                    <w:tr2bl w:val="nil"/>
                  </w:tcBorders>
                  <w:shd w:val="clear" w:color="auto" w:fill="auto"/>
                  <w:vAlign w:val="center"/>
                </w:tcPr>
                <w:p w14:paraId="7CCB68D8">
                  <w:pPr>
                    <w:pStyle w:val="24"/>
                    <w:spacing w:line="240" w:lineRule="auto"/>
                    <w:ind w:firstLine="0" w:firstLineChars="0"/>
                    <w:rPr>
                      <w:rFonts w:ascii="Times New Roman" w:hAnsi="Times New Roman" w:cs="Times New Roman" w:eastAsiaTheme="minorEastAsia"/>
                      <w:color w:val="auto"/>
                      <w:kern w:val="2"/>
                      <w:sz w:val="21"/>
                      <w:szCs w:val="21"/>
                      <w:highlight w:val="none"/>
                      <w:lang w:val="en-US" w:eastAsia="zh-CN" w:bidi="ar-SA"/>
                    </w:rPr>
                  </w:pPr>
                  <w:r>
                    <w:rPr>
                      <w:rFonts w:hint="eastAsia" w:eastAsiaTheme="minorEastAsia"/>
                      <w:color w:val="auto"/>
                      <w:highlight w:val="none"/>
                      <w:lang w:eastAsia="zh-CN"/>
                    </w:rPr>
                    <w:t>120.75582880</w:t>
                  </w:r>
                </w:p>
              </w:tc>
            </w:tr>
            <w:tr w14:paraId="12642A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3" w:type="pct"/>
                  <w:gridSpan w:val="2"/>
                  <w:vMerge w:val="continue"/>
                  <w:tcBorders>
                    <w:tl2br w:val="nil"/>
                    <w:tr2bl w:val="nil"/>
                  </w:tcBorders>
                  <w:shd w:val="clear" w:color="auto" w:fill="auto"/>
                  <w:vAlign w:val="center"/>
                </w:tcPr>
                <w:p w14:paraId="6CD9E795">
                  <w:pPr>
                    <w:pStyle w:val="27"/>
                    <w:spacing w:line="240" w:lineRule="auto"/>
                    <w:rPr>
                      <w:rFonts w:hint="default"/>
                      <w:color w:val="auto"/>
                      <w:highlight w:val="none"/>
                    </w:rPr>
                  </w:pPr>
                </w:p>
              </w:tc>
              <w:tc>
                <w:tcPr>
                  <w:tcW w:w="814" w:type="pct"/>
                  <w:tcBorders>
                    <w:tl2br w:val="nil"/>
                    <w:tr2bl w:val="nil"/>
                  </w:tcBorders>
                  <w:shd w:val="clear" w:color="auto" w:fill="auto"/>
                  <w:vAlign w:val="center"/>
                </w:tcPr>
                <w:p w14:paraId="2436FE56">
                  <w:pPr>
                    <w:pStyle w:val="27"/>
                    <w:spacing w:line="240" w:lineRule="auto"/>
                    <w:rPr>
                      <w:rFonts w:hint="eastAsia" w:eastAsiaTheme="minorEastAsia"/>
                      <w:color w:val="auto"/>
                      <w:highlight w:val="none"/>
                      <w:lang w:eastAsia="zh-CN"/>
                    </w:rPr>
                  </w:pPr>
                  <w:r>
                    <w:rPr>
                      <w:rFonts w:hint="eastAsia" w:eastAsia="宋体"/>
                      <w:b/>
                      <w:color w:val="auto"/>
                      <w:sz w:val="21"/>
                      <w:highlight w:val="none"/>
                      <w:lang w:val="en-US" w:eastAsia="zh-CN"/>
                    </w:rPr>
                    <w:t>维度</w:t>
                  </w:r>
                </w:p>
              </w:tc>
              <w:tc>
                <w:tcPr>
                  <w:tcW w:w="2411" w:type="pct"/>
                  <w:tcBorders>
                    <w:tl2br w:val="nil"/>
                    <w:tr2bl w:val="nil"/>
                  </w:tcBorders>
                  <w:shd w:val="clear" w:color="auto" w:fill="auto"/>
                  <w:vAlign w:val="center"/>
                </w:tcPr>
                <w:p w14:paraId="09FC3899">
                  <w:pPr>
                    <w:pStyle w:val="24"/>
                    <w:spacing w:line="240" w:lineRule="auto"/>
                    <w:rPr>
                      <w:color w:val="auto"/>
                      <w:highlight w:val="none"/>
                    </w:rPr>
                  </w:pPr>
                  <w:r>
                    <w:rPr>
                      <w:rFonts w:hint="eastAsia" w:eastAsiaTheme="minorEastAsia"/>
                      <w:color w:val="auto"/>
                      <w:highlight w:val="none"/>
                      <w:lang w:eastAsia="zh-CN"/>
                    </w:rPr>
                    <w:t>41.80211240</w:t>
                  </w:r>
                </w:p>
              </w:tc>
            </w:tr>
            <w:tr w14:paraId="5F08CB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8" w:type="pct"/>
                  <w:gridSpan w:val="3"/>
                  <w:tcBorders>
                    <w:tl2br w:val="nil"/>
                    <w:tr2bl w:val="nil"/>
                  </w:tcBorders>
                  <w:shd w:val="clear" w:color="auto" w:fill="auto"/>
                  <w:vAlign w:val="center"/>
                </w:tcPr>
                <w:p w14:paraId="32F15D5C">
                  <w:pPr>
                    <w:pStyle w:val="27"/>
                    <w:spacing w:line="240" w:lineRule="auto"/>
                    <w:rPr>
                      <w:rFonts w:hint="default"/>
                      <w:color w:val="auto"/>
                      <w:highlight w:val="none"/>
                    </w:rPr>
                  </w:pPr>
                  <w:r>
                    <w:rPr>
                      <w:rFonts w:eastAsia="宋体"/>
                      <w:b/>
                      <w:color w:val="auto"/>
                      <w:sz w:val="21"/>
                      <w:highlight w:val="none"/>
                    </w:rPr>
                    <w:t>面源</w:t>
                  </w:r>
                  <w:r>
                    <w:rPr>
                      <w:rFonts w:hint="eastAsia" w:eastAsia="宋体"/>
                      <w:b/>
                      <w:color w:val="auto"/>
                      <w:sz w:val="21"/>
                      <w:highlight w:val="none"/>
                      <w:lang w:eastAsia="zh-CN"/>
                    </w:rPr>
                    <w:t>海拔</w:t>
                  </w:r>
                  <w:r>
                    <w:rPr>
                      <w:rFonts w:eastAsia="宋体"/>
                      <w:b/>
                      <w:color w:val="auto"/>
                      <w:sz w:val="21"/>
                      <w:highlight w:val="none"/>
                    </w:rPr>
                    <w:t>m</w:t>
                  </w:r>
                </w:p>
              </w:tc>
              <w:tc>
                <w:tcPr>
                  <w:tcW w:w="2411" w:type="pct"/>
                  <w:tcBorders>
                    <w:tl2br w:val="nil"/>
                    <w:tr2bl w:val="nil"/>
                  </w:tcBorders>
                  <w:shd w:val="clear" w:color="auto" w:fill="auto"/>
                  <w:vAlign w:val="center"/>
                </w:tcPr>
                <w:p w14:paraId="70457A38">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172</w:t>
                  </w:r>
                </w:p>
              </w:tc>
            </w:tr>
            <w:tr w14:paraId="7037E9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8" w:type="pct"/>
                  <w:gridSpan w:val="3"/>
                  <w:tcBorders>
                    <w:tl2br w:val="nil"/>
                    <w:tr2bl w:val="nil"/>
                  </w:tcBorders>
                  <w:shd w:val="clear" w:color="auto" w:fill="auto"/>
                  <w:vAlign w:val="center"/>
                </w:tcPr>
                <w:p w14:paraId="1F30BC94">
                  <w:pPr>
                    <w:pStyle w:val="27"/>
                    <w:spacing w:line="240" w:lineRule="auto"/>
                    <w:rPr>
                      <w:rFonts w:hint="default"/>
                      <w:color w:val="auto"/>
                      <w:highlight w:val="none"/>
                    </w:rPr>
                  </w:pPr>
                  <w:r>
                    <w:rPr>
                      <w:rFonts w:eastAsia="宋体"/>
                      <w:b/>
                      <w:color w:val="auto"/>
                      <w:sz w:val="21"/>
                      <w:highlight w:val="none"/>
                    </w:rPr>
                    <w:t>面源长度m</w:t>
                  </w:r>
                </w:p>
              </w:tc>
              <w:tc>
                <w:tcPr>
                  <w:tcW w:w="2411" w:type="pct"/>
                  <w:tcBorders>
                    <w:tl2br w:val="nil"/>
                    <w:tr2bl w:val="nil"/>
                  </w:tcBorders>
                  <w:shd w:val="clear" w:color="auto" w:fill="auto"/>
                  <w:vAlign w:val="center"/>
                </w:tcPr>
                <w:p w14:paraId="447A4D73">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6</w:t>
                  </w:r>
                </w:p>
              </w:tc>
            </w:tr>
            <w:tr w14:paraId="18652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8" w:type="pct"/>
                  <w:gridSpan w:val="3"/>
                  <w:tcBorders>
                    <w:tl2br w:val="nil"/>
                    <w:tr2bl w:val="nil"/>
                  </w:tcBorders>
                  <w:shd w:val="clear" w:color="auto" w:fill="auto"/>
                  <w:vAlign w:val="center"/>
                </w:tcPr>
                <w:p w14:paraId="1633C742">
                  <w:pPr>
                    <w:pStyle w:val="27"/>
                    <w:spacing w:line="240" w:lineRule="auto"/>
                    <w:rPr>
                      <w:rFonts w:hint="default"/>
                      <w:color w:val="auto"/>
                      <w:highlight w:val="none"/>
                    </w:rPr>
                  </w:pPr>
                  <w:r>
                    <w:rPr>
                      <w:rFonts w:eastAsia="宋体"/>
                      <w:b/>
                      <w:color w:val="auto"/>
                      <w:sz w:val="21"/>
                      <w:highlight w:val="none"/>
                    </w:rPr>
                    <w:t>面源宽度m</w:t>
                  </w:r>
                </w:p>
              </w:tc>
              <w:tc>
                <w:tcPr>
                  <w:tcW w:w="2411" w:type="pct"/>
                  <w:tcBorders>
                    <w:tl2br w:val="nil"/>
                    <w:tr2bl w:val="nil"/>
                  </w:tcBorders>
                  <w:shd w:val="clear" w:color="auto" w:fill="auto"/>
                  <w:vAlign w:val="center"/>
                </w:tcPr>
                <w:p w14:paraId="51D4669C">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7</w:t>
                  </w:r>
                </w:p>
              </w:tc>
            </w:tr>
            <w:tr w14:paraId="06FF8D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8" w:type="pct"/>
                  <w:gridSpan w:val="3"/>
                  <w:tcBorders>
                    <w:tl2br w:val="nil"/>
                    <w:tr2bl w:val="nil"/>
                  </w:tcBorders>
                  <w:shd w:val="clear" w:color="auto" w:fill="auto"/>
                  <w:vAlign w:val="center"/>
                </w:tcPr>
                <w:p w14:paraId="0152EDC1">
                  <w:pPr>
                    <w:pStyle w:val="27"/>
                    <w:spacing w:line="240" w:lineRule="auto"/>
                    <w:rPr>
                      <w:rFonts w:hint="default"/>
                      <w:color w:val="auto"/>
                      <w:highlight w:val="none"/>
                    </w:rPr>
                  </w:pPr>
                  <w:r>
                    <w:rPr>
                      <w:rFonts w:eastAsia="宋体"/>
                      <w:b/>
                      <w:color w:val="auto"/>
                      <w:sz w:val="21"/>
                      <w:highlight w:val="none"/>
                    </w:rPr>
                    <w:t>面源有效排放高度m</w:t>
                  </w:r>
                </w:p>
              </w:tc>
              <w:tc>
                <w:tcPr>
                  <w:tcW w:w="2411" w:type="pct"/>
                  <w:tcBorders>
                    <w:tl2br w:val="nil"/>
                    <w:tr2bl w:val="nil"/>
                  </w:tcBorders>
                  <w:shd w:val="clear" w:color="auto" w:fill="auto"/>
                  <w:vAlign w:val="center"/>
                </w:tcPr>
                <w:p w14:paraId="1BE60813">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4</w:t>
                  </w:r>
                </w:p>
              </w:tc>
            </w:tr>
            <w:tr w14:paraId="5D96C6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8" w:type="pct"/>
                  <w:gridSpan w:val="3"/>
                  <w:tcBorders>
                    <w:tl2br w:val="nil"/>
                    <w:tr2bl w:val="nil"/>
                  </w:tcBorders>
                  <w:shd w:val="clear" w:color="auto" w:fill="auto"/>
                  <w:vAlign w:val="center"/>
                </w:tcPr>
                <w:p w14:paraId="3439A569">
                  <w:pPr>
                    <w:pStyle w:val="27"/>
                    <w:spacing w:line="240" w:lineRule="auto"/>
                    <w:rPr>
                      <w:rFonts w:hint="default"/>
                      <w:color w:val="auto"/>
                      <w:highlight w:val="none"/>
                    </w:rPr>
                  </w:pPr>
                  <w:r>
                    <w:rPr>
                      <w:rFonts w:eastAsia="宋体"/>
                      <w:b/>
                      <w:color w:val="auto"/>
                      <w:sz w:val="21"/>
                      <w:highlight w:val="none"/>
                    </w:rPr>
                    <w:t>年排放小时数h</w:t>
                  </w:r>
                </w:p>
              </w:tc>
              <w:tc>
                <w:tcPr>
                  <w:tcW w:w="2411" w:type="pct"/>
                  <w:tcBorders>
                    <w:tl2br w:val="nil"/>
                    <w:tr2bl w:val="nil"/>
                  </w:tcBorders>
                  <w:shd w:val="clear" w:color="auto" w:fill="auto"/>
                  <w:vAlign w:val="center"/>
                </w:tcPr>
                <w:p w14:paraId="5C5FF14E">
                  <w:pPr>
                    <w:pStyle w:val="24"/>
                    <w:spacing w:line="240" w:lineRule="auto"/>
                    <w:rPr>
                      <w:color w:val="auto"/>
                      <w:highlight w:val="none"/>
                    </w:rPr>
                  </w:pPr>
                  <w:r>
                    <w:rPr>
                      <w:rFonts w:hint="eastAsia"/>
                      <w:color w:val="auto"/>
                      <w:highlight w:val="none"/>
                    </w:rPr>
                    <w:t>8760</w:t>
                  </w:r>
                </w:p>
              </w:tc>
            </w:tr>
            <w:tr w14:paraId="364AD1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8" w:type="pct"/>
                  <w:gridSpan w:val="3"/>
                  <w:tcBorders>
                    <w:tl2br w:val="nil"/>
                    <w:tr2bl w:val="nil"/>
                  </w:tcBorders>
                  <w:shd w:val="clear" w:color="auto" w:fill="auto"/>
                  <w:vAlign w:val="center"/>
                </w:tcPr>
                <w:p w14:paraId="25F3E1EB">
                  <w:pPr>
                    <w:pStyle w:val="27"/>
                    <w:spacing w:line="240" w:lineRule="auto"/>
                    <w:rPr>
                      <w:rFonts w:hint="default"/>
                      <w:color w:val="auto"/>
                      <w:highlight w:val="none"/>
                    </w:rPr>
                  </w:pPr>
                  <w:r>
                    <w:rPr>
                      <w:rFonts w:eastAsia="宋体"/>
                      <w:b/>
                      <w:color w:val="auto"/>
                      <w:sz w:val="21"/>
                      <w:highlight w:val="none"/>
                    </w:rPr>
                    <w:t>排放工况</w:t>
                  </w:r>
                </w:p>
              </w:tc>
              <w:tc>
                <w:tcPr>
                  <w:tcW w:w="2411" w:type="pct"/>
                  <w:tcBorders>
                    <w:tl2br w:val="nil"/>
                    <w:tr2bl w:val="nil"/>
                  </w:tcBorders>
                  <w:shd w:val="clear" w:color="auto" w:fill="auto"/>
                  <w:vAlign w:val="center"/>
                </w:tcPr>
                <w:p w14:paraId="31BDF0DA">
                  <w:pPr>
                    <w:pStyle w:val="24"/>
                    <w:spacing w:line="240" w:lineRule="auto"/>
                    <w:rPr>
                      <w:color w:val="auto"/>
                      <w:highlight w:val="none"/>
                    </w:rPr>
                  </w:pPr>
                  <w:r>
                    <w:rPr>
                      <w:color w:val="auto"/>
                      <w:highlight w:val="none"/>
                    </w:rPr>
                    <w:t>正常</w:t>
                  </w:r>
                </w:p>
              </w:tc>
            </w:tr>
            <w:tr w14:paraId="3204EB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2" w:type="pct"/>
                  <w:tcBorders>
                    <w:tl2br w:val="nil"/>
                    <w:tr2bl w:val="nil"/>
                  </w:tcBorders>
                  <w:shd w:val="clear" w:color="auto" w:fill="auto"/>
                  <w:vAlign w:val="center"/>
                </w:tcPr>
                <w:p w14:paraId="4B5EED4F">
                  <w:pPr>
                    <w:pStyle w:val="27"/>
                    <w:spacing w:line="240" w:lineRule="auto"/>
                    <w:rPr>
                      <w:rFonts w:hint="default"/>
                      <w:color w:val="auto"/>
                      <w:highlight w:val="none"/>
                    </w:rPr>
                  </w:pPr>
                  <w:r>
                    <w:rPr>
                      <w:rFonts w:eastAsia="宋体"/>
                      <w:b/>
                      <w:color w:val="auto"/>
                      <w:sz w:val="21"/>
                      <w:highlight w:val="none"/>
                    </w:rPr>
                    <w:t>污染物排放速率kg/h</w:t>
                  </w:r>
                </w:p>
              </w:tc>
              <w:tc>
                <w:tcPr>
                  <w:tcW w:w="1185" w:type="pct"/>
                  <w:gridSpan w:val="2"/>
                  <w:tcBorders>
                    <w:tl2br w:val="nil"/>
                    <w:tr2bl w:val="nil"/>
                  </w:tcBorders>
                  <w:shd w:val="clear" w:color="auto" w:fill="auto"/>
                  <w:vAlign w:val="center"/>
                </w:tcPr>
                <w:p w14:paraId="2308D7C6">
                  <w:pPr>
                    <w:pStyle w:val="27"/>
                    <w:spacing w:line="240" w:lineRule="auto"/>
                    <w:rPr>
                      <w:rFonts w:hint="default"/>
                      <w:color w:val="auto"/>
                      <w:highlight w:val="none"/>
                    </w:rPr>
                  </w:pPr>
                  <w:r>
                    <w:rPr>
                      <w:rFonts w:eastAsia="宋体"/>
                      <w:b/>
                      <w:color w:val="auto"/>
                      <w:sz w:val="21"/>
                      <w:highlight w:val="none"/>
                    </w:rPr>
                    <w:t>非甲烷总烃</w:t>
                  </w:r>
                </w:p>
              </w:tc>
              <w:tc>
                <w:tcPr>
                  <w:tcW w:w="2411" w:type="pct"/>
                  <w:tcBorders>
                    <w:tl2br w:val="nil"/>
                    <w:tr2bl w:val="nil"/>
                  </w:tcBorders>
                  <w:shd w:val="clear" w:color="auto" w:fill="auto"/>
                  <w:vAlign w:val="center"/>
                </w:tcPr>
                <w:p w14:paraId="797368E0">
                  <w:pPr>
                    <w:pStyle w:val="24"/>
                    <w:spacing w:line="240" w:lineRule="auto"/>
                    <w:rPr>
                      <w:color w:val="auto"/>
                      <w:highlight w:val="none"/>
                    </w:rPr>
                  </w:pPr>
                  <w:r>
                    <w:rPr>
                      <w:rFonts w:hint="eastAsia" w:ascii="Times New Roman" w:hAnsi="Times New Roman" w:eastAsia="宋体" w:cs="Times New Roman"/>
                      <w:color w:val="auto"/>
                      <w:sz w:val="21"/>
                      <w:szCs w:val="21"/>
                      <w:highlight w:val="none"/>
                    </w:rPr>
                    <w:t>0.000183</w:t>
                  </w:r>
                </w:p>
              </w:tc>
            </w:tr>
          </w:tbl>
          <w:p w14:paraId="53E01373">
            <w:pPr>
              <w:pStyle w:val="25"/>
              <w:bidi w:val="0"/>
              <w:rPr>
                <w:color w:val="auto"/>
                <w:highlight w:val="none"/>
              </w:rPr>
            </w:pPr>
            <w:r>
              <w:rPr>
                <w:rFonts w:hint="eastAsia"/>
                <w:color w:val="auto"/>
                <w:highlight w:val="none"/>
              </w:rPr>
              <w:t>本项目无组织</w:t>
            </w:r>
            <w:r>
              <w:rPr>
                <w:color w:val="auto"/>
                <w:highlight w:val="none"/>
              </w:rPr>
              <w:t>废气</w:t>
            </w:r>
            <w:r>
              <w:rPr>
                <w:rFonts w:hint="eastAsia"/>
                <w:color w:val="auto"/>
                <w:highlight w:val="none"/>
              </w:rPr>
              <w:t>预测</w:t>
            </w:r>
            <w:r>
              <w:rPr>
                <w:color w:val="auto"/>
                <w:highlight w:val="none"/>
              </w:rPr>
              <w:t>结果一览表</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4469"/>
              <w:gridCol w:w="3813"/>
            </w:tblGrid>
            <w:tr w14:paraId="7A5B6EE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698" w:type="pct"/>
                  <w:vAlign w:val="center"/>
                </w:tcPr>
                <w:p w14:paraId="155CBB72">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名称</w:t>
                  </w:r>
                </w:p>
              </w:tc>
              <w:tc>
                <w:tcPr>
                  <w:tcW w:w="2301" w:type="pct"/>
                  <w:vAlign w:val="center"/>
                </w:tcPr>
                <w:p w14:paraId="130E53EC">
                  <w:pPr>
                    <w:pStyle w:val="27"/>
                    <w:spacing w:line="240" w:lineRule="auto"/>
                    <w:rPr>
                      <w:rFonts w:hint="eastAsia" w:ascii="Times New Roman" w:hAnsi="Times New Roman" w:eastAsia="宋体" w:cs="Times New Roman"/>
                      <w:color w:val="auto"/>
                      <w:sz w:val="21"/>
                      <w:szCs w:val="21"/>
                      <w:highlight w:val="none"/>
                      <w:lang w:eastAsia="zh-CN"/>
                    </w:rPr>
                  </w:pPr>
                  <w:r>
                    <w:rPr>
                      <w:rFonts w:ascii="Times New Roman" w:hAnsi="Times New Roman" w:eastAsia="宋体" w:cs="Times New Roman"/>
                      <w:b/>
                      <w:color w:val="auto"/>
                      <w:sz w:val="21"/>
                      <w:szCs w:val="21"/>
                      <w:highlight w:val="none"/>
                    </w:rPr>
                    <w:t>非甲烷总烃</w:t>
                  </w:r>
                  <w:r>
                    <w:rPr>
                      <w:rFonts w:hint="eastAsia" w:ascii="Times New Roman" w:hAnsi="Times New Roman" w:eastAsia="宋体" w:cs="Times New Roman"/>
                      <w:b/>
                      <w:color w:val="auto"/>
                      <w:sz w:val="21"/>
                      <w:szCs w:val="21"/>
                      <w:highlight w:val="none"/>
                      <w:lang w:eastAsia="zh-CN"/>
                    </w:rPr>
                    <w:t>（</w:t>
                  </w:r>
                  <w:r>
                    <w:rPr>
                      <w:rFonts w:ascii="Times New Roman" w:hAnsi="Times New Roman" w:eastAsia="宋体" w:cs="Times New Roman"/>
                      <w:color w:val="auto"/>
                      <w:sz w:val="21"/>
                      <w:szCs w:val="21"/>
                      <w:highlight w:val="none"/>
                    </w:rPr>
                    <w:t>μg/m</w:t>
                  </w:r>
                  <w:r>
                    <w:rPr>
                      <w:rFonts w:hint="eastAsia" w:ascii="Times New Roman" w:hAnsi="Times New Roman" w:eastAsia="宋体"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vertAlign w:val="baseline"/>
                      <w:lang w:eastAsia="zh-CN"/>
                    </w:rPr>
                    <w:t>）</w:t>
                  </w:r>
                </w:p>
              </w:tc>
            </w:tr>
            <w:tr w14:paraId="26DE7E9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698" w:type="pct"/>
                  <w:vAlign w:val="center"/>
                </w:tcPr>
                <w:p w14:paraId="4E731D8D">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西厂界（μg/m</w:t>
                  </w:r>
                  <w:r>
                    <w:rPr>
                      <w:rFonts w:hint="eastAsia" w:ascii="Times New Roman" w:hAnsi="Times New Roman" w:eastAsia="宋体" w:cs="Times New Roman"/>
                      <w:b/>
                      <w:bCs/>
                      <w:color w:val="auto"/>
                      <w:sz w:val="21"/>
                      <w:szCs w:val="21"/>
                      <w:highlight w:val="none"/>
                      <w:vertAlign w:val="superscript"/>
                    </w:rPr>
                    <w:t>3</w:t>
                  </w:r>
                  <w:r>
                    <w:rPr>
                      <w:rFonts w:ascii="Times New Roman" w:hAnsi="Times New Roman" w:eastAsia="宋体" w:cs="Times New Roman"/>
                      <w:b/>
                      <w:bCs/>
                      <w:color w:val="auto"/>
                      <w:sz w:val="21"/>
                      <w:szCs w:val="21"/>
                      <w:highlight w:val="none"/>
                    </w:rPr>
                    <w:t>）</w:t>
                  </w:r>
                </w:p>
              </w:tc>
              <w:tc>
                <w:tcPr>
                  <w:tcW w:w="2301" w:type="pct"/>
                  <w:shd w:val="clear" w:color="auto" w:fill="auto"/>
                  <w:vAlign w:val="center"/>
                </w:tcPr>
                <w:p w14:paraId="2FDD0679">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0.0925</w:t>
                  </w:r>
                </w:p>
              </w:tc>
            </w:tr>
            <w:tr w14:paraId="6869715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698" w:type="pct"/>
                  <w:vAlign w:val="center"/>
                </w:tcPr>
                <w:p w14:paraId="0311EF68">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东厂界（μg/m</w:t>
                  </w:r>
                  <w:r>
                    <w:rPr>
                      <w:rFonts w:hint="eastAsia" w:ascii="Times New Roman" w:hAnsi="Times New Roman" w:eastAsia="宋体" w:cs="Times New Roman"/>
                      <w:b/>
                      <w:bCs/>
                      <w:color w:val="auto"/>
                      <w:sz w:val="21"/>
                      <w:szCs w:val="21"/>
                      <w:highlight w:val="none"/>
                      <w:vertAlign w:val="superscript"/>
                    </w:rPr>
                    <w:t>3</w:t>
                  </w:r>
                  <w:r>
                    <w:rPr>
                      <w:rFonts w:ascii="Times New Roman" w:hAnsi="Times New Roman" w:eastAsia="宋体" w:cs="Times New Roman"/>
                      <w:b/>
                      <w:bCs/>
                      <w:color w:val="auto"/>
                      <w:sz w:val="21"/>
                      <w:szCs w:val="21"/>
                      <w:highlight w:val="none"/>
                    </w:rPr>
                    <w:t>）</w:t>
                  </w:r>
                </w:p>
              </w:tc>
              <w:tc>
                <w:tcPr>
                  <w:tcW w:w="2301" w:type="pct"/>
                  <w:shd w:val="clear" w:color="auto" w:fill="auto"/>
                  <w:vAlign w:val="center"/>
                </w:tcPr>
                <w:p w14:paraId="53CE8A36">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0.0357</w:t>
                  </w:r>
                </w:p>
              </w:tc>
            </w:tr>
            <w:tr w14:paraId="4F99C64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698" w:type="pct"/>
                  <w:vAlign w:val="center"/>
                </w:tcPr>
                <w:p w14:paraId="368C1795">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北厂界（μg/m</w:t>
                  </w:r>
                  <w:r>
                    <w:rPr>
                      <w:rFonts w:hint="eastAsia" w:ascii="Times New Roman" w:hAnsi="Times New Roman" w:eastAsia="宋体" w:cs="Times New Roman"/>
                      <w:b/>
                      <w:bCs/>
                      <w:color w:val="auto"/>
                      <w:sz w:val="21"/>
                      <w:szCs w:val="21"/>
                      <w:highlight w:val="none"/>
                      <w:vertAlign w:val="superscript"/>
                    </w:rPr>
                    <w:t>3</w:t>
                  </w:r>
                  <w:r>
                    <w:rPr>
                      <w:rFonts w:ascii="Times New Roman" w:hAnsi="Times New Roman" w:eastAsia="宋体" w:cs="Times New Roman"/>
                      <w:b/>
                      <w:bCs/>
                      <w:color w:val="auto"/>
                      <w:sz w:val="21"/>
                      <w:szCs w:val="21"/>
                      <w:highlight w:val="none"/>
                    </w:rPr>
                    <w:t>）</w:t>
                  </w:r>
                </w:p>
              </w:tc>
              <w:tc>
                <w:tcPr>
                  <w:tcW w:w="2301" w:type="pct"/>
                  <w:shd w:val="clear" w:color="auto" w:fill="auto"/>
                  <w:vAlign w:val="center"/>
                </w:tcPr>
                <w:p w14:paraId="7A980EFB">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0.0393</w:t>
                  </w:r>
                </w:p>
              </w:tc>
            </w:tr>
            <w:tr w14:paraId="38634DA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698" w:type="pct"/>
                  <w:vAlign w:val="center"/>
                </w:tcPr>
                <w:p w14:paraId="328EFC68">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南厂界（μg/m</w:t>
                  </w:r>
                  <w:r>
                    <w:rPr>
                      <w:rFonts w:hint="eastAsia" w:ascii="Times New Roman" w:hAnsi="Times New Roman" w:eastAsia="宋体" w:cs="Times New Roman"/>
                      <w:b/>
                      <w:bCs/>
                      <w:color w:val="auto"/>
                      <w:sz w:val="21"/>
                      <w:szCs w:val="21"/>
                      <w:highlight w:val="none"/>
                      <w:vertAlign w:val="superscript"/>
                    </w:rPr>
                    <w:t>3</w:t>
                  </w:r>
                  <w:r>
                    <w:rPr>
                      <w:rFonts w:ascii="Times New Roman" w:hAnsi="Times New Roman" w:eastAsia="宋体" w:cs="Times New Roman"/>
                      <w:b/>
                      <w:bCs/>
                      <w:color w:val="auto"/>
                      <w:sz w:val="21"/>
                      <w:szCs w:val="21"/>
                      <w:highlight w:val="none"/>
                    </w:rPr>
                    <w:t>）</w:t>
                  </w:r>
                </w:p>
              </w:tc>
              <w:tc>
                <w:tcPr>
                  <w:tcW w:w="2301" w:type="pct"/>
                  <w:shd w:val="clear" w:color="auto" w:fill="auto"/>
                  <w:vAlign w:val="center"/>
                </w:tcPr>
                <w:p w14:paraId="0F189A99">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0.1492</w:t>
                  </w:r>
                </w:p>
              </w:tc>
            </w:tr>
            <w:tr w14:paraId="05B9EED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698" w:type="pct"/>
                  <w:vAlign w:val="center"/>
                </w:tcPr>
                <w:p w14:paraId="55B3744E">
                  <w:pPr>
                    <w:pStyle w:val="24"/>
                    <w:spacing w:line="240" w:lineRule="auto"/>
                    <w:ind w:firstLine="0" w:firstLineChars="0"/>
                    <w:rPr>
                      <w:rFonts w:hint="eastAsia" w:ascii="Times New Roman" w:hAnsi="Times New Roman" w:eastAsia="宋体" w:cs="Times New Roman"/>
                      <w:b/>
                      <w:bCs/>
                      <w:color w:val="auto"/>
                      <w:sz w:val="21"/>
                      <w:szCs w:val="21"/>
                      <w:highlight w:val="none"/>
                      <w:lang w:eastAsia="zh-CN"/>
                    </w:rPr>
                  </w:pPr>
                  <w:r>
                    <w:rPr>
                      <w:rFonts w:ascii="Times New Roman" w:hAnsi="Times New Roman" w:eastAsia="宋体" w:cs="Times New Roman"/>
                      <w:b/>
                      <w:bCs/>
                      <w:color w:val="auto"/>
                      <w:sz w:val="21"/>
                      <w:szCs w:val="21"/>
                      <w:highlight w:val="none"/>
                    </w:rPr>
                    <w:t>标准值</w:t>
                  </w:r>
                  <w:r>
                    <w:rPr>
                      <w:rFonts w:hint="eastAsia" w:eastAsia="宋体" w:cs="Times New Roman"/>
                      <w:b/>
                      <w:bCs/>
                      <w:color w:val="auto"/>
                      <w:sz w:val="21"/>
                      <w:szCs w:val="21"/>
                      <w:highlight w:val="none"/>
                      <w:lang w:eastAsia="zh-CN"/>
                    </w:rPr>
                    <w:t>（厂界）</w:t>
                  </w:r>
                </w:p>
              </w:tc>
              <w:tc>
                <w:tcPr>
                  <w:tcW w:w="2301" w:type="pct"/>
                  <w:shd w:val="clear" w:color="auto" w:fill="auto"/>
                  <w:vAlign w:val="center"/>
                </w:tcPr>
                <w:p w14:paraId="3FAFC39E">
                  <w:pPr>
                    <w:pStyle w:val="24"/>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4000</w:t>
                  </w:r>
                </w:p>
              </w:tc>
            </w:tr>
            <w:tr w14:paraId="35658E2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698" w:type="pct"/>
                  <w:vAlign w:val="center"/>
                </w:tcPr>
                <w:p w14:paraId="265F8900">
                  <w:pPr>
                    <w:pStyle w:val="24"/>
                    <w:spacing w:line="240" w:lineRule="auto"/>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lang w:eastAsia="zh-CN"/>
                    </w:rPr>
                    <w:t>厂房</w:t>
                  </w:r>
                  <w:r>
                    <w:rPr>
                      <w:rFonts w:hint="eastAsia" w:eastAsia="宋体" w:cs="Times New Roman"/>
                      <w:b/>
                      <w:bCs/>
                      <w:color w:val="auto"/>
                      <w:sz w:val="21"/>
                      <w:szCs w:val="21"/>
                      <w:highlight w:val="none"/>
                      <w:lang w:eastAsia="zh-CN"/>
                    </w:rPr>
                    <w:t>大门外</w:t>
                  </w:r>
                  <w:r>
                    <w:rPr>
                      <w:rFonts w:hint="eastAsia" w:eastAsia="宋体" w:cs="Times New Roman"/>
                      <w:b/>
                      <w:bCs/>
                      <w:color w:val="auto"/>
                      <w:sz w:val="21"/>
                      <w:szCs w:val="21"/>
                      <w:highlight w:val="none"/>
                      <w:lang w:val="en-US" w:eastAsia="zh-CN"/>
                    </w:rPr>
                    <w:t>1m</w:t>
                  </w:r>
                  <w:r>
                    <w:rPr>
                      <w:rFonts w:ascii="Times New Roman" w:hAnsi="Times New Roman" w:eastAsia="宋体" w:cs="Times New Roman"/>
                      <w:b/>
                      <w:bCs/>
                      <w:color w:val="auto"/>
                      <w:sz w:val="21"/>
                      <w:szCs w:val="21"/>
                      <w:highlight w:val="none"/>
                    </w:rPr>
                    <w:t>（μg/m</w:t>
                  </w:r>
                  <w:r>
                    <w:rPr>
                      <w:rFonts w:hint="eastAsia" w:ascii="Times New Roman" w:hAnsi="Times New Roman" w:eastAsia="宋体" w:cs="Times New Roman"/>
                      <w:b/>
                      <w:bCs/>
                      <w:color w:val="auto"/>
                      <w:sz w:val="21"/>
                      <w:szCs w:val="21"/>
                      <w:highlight w:val="none"/>
                      <w:vertAlign w:val="superscript"/>
                    </w:rPr>
                    <w:t>3</w:t>
                  </w:r>
                  <w:r>
                    <w:rPr>
                      <w:rFonts w:ascii="Times New Roman" w:hAnsi="Times New Roman" w:eastAsia="宋体" w:cs="Times New Roman"/>
                      <w:b/>
                      <w:bCs/>
                      <w:color w:val="auto"/>
                      <w:sz w:val="21"/>
                      <w:szCs w:val="21"/>
                      <w:highlight w:val="none"/>
                    </w:rPr>
                    <w:t>）</w:t>
                  </w:r>
                </w:p>
              </w:tc>
              <w:tc>
                <w:tcPr>
                  <w:tcW w:w="2301" w:type="pct"/>
                  <w:shd w:val="clear" w:color="auto" w:fill="auto"/>
                  <w:vAlign w:val="center"/>
                </w:tcPr>
                <w:p w14:paraId="199C80C2">
                  <w:pPr>
                    <w:pStyle w:val="24"/>
                    <w:spacing w:line="240" w:lineRule="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1.1510</w:t>
                  </w:r>
                </w:p>
              </w:tc>
            </w:tr>
            <w:tr w14:paraId="2B54DED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698" w:type="pct"/>
                  <w:vAlign w:val="center"/>
                </w:tcPr>
                <w:p w14:paraId="5616DA2E">
                  <w:pPr>
                    <w:pStyle w:val="24"/>
                    <w:spacing w:line="240" w:lineRule="auto"/>
                    <w:ind w:firstLine="0" w:firstLineChars="0"/>
                    <w:rPr>
                      <w:rFonts w:hint="eastAsia" w:ascii="Times New Roman" w:hAnsi="Times New Roman" w:eastAsia="宋体" w:cs="Times New Roman"/>
                      <w:b/>
                      <w:bCs/>
                      <w:color w:val="auto"/>
                      <w:sz w:val="21"/>
                      <w:szCs w:val="21"/>
                      <w:highlight w:val="none"/>
                      <w:lang w:eastAsia="zh-CN"/>
                    </w:rPr>
                  </w:pPr>
                  <w:r>
                    <w:rPr>
                      <w:rFonts w:ascii="Times New Roman" w:hAnsi="Times New Roman" w:eastAsia="宋体" w:cs="Times New Roman"/>
                      <w:b/>
                      <w:bCs/>
                      <w:color w:val="auto"/>
                      <w:sz w:val="21"/>
                      <w:szCs w:val="21"/>
                      <w:highlight w:val="none"/>
                    </w:rPr>
                    <w:t>标准值</w:t>
                  </w:r>
                  <w:r>
                    <w:rPr>
                      <w:rFonts w:hint="eastAsia" w:eastAsia="宋体" w:cs="Times New Roman"/>
                      <w:b/>
                      <w:bCs/>
                      <w:color w:val="auto"/>
                      <w:sz w:val="21"/>
                      <w:szCs w:val="21"/>
                      <w:highlight w:val="none"/>
                      <w:lang w:eastAsia="zh-CN"/>
                    </w:rPr>
                    <w:t>（厂房外监控点处1h平均浓度值）</w:t>
                  </w:r>
                </w:p>
              </w:tc>
              <w:tc>
                <w:tcPr>
                  <w:tcW w:w="2301" w:type="pct"/>
                  <w:vAlign w:val="center"/>
                </w:tcPr>
                <w:p w14:paraId="7B4B28FD">
                  <w:pPr>
                    <w:pStyle w:val="24"/>
                    <w:spacing w:line="240" w:lineRule="auto"/>
                    <w:ind w:firstLine="0" w:firstLineChars="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6000</w:t>
                  </w:r>
                </w:p>
              </w:tc>
            </w:tr>
            <w:tr w14:paraId="198C8B7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698" w:type="pct"/>
                  <w:vAlign w:val="center"/>
                </w:tcPr>
                <w:p w14:paraId="4390E61C">
                  <w:pPr>
                    <w:pStyle w:val="24"/>
                    <w:spacing w:line="240" w:lineRule="auto"/>
                    <w:ind w:firstLine="0" w:firstLineChars="0"/>
                    <w:rPr>
                      <w:rFonts w:hint="eastAsia" w:ascii="Times New Roman" w:hAnsi="Times New Roman" w:eastAsia="宋体" w:cs="Times New Roman"/>
                      <w:b/>
                      <w:bCs/>
                      <w:color w:val="auto"/>
                      <w:sz w:val="21"/>
                      <w:szCs w:val="21"/>
                      <w:highlight w:val="none"/>
                      <w:lang w:eastAsia="zh-CN"/>
                    </w:rPr>
                  </w:pPr>
                  <w:r>
                    <w:rPr>
                      <w:rFonts w:hint="eastAsia" w:eastAsia="宋体" w:cs="Times New Roman"/>
                      <w:b/>
                      <w:bCs/>
                      <w:color w:val="auto"/>
                      <w:sz w:val="21"/>
                      <w:szCs w:val="21"/>
                      <w:highlight w:val="none"/>
                      <w:lang w:eastAsia="zh-CN"/>
                    </w:rPr>
                    <w:t>标准值（厂房外监控点处任意一次浓度值）</w:t>
                  </w:r>
                </w:p>
              </w:tc>
              <w:tc>
                <w:tcPr>
                  <w:tcW w:w="2301" w:type="pct"/>
                  <w:vAlign w:val="center"/>
                </w:tcPr>
                <w:p w14:paraId="0CED6CB4">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20000</w:t>
                  </w:r>
                </w:p>
              </w:tc>
            </w:tr>
          </w:tbl>
          <w:p w14:paraId="542C6F5A">
            <w:pPr>
              <w:bidi w:val="0"/>
              <w:rPr>
                <w:rFonts w:hint="eastAsia" w:ascii="Times New Roman" w:hAnsi="Times New Roman" w:eastAsia="宋体" w:cs="Times New Roman"/>
                <w:color w:val="auto"/>
                <w:kern w:val="2"/>
                <w:sz w:val="24"/>
                <w:szCs w:val="22"/>
                <w:highlight w:val="none"/>
                <w:lang w:val="en-US" w:eastAsia="zh-CN" w:bidi="ar-SA"/>
              </w:rPr>
            </w:pPr>
            <w:r>
              <w:rPr>
                <w:rFonts w:ascii="Times New Roman" w:hAnsi="Times New Roman" w:eastAsia="宋体" w:cs="Times New Roman"/>
                <w:color w:val="auto"/>
                <w:kern w:val="2"/>
                <w:sz w:val="24"/>
                <w:szCs w:val="22"/>
                <w:highlight w:val="none"/>
                <w:lang w:val="en-US" w:eastAsia="zh-CN" w:bidi="ar-SA"/>
              </w:rPr>
              <w:t>由表可见</w:t>
            </w:r>
            <w:r>
              <w:rPr>
                <w:rFonts w:hint="eastAsia" w:ascii="Times New Roman" w:hAnsi="Times New Roman" w:eastAsia="宋体" w:cs="Times New Roman"/>
                <w:color w:val="auto"/>
                <w:kern w:val="2"/>
                <w:sz w:val="24"/>
                <w:szCs w:val="22"/>
                <w:highlight w:val="none"/>
                <w:lang w:val="en-US" w:eastAsia="zh-CN" w:bidi="ar-SA"/>
              </w:rPr>
              <w:t>，厂界外非甲烷总烃满足《大气污染物综合排放标准》（GB16297-1996），</w:t>
            </w:r>
            <w:r>
              <w:rPr>
                <w:rFonts w:ascii="Times New Roman" w:hAnsi="Times New Roman" w:eastAsia="宋体" w:cs="Times New Roman"/>
                <w:color w:val="auto"/>
                <w:kern w:val="2"/>
                <w:sz w:val="24"/>
                <w:szCs w:val="22"/>
                <w:highlight w:val="none"/>
                <w:lang w:val="en-US" w:eastAsia="zh-CN" w:bidi="ar-SA"/>
              </w:rPr>
              <w:t>无组织排放</w:t>
            </w:r>
            <w:r>
              <w:rPr>
                <w:rFonts w:hint="eastAsia" w:ascii="Times New Roman" w:hAnsi="Times New Roman" w:eastAsia="宋体" w:cs="Times New Roman"/>
                <w:color w:val="auto"/>
                <w:kern w:val="2"/>
                <w:sz w:val="24"/>
                <w:szCs w:val="22"/>
                <w:highlight w:val="none"/>
                <w:lang w:val="en-US" w:eastAsia="zh-CN" w:bidi="ar-SA"/>
              </w:rPr>
              <w:t>4.0</w:t>
            </w:r>
            <w:r>
              <w:rPr>
                <w:rFonts w:ascii="Times New Roman" w:hAnsi="Times New Roman" w:eastAsia="宋体" w:cs="Times New Roman"/>
                <w:color w:val="auto"/>
                <w:kern w:val="2"/>
                <w:sz w:val="24"/>
                <w:szCs w:val="22"/>
                <w:highlight w:val="none"/>
                <w:lang w:val="en-US" w:eastAsia="zh-CN" w:bidi="ar-SA"/>
              </w:rPr>
              <w:t>mg/m</w:t>
            </w:r>
            <w:r>
              <w:rPr>
                <w:rFonts w:ascii="Times New Roman" w:hAnsi="Times New Roman" w:eastAsia="宋体" w:cs="Times New Roman"/>
                <w:color w:val="auto"/>
                <w:kern w:val="2"/>
                <w:sz w:val="24"/>
                <w:szCs w:val="22"/>
                <w:highlight w:val="none"/>
                <w:vertAlign w:val="superscript"/>
                <w:lang w:val="en-US" w:eastAsia="zh-CN" w:bidi="ar-SA"/>
              </w:rPr>
              <w:t>3</w:t>
            </w:r>
            <w:r>
              <w:rPr>
                <w:rFonts w:ascii="Times New Roman" w:hAnsi="Times New Roman" w:eastAsia="宋体" w:cs="Times New Roman"/>
                <w:color w:val="auto"/>
                <w:kern w:val="2"/>
                <w:sz w:val="24"/>
                <w:szCs w:val="22"/>
                <w:highlight w:val="none"/>
                <w:lang w:val="en-US" w:eastAsia="zh-CN" w:bidi="ar-SA"/>
              </w:rPr>
              <w:t>标准</w:t>
            </w:r>
            <w:r>
              <w:rPr>
                <w:rFonts w:hint="eastAsia" w:ascii="Times New Roman" w:hAnsi="Times New Roman" w:eastAsia="宋体" w:cs="Times New Roman"/>
                <w:color w:val="auto"/>
                <w:kern w:val="2"/>
                <w:sz w:val="24"/>
                <w:szCs w:val="22"/>
                <w:highlight w:val="none"/>
                <w:lang w:val="en-US" w:eastAsia="zh-CN" w:bidi="ar-SA"/>
              </w:rPr>
              <w:t>；厂房外非甲烷总烃满足《挥发性有机物无组织排放控制标准》（GB 37822-2019）6.0</w:t>
            </w:r>
            <w:r>
              <w:rPr>
                <w:rFonts w:ascii="Times New Roman" w:hAnsi="Times New Roman" w:eastAsia="宋体" w:cs="Times New Roman"/>
                <w:color w:val="auto"/>
                <w:kern w:val="2"/>
                <w:sz w:val="24"/>
                <w:szCs w:val="22"/>
                <w:highlight w:val="none"/>
                <w:lang w:val="en-US" w:eastAsia="zh-CN" w:bidi="ar-SA"/>
              </w:rPr>
              <w:t>mg/m</w:t>
            </w:r>
            <w:r>
              <w:rPr>
                <w:rFonts w:ascii="Times New Roman" w:hAnsi="Times New Roman" w:eastAsia="宋体" w:cs="Times New Roman"/>
                <w:color w:val="auto"/>
                <w:kern w:val="2"/>
                <w:sz w:val="24"/>
                <w:szCs w:val="22"/>
                <w:highlight w:val="none"/>
                <w:vertAlign w:val="superscript"/>
                <w:lang w:val="en-US" w:eastAsia="zh-CN" w:bidi="ar-SA"/>
              </w:rPr>
              <w:t>3</w:t>
            </w:r>
            <w:r>
              <w:rPr>
                <w:rFonts w:hint="eastAsia" w:ascii="Times New Roman" w:hAnsi="Times New Roman" w:eastAsia="宋体" w:cs="Times New Roman"/>
                <w:color w:val="auto"/>
                <w:kern w:val="2"/>
                <w:sz w:val="24"/>
                <w:szCs w:val="22"/>
                <w:highlight w:val="none"/>
                <w:lang w:val="en-US" w:eastAsia="zh-CN" w:bidi="ar-SA"/>
              </w:rPr>
              <w:t>，监控点处1h平均浓度值；20mg/m</w:t>
            </w:r>
            <w:r>
              <w:rPr>
                <w:rFonts w:hint="eastAsia" w:ascii="Times New Roman" w:hAnsi="Times New Roman" w:eastAsia="宋体" w:cs="Times New Roman"/>
                <w:color w:val="auto"/>
                <w:kern w:val="2"/>
                <w:sz w:val="24"/>
                <w:szCs w:val="22"/>
                <w:highlight w:val="none"/>
                <w:vertAlign w:val="superscript"/>
                <w:lang w:val="en-US" w:eastAsia="zh-CN" w:bidi="ar-SA"/>
              </w:rPr>
              <w:t>3</w:t>
            </w:r>
            <w:r>
              <w:rPr>
                <w:rFonts w:hint="eastAsia" w:ascii="Times New Roman" w:hAnsi="Times New Roman" w:eastAsia="宋体" w:cs="Times New Roman"/>
                <w:color w:val="auto"/>
                <w:kern w:val="2"/>
                <w:sz w:val="24"/>
                <w:szCs w:val="22"/>
                <w:highlight w:val="none"/>
                <w:lang w:val="en-US" w:eastAsia="zh-CN" w:bidi="ar-SA"/>
              </w:rPr>
              <w:t>，监控点处任意一次浓度值。</w:t>
            </w:r>
          </w:p>
          <w:p w14:paraId="38F06D50">
            <w:pPr>
              <w:bidi w:val="0"/>
              <w:rPr>
                <w:rFonts w:hint="eastAsia" w:ascii="Times New Roman" w:hAnsi="Times New Roman" w:eastAsia="宋体" w:cs="Times New Roman"/>
                <w:color w:val="auto"/>
                <w:kern w:val="2"/>
                <w:sz w:val="24"/>
                <w:szCs w:val="22"/>
                <w:highlight w:val="none"/>
                <w:lang w:val="en-US" w:eastAsia="zh-CN" w:bidi="ar-SA"/>
              </w:rPr>
            </w:pPr>
          </w:p>
          <w:p w14:paraId="170F071F">
            <w:pPr>
              <w:bidi w:val="0"/>
              <w:rPr>
                <w:rFonts w:hint="eastAsia" w:ascii="Times New Roman" w:hAnsi="Times New Roman" w:eastAsia="宋体" w:cs="Times New Roman"/>
                <w:color w:val="auto"/>
                <w:kern w:val="2"/>
                <w:sz w:val="24"/>
                <w:szCs w:val="22"/>
                <w:highlight w:val="none"/>
                <w:lang w:val="en-US" w:eastAsia="zh-CN" w:bidi="ar-SA"/>
              </w:rPr>
            </w:pPr>
          </w:p>
          <w:p w14:paraId="6423B176">
            <w:pPr>
              <w:bidi w:val="0"/>
              <w:rPr>
                <w:rFonts w:hint="eastAsia" w:ascii="Times New Roman" w:hAnsi="Times New Roman" w:eastAsia="宋体" w:cs="Times New Roman"/>
                <w:color w:val="auto"/>
                <w:kern w:val="2"/>
                <w:sz w:val="24"/>
                <w:szCs w:val="22"/>
                <w:highlight w:val="none"/>
                <w:lang w:val="en-US" w:eastAsia="zh-CN" w:bidi="ar-SA"/>
              </w:rPr>
            </w:pPr>
          </w:p>
          <w:p w14:paraId="68402CBC">
            <w:pPr>
              <w:bidi w:val="0"/>
              <w:rPr>
                <w:rFonts w:hint="eastAsia" w:ascii="Times New Roman" w:hAnsi="Times New Roman" w:eastAsia="宋体" w:cs="Times New Roman"/>
                <w:color w:val="auto"/>
                <w:kern w:val="2"/>
                <w:sz w:val="24"/>
                <w:szCs w:val="22"/>
                <w:highlight w:val="none"/>
                <w:lang w:val="en-US" w:eastAsia="zh-CN" w:bidi="ar-SA"/>
              </w:rPr>
            </w:pPr>
          </w:p>
          <w:p w14:paraId="4A6704F4">
            <w:pPr>
              <w:bidi w:val="0"/>
              <w:rPr>
                <w:rFonts w:hint="eastAsia" w:ascii="Times New Roman" w:hAnsi="Times New Roman" w:eastAsia="宋体" w:cs="Times New Roman"/>
                <w:color w:val="auto"/>
                <w:kern w:val="2"/>
                <w:sz w:val="24"/>
                <w:szCs w:val="22"/>
                <w:highlight w:val="none"/>
                <w:lang w:val="en-US" w:eastAsia="zh-CN" w:bidi="ar-SA"/>
              </w:rPr>
            </w:pPr>
          </w:p>
          <w:p w14:paraId="595A509C">
            <w:pPr>
              <w:bidi w:val="0"/>
              <w:rPr>
                <w:rFonts w:hint="eastAsia" w:ascii="Times New Roman" w:hAnsi="Times New Roman" w:eastAsia="宋体" w:cs="Times New Roman"/>
                <w:color w:val="auto"/>
                <w:kern w:val="2"/>
                <w:sz w:val="24"/>
                <w:szCs w:val="22"/>
                <w:highlight w:val="none"/>
                <w:lang w:val="en-US" w:eastAsia="zh-CN" w:bidi="ar-SA"/>
              </w:rPr>
            </w:pPr>
          </w:p>
          <w:p w14:paraId="084D6043">
            <w:pPr>
              <w:bidi w:val="0"/>
              <w:rPr>
                <w:rFonts w:hint="eastAsia" w:ascii="Times New Roman" w:hAnsi="Times New Roman" w:eastAsia="宋体" w:cs="Times New Roman"/>
                <w:color w:val="auto"/>
                <w:kern w:val="2"/>
                <w:sz w:val="24"/>
                <w:szCs w:val="22"/>
                <w:highlight w:val="none"/>
                <w:lang w:val="en-US" w:eastAsia="zh-CN" w:bidi="ar-SA"/>
              </w:rPr>
            </w:pPr>
          </w:p>
          <w:p w14:paraId="6DF98907">
            <w:pPr>
              <w:bidi w:val="0"/>
              <w:rPr>
                <w:rFonts w:hint="eastAsia" w:ascii="Times New Roman" w:hAnsi="Times New Roman" w:eastAsia="宋体" w:cs="Times New Roman"/>
                <w:color w:val="auto"/>
                <w:kern w:val="2"/>
                <w:sz w:val="24"/>
                <w:szCs w:val="22"/>
                <w:highlight w:val="none"/>
                <w:lang w:val="en-US" w:eastAsia="zh-CN" w:bidi="ar-SA"/>
              </w:rPr>
            </w:pPr>
          </w:p>
          <w:p w14:paraId="2586322C">
            <w:pPr>
              <w:bidi w:val="0"/>
              <w:rPr>
                <w:rFonts w:hint="eastAsia" w:ascii="Times New Roman" w:hAnsi="Times New Roman" w:eastAsia="宋体" w:cs="Times New Roman"/>
                <w:color w:val="auto"/>
                <w:kern w:val="2"/>
                <w:sz w:val="24"/>
                <w:szCs w:val="22"/>
                <w:highlight w:val="none"/>
                <w:lang w:val="en-US" w:eastAsia="zh-CN" w:bidi="ar-SA"/>
              </w:rPr>
            </w:pPr>
          </w:p>
          <w:p w14:paraId="76ABBD96">
            <w:pPr>
              <w:bidi w:val="0"/>
              <w:rPr>
                <w:rFonts w:hint="eastAsia" w:ascii="Times New Roman" w:hAnsi="Times New Roman" w:eastAsia="宋体" w:cs="Times New Roman"/>
                <w:color w:val="auto"/>
                <w:kern w:val="2"/>
                <w:sz w:val="24"/>
                <w:szCs w:val="22"/>
                <w:highlight w:val="none"/>
                <w:lang w:val="en-US" w:eastAsia="zh-CN" w:bidi="ar-SA"/>
              </w:rPr>
            </w:pPr>
          </w:p>
          <w:p w14:paraId="41B841C2">
            <w:pPr>
              <w:bidi w:val="0"/>
              <w:rPr>
                <w:rFonts w:hint="eastAsia" w:ascii="Times New Roman" w:hAnsi="Times New Roman" w:eastAsia="宋体" w:cs="Times New Roman"/>
                <w:color w:val="auto"/>
                <w:kern w:val="2"/>
                <w:sz w:val="24"/>
                <w:szCs w:val="22"/>
                <w:highlight w:val="none"/>
                <w:lang w:val="en-US" w:eastAsia="zh-CN" w:bidi="ar-SA"/>
              </w:rPr>
            </w:pPr>
          </w:p>
          <w:p w14:paraId="0A1A19AD">
            <w:pPr>
              <w:bidi w:val="0"/>
              <w:rPr>
                <w:rFonts w:hint="eastAsia" w:ascii="Times New Roman" w:hAnsi="Times New Roman" w:eastAsia="宋体" w:cs="Times New Roman"/>
                <w:color w:val="auto"/>
                <w:kern w:val="2"/>
                <w:sz w:val="24"/>
                <w:szCs w:val="22"/>
                <w:highlight w:val="none"/>
                <w:lang w:val="en-US" w:eastAsia="zh-CN" w:bidi="ar-SA"/>
              </w:rPr>
            </w:pPr>
          </w:p>
          <w:p w14:paraId="475FC0CE">
            <w:pPr>
              <w:bidi w:val="0"/>
              <w:rPr>
                <w:rFonts w:hint="eastAsia" w:ascii="Times New Roman" w:hAnsi="Times New Roman" w:eastAsia="宋体" w:cs="Times New Roman"/>
                <w:color w:val="auto"/>
                <w:kern w:val="2"/>
                <w:sz w:val="24"/>
                <w:szCs w:val="22"/>
                <w:highlight w:val="none"/>
                <w:lang w:val="en-US" w:eastAsia="zh-CN" w:bidi="ar-SA"/>
              </w:rPr>
            </w:pPr>
          </w:p>
          <w:p w14:paraId="55E87F10">
            <w:pPr>
              <w:bidi w:val="0"/>
              <w:rPr>
                <w:rFonts w:hint="eastAsia" w:ascii="Times New Roman" w:hAnsi="Times New Roman" w:eastAsia="宋体" w:cs="Times New Roman"/>
                <w:color w:val="auto"/>
                <w:kern w:val="2"/>
                <w:sz w:val="24"/>
                <w:szCs w:val="22"/>
                <w:highlight w:val="none"/>
                <w:lang w:val="en-US" w:eastAsia="zh-CN" w:bidi="ar-SA"/>
              </w:rPr>
            </w:pPr>
          </w:p>
          <w:p w14:paraId="48B25D74">
            <w:pPr>
              <w:bidi w:val="0"/>
              <w:rPr>
                <w:rFonts w:hint="eastAsia" w:ascii="Times New Roman" w:hAnsi="Times New Roman" w:eastAsia="宋体" w:cs="Times New Roman"/>
                <w:color w:val="auto"/>
                <w:kern w:val="2"/>
                <w:sz w:val="24"/>
                <w:szCs w:val="22"/>
                <w:highlight w:val="none"/>
                <w:lang w:val="en-US" w:eastAsia="zh-CN" w:bidi="ar-SA"/>
              </w:rPr>
            </w:pPr>
          </w:p>
          <w:p w14:paraId="5ACA1183">
            <w:pPr>
              <w:bidi w:val="0"/>
              <w:rPr>
                <w:rFonts w:hint="eastAsia" w:ascii="Times New Roman" w:hAnsi="Times New Roman" w:eastAsia="宋体" w:cs="Times New Roman"/>
                <w:color w:val="auto"/>
                <w:kern w:val="2"/>
                <w:sz w:val="24"/>
                <w:szCs w:val="22"/>
                <w:highlight w:val="none"/>
                <w:lang w:val="en-US" w:eastAsia="zh-CN" w:bidi="ar-SA"/>
              </w:rPr>
            </w:pPr>
          </w:p>
          <w:p w14:paraId="7268B9D3">
            <w:pPr>
              <w:bidi w:val="0"/>
              <w:rPr>
                <w:rFonts w:hint="eastAsia" w:ascii="Times New Roman" w:hAnsi="Times New Roman" w:eastAsia="宋体" w:cs="Times New Roman"/>
                <w:color w:val="auto"/>
                <w:kern w:val="2"/>
                <w:sz w:val="24"/>
                <w:szCs w:val="22"/>
                <w:highlight w:val="none"/>
                <w:lang w:val="en-US" w:eastAsia="zh-CN" w:bidi="ar-SA"/>
              </w:rPr>
            </w:pPr>
          </w:p>
          <w:p w14:paraId="548DB670">
            <w:pPr>
              <w:bidi w:val="0"/>
              <w:ind w:left="0" w:leftChars="0" w:firstLine="0" w:firstLineChars="0"/>
              <w:rPr>
                <w:rFonts w:hint="eastAsia" w:ascii="Times New Roman" w:hAnsi="Times New Roman" w:eastAsia="宋体" w:cs="Times New Roman"/>
                <w:color w:val="auto"/>
                <w:kern w:val="2"/>
                <w:sz w:val="24"/>
                <w:szCs w:val="22"/>
                <w:highlight w:val="none"/>
                <w:lang w:val="en-US" w:eastAsia="zh-CN" w:bidi="ar-SA"/>
              </w:rPr>
            </w:pPr>
          </w:p>
        </w:tc>
      </w:tr>
    </w:tbl>
    <w:p w14:paraId="023C86DA">
      <w:pPr>
        <w:keepNext w:val="0"/>
        <w:keepLines w:val="0"/>
        <w:pageBreakBefore w:val="0"/>
        <w:kinsoku/>
        <w:wordWrap/>
        <w:overflowPunct/>
        <w:autoSpaceDE/>
        <w:autoSpaceDN/>
        <w:bidi w:val="0"/>
        <w:adjustRightInd w:val="0"/>
        <w:snapToGrid w:val="0"/>
        <w:spacing w:line="240" w:lineRule="auto"/>
        <w:ind w:firstLine="0" w:firstLineChars="0"/>
        <w:jc w:val="both"/>
        <w:rPr>
          <w:rFonts w:ascii="宋体" w:cs="宋体"/>
          <w:b/>
          <w:color w:val="auto"/>
          <w:kern w:val="0"/>
          <w:sz w:val="28"/>
          <w:szCs w:val="28"/>
          <w:highlight w:val="none"/>
        </w:rPr>
        <w:sectPr>
          <w:pgSz w:w="11907" w:h="16840"/>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p>
    <w:tbl>
      <w:tblPr>
        <w:tblStyle w:val="16"/>
        <w:tblW w:w="1377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98"/>
        <w:gridCol w:w="13478"/>
      </w:tblGrid>
      <w:tr w14:paraId="7B33F5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73" w:hRule="atLeast"/>
          <w:jc w:val="center"/>
        </w:trPr>
        <w:tc>
          <w:tcPr>
            <w:tcW w:w="298" w:type="dxa"/>
            <w:tcMar>
              <w:left w:w="28" w:type="dxa"/>
              <w:right w:w="28" w:type="dxa"/>
            </w:tcMar>
            <w:vAlign w:val="center"/>
          </w:tcPr>
          <w:p w14:paraId="6F6C77BE">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运营</w:t>
            </w:r>
          </w:p>
          <w:p w14:paraId="2F3AA4A4">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期环</w:t>
            </w:r>
          </w:p>
          <w:p w14:paraId="77CB01B7">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境影</w:t>
            </w:r>
          </w:p>
          <w:p w14:paraId="420DB707">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响和</w:t>
            </w:r>
          </w:p>
          <w:p w14:paraId="2333509A">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保护</w:t>
            </w:r>
          </w:p>
          <w:p w14:paraId="02A7DB3F">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Cs/>
                <w:color w:val="auto"/>
                <w:szCs w:val="21"/>
                <w:highlight w:val="none"/>
              </w:rPr>
            </w:pPr>
            <w:r>
              <w:rPr>
                <w:rFonts w:hint="eastAsia" w:ascii="宋体" w:hAnsi="宋体" w:cs="宋体"/>
                <w:b/>
                <w:bCs w:val="0"/>
                <w:color w:val="auto"/>
                <w:szCs w:val="21"/>
                <w:highlight w:val="none"/>
              </w:rPr>
              <w:t>措施</w:t>
            </w:r>
          </w:p>
        </w:tc>
        <w:tc>
          <w:tcPr>
            <w:tcW w:w="13478" w:type="dxa"/>
            <w:vAlign w:val="center"/>
          </w:tcPr>
          <w:p w14:paraId="7C92B54F">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1.3</w:t>
            </w:r>
            <w:r>
              <w:rPr>
                <w:rFonts w:hint="eastAsia" w:eastAsia="宋体" w:cs="Times New Roman"/>
                <w:b/>
                <w:bCs/>
                <w:color w:val="auto"/>
                <w:sz w:val="24"/>
                <w:szCs w:val="24"/>
                <w:highlight w:val="none"/>
                <w:lang w:eastAsia="zh-CN"/>
              </w:rPr>
              <w:t>废气</w:t>
            </w:r>
            <w:r>
              <w:rPr>
                <w:rFonts w:hint="eastAsia" w:ascii="Times New Roman" w:hAnsi="Times New Roman" w:eastAsia="Times New Roman" w:cs="Times New Roman"/>
                <w:b/>
                <w:bCs/>
                <w:color w:val="auto"/>
                <w:sz w:val="24"/>
                <w:szCs w:val="24"/>
                <w:highlight w:val="none"/>
              </w:rPr>
              <w:t>污染物排放情况</w:t>
            </w:r>
          </w:p>
          <w:p w14:paraId="23428519">
            <w:pPr>
              <w:pStyle w:val="25"/>
              <w:bidi w:val="0"/>
              <w:rPr>
                <w:color w:val="auto"/>
                <w:highlight w:val="none"/>
              </w:rPr>
            </w:pPr>
            <w:r>
              <w:rPr>
                <w:rFonts w:hint="eastAsia"/>
                <w:color w:val="auto"/>
                <w:highlight w:val="none"/>
              </w:rPr>
              <w:t>污染物产排情况表</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7"/>
              <w:gridCol w:w="689"/>
              <w:gridCol w:w="835"/>
              <w:gridCol w:w="1060"/>
              <w:gridCol w:w="1155"/>
              <w:gridCol w:w="368"/>
              <w:gridCol w:w="1187"/>
              <w:gridCol w:w="1004"/>
              <w:gridCol w:w="946"/>
              <w:gridCol w:w="1124"/>
              <w:gridCol w:w="1142"/>
              <w:gridCol w:w="1129"/>
              <w:gridCol w:w="1145"/>
              <w:gridCol w:w="798"/>
            </w:tblGrid>
            <w:tr w14:paraId="27A443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2" w:type="pct"/>
                  <w:vMerge w:val="restart"/>
                  <w:vAlign w:val="center"/>
                </w:tcPr>
                <w:p w14:paraId="49F8E221">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产污环节</w:t>
                  </w:r>
                </w:p>
              </w:tc>
              <w:tc>
                <w:tcPr>
                  <w:tcW w:w="260" w:type="pct"/>
                  <w:vMerge w:val="restart"/>
                  <w:vAlign w:val="center"/>
                </w:tcPr>
                <w:p w14:paraId="6C07E1DB">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污染物种类</w:t>
                  </w:r>
                </w:p>
              </w:tc>
              <w:tc>
                <w:tcPr>
                  <w:tcW w:w="315" w:type="pct"/>
                  <w:vMerge w:val="restart"/>
                  <w:vAlign w:val="center"/>
                </w:tcPr>
                <w:p w14:paraId="05706E8C">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污染物产生量（t/a）</w:t>
                  </w:r>
                </w:p>
              </w:tc>
              <w:tc>
                <w:tcPr>
                  <w:tcW w:w="400" w:type="pct"/>
                  <w:vMerge w:val="restart"/>
                  <w:vAlign w:val="center"/>
                </w:tcPr>
                <w:p w14:paraId="454D9832">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污染物产生速率（kg/h）</w:t>
                  </w:r>
                </w:p>
              </w:tc>
              <w:tc>
                <w:tcPr>
                  <w:tcW w:w="436" w:type="pct"/>
                  <w:vMerge w:val="restart"/>
                  <w:vAlign w:val="center"/>
                </w:tcPr>
                <w:p w14:paraId="4CD49DDD">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污染物产生浓度（mg/m</w:t>
                  </w:r>
                  <w:r>
                    <w:rPr>
                      <w:rFonts w:ascii="Times New Roman" w:hAnsi="Times New Roman" w:eastAsia="宋体" w:cs="Times New Roman"/>
                      <w:b/>
                      <w:color w:val="auto"/>
                      <w:sz w:val="21"/>
                      <w:szCs w:val="21"/>
                      <w:highlight w:val="none"/>
                      <w:vertAlign w:val="superscript"/>
                    </w:rPr>
                    <w:t>3</w:t>
                  </w:r>
                  <w:r>
                    <w:rPr>
                      <w:rFonts w:ascii="Times New Roman" w:hAnsi="Times New Roman" w:eastAsia="宋体" w:cs="Times New Roman"/>
                      <w:b/>
                      <w:color w:val="auto"/>
                      <w:sz w:val="21"/>
                      <w:szCs w:val="21"/>
                      <w:highlight w:val="none"/>
                    </w:rPr>
                    <w:t>）</w:t>
                  </w:r>
                </w:p>
              </w:tc>
              <w:tc>
                <w:tcPr>
                  <w:tcW w:w="139" w:type="pct"/>
                  <w:vMerge w:val="restart"/>
                  <w:vAlign w:val="center"/>
                </w:tcPr>
                <w:p w14:paraId="13B9101D">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排放形式</w:t>
                  </w:r>
                </w:p>
              </w:tc>
              <w:tc>
                <w:tcPr>
                  <w:tcW w:w="1608" w:type="pct"/>
                  <w:gridSpan w:val="4"/>
                  <w:vAlign w:val="center"/>
                </w:tcPr>
                <w:p w14:paraId="3DABE06F">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治理设施</w:t>
                  </w:r>
                </w:p>
              </w:tc>
              <w:tc>
                <w:tcPr>
                  <w:tcW w:w="1135" w:type="dxa"/>
                  <w:vMerge w:val="restart"/>
                  <w:vAlign w:val="center"/>
                </w:tcPr>
                <w:p w14:paraId="4463BB6E">
                  <w:pPr>
                    <w:pStyle w:val="27"/>
                    <w:spacing w:line="240" w:lineRule="auto"/>
                    <w:ind w:firstLine="0" w:firstLineChars="0"/>
                    <w:rPr>
                      <w:rFonts w:ascii="Times New Roman" w:hAnsi="Times New Roman" w:eastAsia="宋体" w:cs="Times New Roman"/>
                      <w:b/>
                      <w:color w:val="auto"/>
                      <w:sz w:val="21"/>
                      <w:szCs w:val="21"/>
                      <w:highlight w:val="none"/>
                    </w:rPr>
                  </w:pPr>
                  <w:r>
                    <w:rPr>
                      <w:rFonts w:ascii="Times New Roman" w:hAnsi="Times New Roman" w:eastAsia="宋体" w:cs="Times New Roman"/>
                      <w:b/>
                      <w:color w:val="auto"/>
                      <w:sz w:val="21"/>
                      <w:szCs w:val="21"/>
                      <w:highlight w:val="none"/>
                    </w:rPr>
                    <w:t>污染物排放量（t/a）</w:t>
                  </w:r>
                </w:p>
              </w:tc>
              <w:tc>
                <w:tcPr>
                  <w:tcW w:w="426" w:type="pct"/>
                  <w:vMerge w:val="restart"/>
                  <w:vAlign w:val="center"/>
                </w:tcPr>
                <w:p w14:paraId="05CDC923">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污染物排放速率（kg/h）</w:t>
                  </w:r>
                </w:p>
              </w:tc>
              <w:tc>
                <w:tcPr>
                  <w:tcW w:w="432" w:type="pct"/>
                  <w:vMerge w:val="restart"/>
                  <w:vAlign w:val="center"/>
                </w:tcPr>
                <w:p w14:paraId="42A9E9C7">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污染物排放浓度（mg/m</w:t>
                  </w:r>
                  <w:r>
                    <w:rPr>
                      <w:rFonts w:ascii="Times New Roman" w:hAnsi="Times New Roman" w:eastAsia="宋体" w:cs="Times New Roman"/>
                      <w:b/>
                      <w:color w:val="auto"/>
                      <w:sz w:val="21"/>
                      <w:szCs w:val="21"/>
                      <w:highlight w:val="none"/>
                      <w:vertAlign w:val="superscript"/>
                    </w:rPr>
                    <w:t>3</w:t>
                  </w:r>
                  <w:r>
                    <w:rPr>
                      <w:rFonts w:ascii="Times New Roman" w:hAnsi="Times New Roman" w:eastAsia="宋体" w:cs="Times New Roman"/>
                      <w:b/>
                      <w:color w:val="auto"/>
                      <w:sz w:val="21"/>
                      <w:szCs w:val="21"/>
                      <w:highlight w:val="none"/>
                    </w:rPr>
                    <w:t>）</w:t>
                  </w:r>
                </w:p>
              </w:tc>
              <w:tc>
                <w:tcPr>
                  <w:tcW w:w="301" w:type="pct"/>
                  <w:vMerge w:val="restart"/>
                  <w:vAlign w:val="center"/>
                </w:tcPr>
                <w:p w14:paraId="7019C4EA">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排放口编号</w:t>
                  </w:r>
                </w:p>
              </w:tc>
            </w:tr>
            <w:tr w14:paraId="39CDA5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2" w:type="pct"/>
                  <w:vMerge w:val="continue"/>
                  <w:vAlign w:val="center"/>
                </w:tcPr>
                <w:p w14:paraId="63B53DB9">
                  <w:pPr>
                    <w:pStyle w:val="24"/>
                    <w:spacing w:line="240" w:lineRule="auto"/>
                    <w:rPr>
                      <w:rFonts w:ascii="Times New Roman" w:hAnsi="Times New Roman" w:eastAsia="宋体" w:cs="Times New Roman"/>
                      <w:color w:val="auto"/>
                      <w:sz w:val="21"/>
                      <w:szCs w:val="21"/>
                      <w:highlight w:val="none"/>
                    </w:rPr>
                  </w:pPr>
                </w:p>
              </w:tc>
              <w:tc>
                <w:tcPr>
                  <w:tcW w:w="260" w:type="pct"/>
                  <w:vMerge w:val="continue"/>
                  <w:vAlign w:val="center"/>
                </w:tcPr>
                <w:p w14:paraId="3B0DE0FC">
                  <w:pPr>
                    <w:pStyle w:val="24"/>
                    <w:spacing w:line="240" w:lineRule="auto"/>
                    <w:rPr>
                      <w:rFonts w:ascii="Times New Roman" w:hAnsi="Times New Roman" w:eastAsia="宋体" w:cs="Times New Roman"/>
                      <w:color w:val="auto"/>
                      <w:sz w:val="21"/>
                      <w:szCs w:val="21"/>
                      <w:highlight w:val="none"/>
                    </w:rPr>
                  </w:pPr>
                </w:p>
              </w:tc>
              <w:tc>
                <w:tcPr>
                  <w:tcW w:w="315" w:type="pct"/>
                  <w:vMerge w:val="continue"/>
                  <w:vAlign w:val="center"/>
                </w:tcPr>
                <w:p w14:paraId="1E7D0A47">
                  <w:pPr>
                    <w:pStyle w:val="24"/>
                    <w:spacing w:line="240" w:lineRule="auto"/>
                    <w:rPr>
                      <w:rFonts w:ascii="Times New Roman" w:hAnsi="Times New Roman" w:eastAsia="宋体" w:cs="Times New Roman"/>
                      <w:color w:val="auto"/>
                      <w:sz w:val="21"/>
                      <w:szCs w:val="21"/>
                      <w:highlight w:val="none"/>
                    </w:rPr>
                  </w:pPr>
                </w:p>
              </w:tc>
              <w:tc>
                <w:tcPr>
                  <w:tcW w:w="400" w:type="pct"/>
                  <w:vMerge w:val="continue"/>
                  <w:vAlign w:val="center"/>
                </w:tcPr>
                <w:p w14:paraId="3DFFFA65">
                  <w:pPr>
                    <w:pStyle w:val="24"/>
                    <w:spacing w:line="240" w:lineRule="auto"/>
                    <w:rPr>
                      <w:rFonts w:ascii="Times New Roman" w:hAnsi="Times New Roman" w:eastAsia="宋体" w:cs="Times New Roman"/>
                      <w:color w:val="auto"/>
                      <w:sz w:val="21"/>
                      <w:szCs w:val="21"/>
                      <w:highlight w:val="none"/>
                    </w:rPr>
                  </w:pPr>
                </w:p>
              </w:tc>
              <w:tc>
                <w:tcPr>
                  <w:tcW w:w="436" w:type="pct"/>
                  <w:vMerge w:val="continue"/>
                  <w:vAlign w:val="center"/>
                </w:tcPr>
                <w:p w14:paraId="2035BBCD">
                  <w:pPr>
                    <w:pStyle w:val="24"/>
                    <w:spacing w:line="240" w:lineRule="auto"/>
                    <w:rPr>
                      <w:rFonts w:ascii="Times New Roman" w:hAnsi="Times New Roman" w:eastAsia="宋体" w:cs="Times New Roman"/>
                      <w:color w:val="auto"/>
                      <w:sz w:val="21"/>
                      <w:szCs w:val="21"/>
                      <w:highlight w:val="none"/>
                    </w:rPr>
                  </w:pPr>
                </w:p>
              </w:tc>
              <w:tc>
                <w:tcPr>
                  <w:tcW w:w="139" w:type="pct"/>
                  <w:vMerge w:val="continue"/>
                  <w:vAlign w:val="center"/>
                </w:tcPr>
                <w:p w14:paraId="48726969">
                  <w:pPr>
                    <w:pStyle w:val="24"/>
                    <w:spacing w:line="240" w:lineRule="auto"/>
                    <w:rPr>
                      <w:rFonts w:ascii="Times New Roman" w:hAnsi="Times New Roman" w:eastAsia="宋体" w:cs="Times New Roman"/>
                      <w:color w:val="auto"/>
                      <w:sz w:val="21"/>
                      <w:szCs w:val="21"/>
                      <w:highlight w:val="none"/>
                    </w:rPr>
                  </w:pPr>
                </w:p>
              </w:tc>
              <w:tc>
                <w:tcPr>
                  <w:tcW w:w="448" w:type="pct"/>
                  <w:vAlign w:val="center"/>
                </w:tcPr>
                <w:p w14:paraId="6842B4FD">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治理措施</w:t>
                  </w:r>
                </w:p>
              </w:tc>
              <w:tc>
                <w:tcPr>
                  <w:tcW w:w="379" w:type="pct"/>
                  <w:vAlign w:val="center"/>
                </w:tcPr>
                <w:p w14:paraId="62263190">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收集效率（%）</w:t>
                  </w:r>
                </w:p>
              </w:tc>
              <w:tc>
                <w:tcPr>
                  <w:tcW w:w="357" w:type="pct"/>
                  <w:vAlign w:val="center"/>
                </w:tcPr>
                <w:p w14:paraId="6E48517A">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治理工艺去除率（%）</w:t>
                  </w:r>
                </w:p>
              </w:tc>
              <w:tc>
                <w:tcPr>
                  <w:tcW w:w="422" w:type="pct"/>
                  <w:vAlign w:val="center"/>
                </w:tcPr>
                <w:p w14:paraId="676AB24C">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是否为可行技术</w:t>
                  </w:r>
                </w:p>
              </w:tc>
              <w:tc>
                <w:tcPr>
                  <w:tcW w:w="426" w:type="pct"/>
                  <w:vMerge w:val="continue"/>
                  <w:vAlign w:val="center"/>
                </w:tcPr>
                <w:p w14:paraId="633C3DAD">
                  <w:pPr>
                    <w:pStyle w:val="27"/>
                    <w:spacing w:line="240" w:lineRule="auto"/>
                    <w:rPr>
                      <w:rFonts w:ascii="Times New Roman" w:hAnsi="Times New Roman" w:eastAsia="宋体" w:cs="Times New Roman"/>
                      <w:b/>
                      <w:color w:val="auto"/>
                      <w:sz w:val="21"/>
                      <w:szCs w:val="21"/>
                      <w:highlight w:val="none"/>
                    </w:rPr>
                  </w:pPr>
                </w:p>
              </w:tc>
              <w:tc>
                <w:tcPr>
                  <w:tcW w:w="426" w:type="pct"/>
                  <w:vMerge w:val="continue"/>
                  <w:vAlign w:val="center"/>
                </w:tcPr>
                <w:p w14:paraId="6E89EFE0">
                  <w:pPr>
                    <w:pStyle w:val="27"/>
                    <w:spacing w:line="240" w:lineRule="auto"/>
                    <w:rPr>
                      <w:rFonts w:hint="default" w:ascii="Times New Roman" w:hAnsi="Times New Roman" w:eastAsia="宋体" w:cs="Times New Roman"/>
                      <w:color w:val="auto"/>
                      <w:sz w:val="21"/>
                      <w:szCs w:val="21"/>
                      <w:highlight w:val="none"/>
                    </w:rPr>
                  </w:pPr>
                </w:p>
              </w:tc>
              <w:tc>
                <w:tcPr>
                  <w:tcW w:w="432" w:type="pct"/>
                  <w:vMerge w:val="continue"/>
                  <w:vAlign w:val="center"/>
                </w:tcPr>
                <w:p w14:paraId="57C737C9">
                  <w:pPr>
                    <w:pStyle w:val="27"/>
                    <w:spacing w:line="240" w:lineRule="auto"/>
                    <w:rPr>
                      <w:rFonts w:hint="default" w:ascii="Times New Roman" w:hAnsi="Times New Roman" w:eastAsia="宋体" w:cs="Times New Roman"/>
                      <w:color w:val="auto"/>
                      <w:sz w:val="21"/>
                      <w:szCs w:val="21"/>
                      <w:highlight w:val="none"/>
                    </w:rPr>
                  </w:pPr>
                </w:p>
              </w:tc>
              <w:tc>
                <w:tcPr>
                  <w:tcW w:w="301" w:type="pct"/>
                  <w:vMerge w:val="continue"/>
                  <w:vAlign w:val="center"/>
                </w:tcPr>
                <w:p w14:paraId="6437553B">
                  <w:pPr>
                    <w:pStyle w:val="27"/>
                    <w:spacing w:line="240" w:lineRule="auto"/>
                    <w:rPr>
                      <w:rFonts w:hint="default" w:ascii="Times New Roman" w:hAnsi="Times New Roman" w:eastAsia="宋体" w:cs="Times New Roman"/>
                      <w:color w:val="auto"/>
                      <w:sz w:val="21"/>
                      <w:szCs w:val="21"/>
                      <w:highlight w:val="none"/>
                    </w:rPr>
                  </w:pPr>
                </w:p>
              </w:tc>
            </w:tr>
            <w:tr w14:paraId="42EB49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2" w:type="pct"/>
                  <w:vAlign w:val="center"/>
                </w:tcPr>
                <w:p w14:paraId="214E5820">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eastAsia="zh-CN"/>
                    </w:rPr>
                    <w:t>危险废物贮存点</w:t>
                  </w:r>
                </w:p>
              </w:tc>
              <w:tc>
                <w:tcPr>
                  <w:tcW w:w="260" w:type="pct"/>
                  <w:vAlign w:val="center"/>
                </w:tcPr>
                <w:p w14:paraId="55978DF4">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非甲烷总烃</w:t>
                  </w:r>
                </w:p>
              </w:tc>
              <w:tc>
                <w:tcPr>
                  <w:tcW w:w="315" w:type="pct"/>
                  <w:shd w:val="clear" w:color="auto" w:fill="auto"/>
                  <w:vAlign w:val="center"/>
                </w:tcPr>
                <w:p w14:paraId="322DAAAD">
                  <w:pPr>
                    <w:pStyle w:val="2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0.00</w:t>
                  </w:r>
                  <w:r>
                    <w:rPr>
                      <w:rFonts w:hint="eastAsia" w:eastAsia="宋体" w:cs="Times New Roman"/>
                      <w:color w:val="auto"/>
                      <w:sz w:val="21"/>
                      <w:szCs w:val="21"/>
                      <w:highlight w:val="none"/>
                      <w:lang w:val="en-US" w:eastAsia="zh-CN"/>
                    </w:rPr>
                    <w:t>16</w:t>
                  </w:r>
                </w:p>
              </w:tc>
              <w:tc>
                <w:tcPr>
                  <w:tcW w:w="400" w:type="pct"/>
                  <w:shd w:val="clear" w:color="auto" w:fill="auto"/>
                  <w:vAlign w:val="center"/>
                </w:tcPr>
                <w:p w14:paraId="1CF96AF1">
                  <w:pPr>
                    <w:pStyle w:val="24"/>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0.000183</w:t>
                  </w:r>
                </w:p>
              </w:tc>
              <w:tc>
                <w:tcPr>
                  <w:tcW w:w="436" w:type="pct"/>
                  <w:vAlign w:val="center"/>
                </w:tcPr>
                <w:p w14:paraId="27886CF4">
                  <w:pPr>
                    <w:pStyle w:val="24"/>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0.183</w:t>
                  </w:r>
                </w:p>
              </w:tc>
              <w:tc>
                <w:tcPr>
                  <w:tcW w:w="139" w:type="pct"/>
                  <w:shd w:val="clear" w:color="auto" w:fill="auto"/>
                  <w:vAlign w:val="center"/>
                </w:tcPr>
                <w:p w14:paraId="37C89878">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无组织</w:t>
                  </w:r>
                </w:p>
              </w:tc>
              <w:tc>
                <w:tcPr>
                  <w:tcW w:w="448" w:type="pct"/>
                  <w:shd w:val="clear" w:color="auto" w:fill="auto"/>
                  <w:vAlign w:val="center"/>
                </w:tcPr>
                <w:p w14:paraId="258E068B">
                  <w:pPr>
                    <w:pStyle w:val="24"/>
                    <w:spacing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加盖贮存</w:t>
                  </w:r>
                  <w:r>
                    <w:rPr>
                      <w:rFonts w:hint="eastAsia" w:eastAsia="宋体" w:cs="Times New Roman"/>
                      <w:color w:val="auto"/>
                      <w:sz w:val="21"/>
                      <w:szCs w:val="21"/>
                      <w:highlight w:val="none"/>
                      <w:lang w:val="en-US" w:eastAsia="zh-CN"/>
                    </w:rPr>
                    <w:t>+封闭车间</w:t>
                  </w:r>
                </w:p>
              </w:tc>
              <w:tc>
                <w:tcPr>
                  <w:tcW w:w="379" w:type="pct"/>
                  <w:shd w:val="clear" w:color="auto" w:fill="auto"/>
                  <w:vAlign w:val="center"/>
                </w:tcPr>
                <w:p w14:paraId="549DB8E5">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357" w:type="pct"/>
                  <w:shd w:val="clear" w:color="auto" w:fill="auto"/>
                  <w:vAlign w:val="center"/>
                </w:tcPr>
                <w:p w14:paraId="41CAFE16">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422" w:type="pct"/>
                  <w:shd w:val="clear" w:color="auto" w:fill="auto"/>
                  <w:vAlign w:val="center"/>
                </w:tcPr>
                <w:p w14:paraId="2382641E">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val="en-US" w:eastAsia="zh-CN"/>
                    </w:rPr>
                    <w:t>/</w:t>
                  </w:r>
                </w:p>
              </w:tc>
              <w:tc>
                <w:tcPr>
                  <w:tcW w:w="1135" w:type="dxa"/>
                  <w:shd w:val="clear" w:color="auto" w:fill="auto"/>
                  <w:vAlign w:val="center"/>
                </w:tcPr>
                <w:p w14:paraId="70D81567">
                  <w:pPr>
                    <w:pStyle w:val="24"/>
                    <w:spacing w:line="240" w:lineRule="auto"/>
                    <w:ind w:firstLine="0" w:firstLineChars="0"/>
                    <w:jc w:val="center"/>
                    <w:rPr>
                      <w:rFonts w:hint="eastAsia"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w:t>
                  </w:r>
                  <w:r>
                    <w:rPr>
                      <w:rFonts w:hint="eastAsia" w:eastAsia="宋体" w:cs="Times New Roman"/>
                      <w:color w:val="auto"/>
                      <w:sz w:val="21"/>
                      <w:szCs w:val="21"/>
                      <w:highlight w:val="none"/>
                      <w:lang w:val="en-US" w:eastAsia="zh-CN"/>
                    </w:rPr>
                    <w:t>16</w:t>
                  </w:r>
                </w:p>
              </w:tc>
              <w:tc>
                <w:tcPr>
                  <w:tcW w:w="1135" w:type="dxa"/>
                  <w:shd w:val="clear" w:color="auto" w:fill="auto"/>
                  <w:vAlign w:val="center"/>
                </w:tcPr>
                <w:p w14:paraId="5C47895F">
                  <w:pPr>
                    <w:pStyle w:val="24"/>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rPr>
                    <w:t>0.000183</w:t>
                  </w:r>
                </w:p>
              </w:tc>
              <w:tc>
                <w:tcPr>
                  <w:tcW w:w="1151" w:type="dxa"/>
                  <w:shd w:val="clear" w:color="auto" w:fill="auto"/>
                  <w:vAlign w:val="center"/>
                </w:tcPr>
                <w:p w14:paraId="3F6DDD60">
                  <w:pPr>
                    <w:pStyle w:val="24"/>
                    <w:spacing w:line="240" w:lineRule="auto"/>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0.183</w:t>
                  </w:r>
                </w:p>
              </w:tc>
              <w:tc>
                <w:tcPr>
                  <w:tcW w:w="301" w:type="pct"/>
                  <w:vAlign w:val="center"/>
                </w:tcPr>
                <w:p w14:paraId="499A6396">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r>
          </w:tbl>
          <w:p w14:paraId="577C5023">
            <w:pPr>
              <w:pStyle w:val="25"/>
              <w:bidi w:val="0"/>
              <w:rPr>
                <w:color w:val="auto"/>
                <w:highlight w:val="none"/>
              </w:rPr>
            </w:pPr>
            <w:r>
              <w:rPr>
                <w:rFonts w:hint="eastAsia"/>
                <w:color w:val="auto"/>
                <w:highlight w:val="none"/>
              </w:rPr>
              <w:t>无组织废气排放基本情况</w:t>
            </w:r>
            <w:r>
              <w:rPr>
                <w:color w:val="auto"/>
                <w:highlight w:val="none"/>
              </w:rPr>
              <w:t>表</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7"/>
              <w:gridCol w:w="1651"/>
              <w:gridCol w:w="1373"/>
              <w:gridCol w:w="795"/>
              <w:gridCol w:w="766"/>
              <w:gridCol w:w="1211"/>
              <w:gridCol w:w="1041"/>
              <w:gridCol w:w="1240"/>
              <w:gridCol w:w="1230"/>
              <w:gridCol w:w="1060"/>
              <w:gridCol w:w="1071"/>
              <w:gridCol w:w="694"/>
            </w:tblGrid>
            <w:tr w14:paraId="7BF5E1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1" w:type="pct"/>
                  <w:vMerge w:val="restart"/>
                  <w:tcBorders>
                    <w:tl2br w:val="nil"/>
                    <w:tr2bl w:val="nil"/>
                  </w:tcBorders>
                  <w:vAlign w:val="center"/>
                </w:tcPr>
                <w:p w14:paraId="571B2DCC">
                  <w:pPr>
                    <w:pStyle w:val="27"/>
                    <w:spacing w:line="240" w:lineRule="auto"/>
                    <w:rPr>
                      <w:rFonts w:hint="default"/>
                      <w:color w:val="auto"/>
                      <w:highlight w:val="none"/>
                    </w:rPr>
                  </w:pPr>
                  <w:r>
                    <w:rPr>
                      <w:rFonts w:eastAsia="宋体"/>
                      <w:b/>
                      <w:color w:val="auto"/>
                      <w:sz w:val="21"/>
                      <w:highlight w:val="none"/>
                    </w:rPr>
                    <w:t>污染源名称</w:t>
                  </w:r>
                </w:p>
              </w:tc>
              <w:tc>
                <w:tcPr>
                  <w:tcW w:w="1141" w:type="pct"/>
                  <w:gridSpan w:val="2"/>
                  <w:tcBorders>
                    <w:tl2br w:val="nil"/>
                    <w:tr2bl w:val="nil"/>
                  </w:tcBorders>
                  <w:vAlign w:val="center"/>
                </w:tcPr>
                <w:p w14:paraId="48B8D834">
                  <w:pPr>
                    <w:pStyle w:val="27"/>
                    <w:spacing w:line="240" w:lineRule="auto"/>
                    <w:rPr>
                      <w:rFonts w:hint="default"/>
                      <w:color w:val="auto"/>
                      <w:highlight w:val="none"/>
                    </w:rPr>
                  </w:pPr>
                  <w:r>
                    <w:rPr>
                      <w:rFonts w:eastAsia="宋体"/>
                      <w:b/>
                      <w:color w:val="auto"/>
                      <w:sz w:val="21"/>
                      <w:highlight w:val="none"/>
                    </w:rPr>
                    <w:t>左下角坐标（°</w:t>
                  </w:r>
                  <w:r>
                    <w:rPr>
                      <w:rFonts w:hint="eastAsia" w:eastAsia="宋体"/>
                      <w:b/>
                      <w:color w:val="auto"/>
                      <w:sz w:val="21"/>
                      <w:highlight w:val="none"/>
                      <w:lang w:eastAsia="zh-CN"/>
                    </w:rPr>
                    <w:t>）</w:t>
                  </w:r>
                </w:p>
              </w:tc>
              <w:tc>
                <w:tcPr>
                  <w:tcW w:w="1046" w:type="pct"/>
                  <w:gridSpan w:val="3"/>
                  <w:tcBorders>
                    <w:tl2br w:val="nil"/>
                    <w:tr2bl w:val="nil"/>
                  </w:tcBorders>
                  <w:vAlign w:val="center"/>
                </w:tcPr>
                <w:p w14:paraId="764B2EB6">
                  <w:pPr>
                    <w:pStyle w:val="27"/>
                    <w:spacing w:line="240" w:lineRule="auto"/>
                    <w:rPr>
                      <w:rFonts w:hint="default"/>
                      <w:color w:val="auto"/>
                      <w:highlight w:val="none"/>
                    </w:rPr>
                  </w:pPr>
                  <w:r>
                    <w:rPr>
                      <w:rFonts w:eastAsia="宋体"/>
                      <w:b/>
                      <w:color w:val="auto"/>
                      <w:sz w:val="21"/>
                      <w:highlight w:val="none"/>
                    </w:rPr>
                    <w:t>矩形面源</w:t>
                  </w:r>
                </w:p>
              </w:tc>
              <w:tc>
                <w:tcPr>
                  <w:tcW w:w="392" w:type="pct"/>
                  <w:vMerge w:val="restart"/>
                  <w:tcBorders>
                    <w:tl2br w:val="nil"/>
                    <w:tr2bl w:val="nil"/>
                  </w:tcBorders>
                  <w:vAlign w:val="center"/>
                </w:tcPr>
                <w:p w14:paraId="3D4BE491">
                  <w:pPr>
                    <w:pStyle w:val="27"/>
                    <w:spacing w:line="240" w:lineRule="auto"/>
                    <w:rPr>
                      <w:rFonts w:hint="default"/>
                      <w:color w:val="auto"/>
                      <w:highlight w:val="none"/>
                    </w:rPr>
                  </w:pPr>
                  <w:r>
                    <w:rPr>
                      <w:rFonts w:eastAsia="宋体"/>
                      <w:b/>
                      <w:color w:val="auto"/>
                      <w:sz w:val="21"/>
                      <w:highlight w:val="none"/>
                    </w:rPr>
                    <w:t>污染物</w:t>
                  </w:r>
                </w:p>
              </w:tc>
              <w:tc>
                <w:tcPr>
                  <w:tcW w:w="467" w:type="pct"/>
                  <w:vMerge w:val="restart"/>
                  <w:tcBorders>
                    <w:tl2br w:val="nil"/>
                    <w:tr2bl w:val="nil"/>
                  </w:tcBorders>
                  <w:vAlign w:val="center"/>
                </w:tcPr>
                <w:p w14:paraId="6B6C6E91">
                  <w:pPr>
                    <w:pStyle w:val="27"/>
                    <w:spacing w:line="240" w:lineRule="auto"/>
                    <w:rPr>
                      <w:rFonts w:hint="default" w:eastAsia="宋体"/>
                      <w:b/>
                      <w:color w:val="auto"/>
                      <w:sz w:val="21"/>
                      <w:highlight w:val="none"/>
                    </w:rPr>
                  </w:pPr>
                  <w:r>
                    <w:rPr>
                      <w:rFonts w:eastAsia="宋体"/>
                      <w:b/>
                      <w:color w:val="auto"/>
                      <w:sz w:val="21"/>
                      <w:highlight w:val="none"/>
                    </w:rPr>
                    <w:t>排放量</w:t>
                  </w:r>
                </w:p>
                <w:p w14:paraId="028E7AF3">
                  <w:pPr>
                    <w:pStyle w:val="27"/>
                    <w:spacing w:line="240" w:lineRule="auto"/>
                    <w:ind w:firstLine="0" w:firstLineChars="0"/>
                    <w:rPr>
                      <w:rFonts w:eastAsia="宋体"/>
                      <w:b/>
                      <w:color w:val="auto"/>
                      <w:sz w:val="21"/>
                      <w:highlight w:val="none"/>
                    </w:rPr>
                  </w:pPr>
                  <w:r>
                    <w:rPr>
                      <w:rFonts w:eastAsia="宋体"/>
                      <w:b/>
                      <w:color w:val="auto"/>
                      <w:sz w:val="21"/>
                      <w:highlight w:val="none"/>
                    </w:rPr>
                    <w:t>t/a</w:t>
                  </w:r>
                </w:p>
              </w:tc>
              <w:tc>
                <w:tcPr>
                  <w:tcW w:w="464" w:type="pct"/>
                  <w:vMerge w:val="restart"/>
                  <w:tcBorders>
                    <w:tl2br w:val="nil"/>
                    <w:tr2bl w:val="nil"/>
                  </w:tcBorders>
                  <w:vAlign w:val="center"/>
                </w:tcPr>
                <w:p w14:paraId="238C709C">
                  <w:pPr>
                    <w:pStyle w:val="27"/>
                    <w:spacing w:line="240" w:lineRule="auto"/>
                    <w:rPr>
                      <w:rFonts w:hint="default"/>
                      <w:color w:val="auto"/>
                      <w:highlight w:val="none"/>
                    </w:rPr>
                  </w:pPr>
                  <w:r>
                    <w:rPr>
                      <w:rFonts w:eastAsia="宋体"/>
                      <w:b/>
                      <w:color w:val="auto"/>
                      <w:sz w:val="21"/>
                      <w:highlight w:val="none"/>
                    </w:rPr>
                    <w:t>排放速率kg/h</w:t>
                  </w:r>
                </w:p>
              </w:tc>
              <w:tc>
                <w:tcPr>
                  <w:tcW w:w="400" w:type="pct"/>
                  <w:vMerge w:val="restart"/>
                  <w:tcBorders>
                    <w:tl2br w:val="nil"/>
                    <w:tr2bl w:val="nil"/>
                  </w:tcBorders>
                  <w:vAlign w:val="center"/>
                </w:tcPr>
                <w:p w14:paraId="0CD573D2">
                  <w:pPr>
                    <w:pStyle w:val="27"/>
                    <w:spacing w:line="240" w:lineRule="auto"/>
                    <w:rPr>
                      <w:rFonts w:hint="eastAsia" w:eastAsia="宋体"/>
                      <w:b/>
                      <w:color w:val="auto"/>
                      <w:sz w:val="21"/>
                      <w:highlight w:val="none"/>
                      <w:lang w:val="en-US" w:eastAsia="zh-CN"/>
                    </w:rPr>
                  </w:pPr>
                  <w:r>
                    <w:rPr>
                      <w:rFonts w:hint="eastAsia" w:eastAsia="宋体"/>
                      <w:b/>
                      <w:color w:val="auto"/>
                      <w:sz w:val="21"/>
                      <w:highlight w:val="none"/>
                      <w:lang w:val="en-US" w:eastAsia="zh-CN"/>
                    </w:rPr>
                    <w:t>排放浓度</w:t>
                  </w:r>
                  <w:r>
                    <w:rPr>
                      <w:rFonts w:eastAsia="宋体"/>
                      <w:b/>
                      <w:color w:val="auto"/>
                      <w:sz w:val="21"/>
                      <w:highlight w:val="none"/>
                    </w:rPr>
                    <w:t>mg/m</w:t>
                  </w:r>
                  <w:r>
                    <w:rPr>
                      <w:rFonts w:eastAsia="宋体"/>
                      <w:b/>
                      <w:color w:val="auto"/>
                      <w:sz w:val="21"/>
                      <w:highlight w:val="none"/>
                      <w:vertAlign w:val="superscript"/>
                    </w:rPr>
                    <w:t>3</w:t>
                  </w:r>
                </w:p>
              </w:tc>
              <w:tc>
                <w:tcPr>
                  <w:tcW w:w="404" w:type="pct"/>
                  <w:vMerge w:val="restart"/>
                  <w:tcBorders>
                    <w:tl2br w:val="nil"/>
                    <w:tr2bl w:val="nil"/>
                  </w:tcBorders>
                  <w:vAlign w:val="center"/>
                </w:tcPr>
                <w:p w14:paraId="72903C13">
                  <w:pPr>
                    <w:pStyle w:val="27"/>
                    <w:spacing w:line="240" w:lineRule="auto"/>
                    <w:rPr>
                      <w:rFonts w:hint="default"/>
                      <w:color w:val="auto"/>
                      <w:highlight w:val="none"/>
                    </w:rPr>
                  </w:pPr>
                  <w:r>
                    <w:rPr>
                      <w:rFonts w:eastAsia="宋体"/>
                      <w:b/>
                      <w:color w:val="auto"/>
                      <w:sz w:val="21"/>
                      <w:highlight w:val="none"/>
                    </w:rPr>
                    <w:t>排放标准mg/m</w:t>
                  </w:r>
                  <w:r>
                    <w:rPr>
                      <w:rFonts w:eastAsia="宋体"/>
                      <w:b/>
                      <w:color w:val="auto"/>
                      <w:sz w:val="21"/>
                      <w:highlight w:val="none"/>
                      <w:vertAlign w:val="superscript"/>
                    </w:rPr>
                    <w:t>3</w:t>
                  </w:r>
                </w:p>
              </w:tc>
              <w:tc>
                <w:tcPr>
                  <w:tcW w:w="261" w:type="pct"/>
                  <w:vMerge w:val="restart"/>
                  <w:tcBorders>
                    <w:tl2br w:val="nil"/>
                    <w:tr2bl w:val="nil"/>
                  </w:tcBorders>
                  <w:vAlign w:val="center"/>
                </w:tcPr>
                <w:p w14:paraId="225D9A51">
                  <w:pPr>
                    <w:pStyle w:val="27"/>
                    <w:spacing w:line="240" w:lineRule="auto"/>
                    <w:rPr>
                      <w:rFonts w:hint="default"/>
                      <w:color w:val="auto"/>
                      <w:highlight w:val="none"/>
                    </w:rPr>
                  </w:pPr>
                  <w:r>
                    <w:rPr>
                      <w:rFonts w:eastAsia="宋体"/>
                      <w:b/>
                      <w:color w:val="auto"/>
                      <w:sz w:val="21"/>
                      <w:highlight w:val="none"/>
                    </w:rPr>
                    <w:t>是否达标</w:t>
                  </w:r>
                </w:p>
              </w:tc>
            </w:tr>
            <w:tr w14:paraId="7D3446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1" w:type="pct"/>
                  <w:vMerge w:val="continue"/>
                  <w:tcBorders>
                    <w:tl2br w:val="nil"/>
                    <w:tr2bl w:val="nil"/>
                  </w:tcBorders>
                  <w:vAlign w:val="center"/>
                </w:tcPr>
                <w:p w14:paraId="22CC6DB1">
                  <w:pPr>
                    <w:pStyle w:val="24"/>
                    <w:spacing w:line="240" w:lineRule="auto"/>
                    <w:rPr>
                      <w:color w:val="auto"/>
                      <w:highlight w:val="none"/>
                    </w:rPr>
                  </w:pPr>
                </w:p>
              </w:tc>
              <w:tc>
                <w:tcPr>
                  <w:tcW w:w="623" w:type="pct"/>
                  <w:tcBorders>
                    <w:tl2br w:val="nil"/>
                    <w:tr2bl w:val="nil"/>
                  </w:tcBorders>
                  <w:vAlign w:val="center"/>
                </w:tcPr>
                <w:p w14:paraId="1798D9F9">
                  <w:pPr>
                    <w:pStyle w:val="27"/>
                    <w:spacing w:line="240" w:lineRule="auto"/>
                    <w:rPr>
                      <w:rFonts w:hint="default"/>
                      <w:color w:val="auto"/>
                      <w:highlight w:val="none"/>
                    </w:rPr>
                  </w:pPr>
                  <w:r>
                    <w:rPr>
                      <w:rFonts w:eastAsia="宋体"/>
                      <w:b/>
                      <w:color w:val="auto"/>
                      <w:sz w:val="21"/>
                      <w:highlight w:val="none"/>
                    </w:rPr>
                    <w:t>经度</w:t>
                  </w:r>
                </w:p>
              </w:tc>
              <w:tc>
                <w:tcPr>
                  <w:tcW w:w="518" w:type="pct"/>
                  <w:tcBorders>
                    <w:tl2br w:val="nil"/>
                    <w:tr2bl w:val="nil"/>
                  </w:tcBorders>
                  <w:vAlign w:val="center"/>
                </w:tcPr>
                <w:p w14:paraId="5DEEE18C">
                  <w:pPr>
                    <w:pStyle w:val="27"/>
                    <w:spacing w:line="240" w:lineRule="auto"/>
                    <w:rPr>
                      <w:rFonts w:hint="default"/>
                      <w:color w:val="auto"/>
                      <w:highlight w:val="none"/>
                    </w:rPr>
                  </w:pPr>
                  <w:r>
                    <w:rPr>
                      <w:rFonts w:eastAsia="宋体"/>
                      <w:b/>
                      <w:color w:val="auto"/>
                      <w:sz w:val="21"/>
                      <w:highlight w:val="none"/>
                    </w:rPr>
                    <w:t>纬度</w:t>
                  </w:r>
                </w:p>
              </w:tc>
              <w:tc>
                <w:tcPr>
                  <w:tcW w:w="300" w:type="pct"/>
                  <w:tcBorders>
                    <w:tl2br w:val="nil"/>
                    <w:tr2bl w:val="nil"/>
                  </w:tcBorders>
                  <w:vAlign w:val="center"/>
                </w:tcPr>
                <w:p w14:paraId="304FABA0">
                  <w:pPr>
                    <w:pStyle w:val="27"/>
                    <w:spacing w:line="240" w:lineRule="auto"/>
                    <w:rPr>
                      <w:rFonts w:hint="default"/>
                      <w:color w:val="auto"/>
                      <w:highlight w:val="none"/>
                    </w:rPr>
                  </w:pPr>
                  <w:r>
                    <w:rPr>
                      <w:rFonts w:eastAsia="宋体"/>
                      <w:b/>
                      <w:color w:val="auto"/>
                      <w:sz w:val="21"/>
                      <w:highlight w:val="none"/>
                    </w:rPr>
                    <w:t>长度m</w:t>
                  </w:r>
                </w:p>
              </w:tc>
              <w:tc>
                <w:tcPr>
                  <w:tcW w:w="289" w:type="pct"/>
                  <w:tcBorders>
                    <w:tl2br w:val="nil"/>
                    <w:tr2bl w:val="nil"/>
                  </w:tcBorders>
                  <w:vAlign w:val="center"/>
                </w:tcPr>
                <w:p w14:paraId="7B77E4F3">
                  <w:pPr>
                    <w:pStyle w:val="27"/>
                    <w:spacing w:line="240" w:lineRule="auto"/>
                    <w:rPr>
                      <w:rFonts w:hint="default"/>
                      <w:color w:val="auto"/>
                      <w:highlight w:val="none"/>
                    </w:rPr>
                  </w:pPr>
                  <w:r>
                    <w:rPr>
                      <w:rFonts w:eastAsia="宋体"/>
                      <w:b/>
                      <w:color w:val="auto"/>
                      <w:sz w:val="21"/>
                      <w:highlight w:val="none"/>
                    </w:rPr>
                    <w:t>宽度m</w:t>
                  </w:r>
                </w:p>
              </w:tc>
              <w:tc>
                <w:tcPr>
                  <w:tcW w:w="457" w:type="pct"/>
                  <w:tcBorders>
                    <w:tl2br w:val="nil"/>
                    <w:tr2bl w:val="nil"/>
                  </w:tcBorders>
                  <w:vAlign w:val="center"/>
                </w:tcPr>
                <w:p w14:paraId="41973796">
                  <w:pPr>
                    <w:pStyle w:val="27"/>
                    <w:spacing w:line="240" w:lineRule="auto"/>
                    <w:rPr>
                      <w:rFonts w:hint="default"/>
                      <w:color w:val="auto"/>
                      <w:highlight w:val="none"/>
                    </w:rPr>
                  </w:pPr>
                  <w:r>
                    <w:rPr>
                      <w:rFonts w:eastAsia="宋体"/>
                      <w:b/>
                      <w:color w:val="auto"/>
                      <w:sz w:val="21"/>
                      <w:highlight w:val="none"/>
                    </w:rPr>
                    <w:t>有效高度m</w:t>
                  </w:r>
                </w:p>
              </w:tc>
              <w:tc>
                <w:tcPr>
                  <w:tcW w:w="392" w:type="pct"/>
                  <w:vMerge w:val="continue"/>
                  <w:tcBorders>
                    <w:tl2br w:val="nil"/>
                    <w:tr2bl w:val="nil"/>
                  </w:tcBorders>
                  <w:vAlign w:val="center"/>
                </w:tcPr>
                <w:p w14:paraId="613C5254">
                  <w:pPr>
                    <w:pStyle w:val="24"/>
                    <w:spacing w:line="240" w:lineRule="auto"/>
                    <w:rPr>
                      <w:color w:val="auto"/>
                      <w:highlight w:val="none"/>
                    </w:rPr>
                  </w:pPr>
                </w:p>
              </w:tc>
              <w:tc>
                <w:tcPr>
                  <w:tcW w:w="467" w:type="pct"/>
                  <w:vMerge w:val="continue"/>
                  <w:tcBorders>
                    <w:tl2br w:val="nil"/>
                    <w:tr2bl w:val="nil"/>
                  </w:tcBorders>
                  <w:vAlign w:val="center"/>
                </w:tcPr>
                <w:p w14:paraId="791A0428">
                  <w:pPr>
                    <w:pStyle w:val="24"/>
                    <w:spacing w:line="240" w:lineRule="auto"/>
                    <w:rPr>
                      <w:color w:val="auto"/>
                      <w:highlight w:val="none"/>
                    </w:rPr>
                  </w:pPr>
                </w:p>
              </w:tc>
              <w:tc>
                <w:tcPr>
                  <w:tcW w:w="464" w:type="pct"/>
                  <w:vMerge w:val="continue"/>
                  <w:tcBorders>
                    <w:tl2br w:val="nil"/>
                    <w:tr2bl w:val="nil"/>
                  </w:tcBorders>
                  <w:vAlign w:val="center"/>
                </w:tcPr>
                <w:p w14:paraId="2AA6D80B">
                  <w:pPr>
                    <w:pStyle w:val="24"/>
                    <w:spacing w:line="240" w:lineRule="auto"/>
                    <w:rPr>
                      <w:color w:val="auto"/>
                      <w:highlight w:val="none"/>
                    </w:rPr>
                  </w:pPr>
                </w:p>
              </w:tc>
              <w:tc>
                <w:tcPr>
                  <w:tcW w:w="400" w:type="pct"/>
                  <w:vMerge w:val="continue"/>
                  <w:tcBorders>
                    <w:tl2br w:val="nil"/>
                    <w:tr2bl w:val="nil"/>
                  </w:tcBorders>
                  <w:vAlign w:val="center"/>
                </w:tcPr>
                <w:p w14:paraId="7C9E8B8D">
                  <w:pPr>
                    <w:pStyle w:val="24"/>
                    <w:spacing w:line="240" w:lineRule="auto"/>
                    <w:rPr>
                      <w:color w:val="auto"/>
                      <w:highlight w:val="none"/>
                    </w:rPr>
                  </w:pPr>
                </w:p>
              </w:tc>
              <w:tc>
                <w:tcPr>
                  <w:tcW w:w="404" w:type="pct"/>
                  <w:vMerge w:val="continue"/>
                  <w:tcBorders>
                    <w:tl2br w:val="nil"/>
                    <w:tr2bl w:val="nil"/>
                  </w:tcBorders>
                  <w:vAlign w:val="center"/>
                </w:tcPr>
                <w:p w14:paraId="5A556CD8">
                  <w:pPr>
                    <w:pStyle w:val="24"/>
                    <w:spacing w:line="240" w:lineRule="auto"/>
                    <w:rPr>
                      <w:color w:val="auto"/>
                      <w:highlight w:val="none"/>
                    </w:rPr>
                  </w:pPr>
                </w:p>
              </w:tc>
              <w:tc>
                <w:tcPr>
                  <w:tcW w:w="261" w:type="pct"/>
                  <w:vMerge w:val="continue"/>
                  <w:tcBorders>
                    <w:tl2br w:val="nil"/>
                    <w:tr2bl w:val="nil"/>
                  </w:tcBorders>
                  <w:vAlign w:val="center"/>
                </w:tcPr>
                <w:p w14:paraId="5CBDECDA">
                  <w:pPr>
                    <w:pStyle w:val="24"/>
                    <w:spacing w:line="240" w:lineRule="auto"/>
                    <w:rPr>
                      <w:color w:val="auto"/>
                      <w:highlight w:val="none"/>
                    </w:rPr>
                  </w:pPr>
                </w:p>
              </w:tc>
            </w:tr>
            <w:tr w14:paraId="55C44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21" w:type="pct"/>
                  <w:vMerge w:val="restart"/>
                  <w:tcBorders>
                    <w:tl2br w:val="nil"/>
                    <w:tr2bl w:val="nil"/>
                  </w:tcBorders>
                  <w:vAlign w:val="center"/>
                </w:tcPr>
                <w:p w14:paraId="5992DDB9">
                  <w:pPr>
                    <w:pStyle w:val="24"/>
                    <w:spacing w:line="240" w:lineRule="auto"/>
                    <w:rPr>
                      <w:rFonts w:hint="eastAsia" w:eastAsiaTheme="minorEastAsia"/>
                      <w:color w:val="auto"/>
                      <w:highlight w:val="none"/>
                      <w:lang w:eastAsia="zh-CN"/>
                    </w:rPr>
                  </w:pPr>
                  <w:r>
                    <w:rPr>
                      <w:rFonts w:hint="eastAsia"/>
                      <w:color w:val="auto"/>
                      <w:highlight w:val="none"/>
                      <w:lang w:eastAsia="zh-CN"/>
                    </w:rPr>
                    <w:t>危险废物贮存点</w:t>
                  </w:r>
                </w:p>
              </w:tc>
              <w:tc>
                <w:tcPr>
                  <w:tcW w:w="623" w:type="pct"/>
                  <w:vMerge w:val="restart"/>
                  <w:tcBorders>
                    <w:tl2br w:val="nil"/>
                    <w:tr2bl w:val="nil"/>
                  </w:tcBorders>
                  <w:shd w:val="clear" w:color="auto" w:fill="auto"/>
                  <w:vAlign w:val="center"/>
                </w:tcPr>
                <w:p w14:paraId="7250EF60">
                  <w:pPr>
                    <w:pStyle w:val="24"/>
                    <w:spacing w:line="240" w:lineRule="auto"/>
                    <w:rPr>
                      <w:color w:val="auto"/>
                      <w:highlight w:val="none"/>
                    </w:rPr>
                  </w:pPr>
                  <w:r>
                    <w:rPr>
                      <w:rFonts w:hint="eastAsia" w:eastAsiaTheme="minorEastAsia"/>
                      <w:color w:val="auto"/>
                      <w:highlight w:val="none"/>
                      <w:lang w:eastAsia="zh-CN"/>
                    </w:rPr>
                    <w:t>120.75582880</w:t>
                  </w:r>
                </w:p>
              </w:tc>
              <w:tc>
                <w:tcPr>
                  <w:tcW w:w="518" w:type="pct"/>
                  <w:vMerge w:val="restart"/>
                  <w:tcBorders>
                    <w:tl2br w:val="nil"/>
                    <w:tr2bl w:val="nil"/>
                  </w:tcBorders>
                  <w:shd w:val="clear" w:color="auto" w:fill="auto"/>
                  <w:vAlign w:val="center"/>
                </w:tcPr>
                <w:p w14:paraId="25FC28AB">
                  <w:pPr>
                    <w:pStyle w:val="24"/>
                    <w:spacing w:line="240" w:lineRule="auto"/>
                    <w:rPr>
                      <w:color w:val="auto"/>
                      <w:highlight w:val="none"/>
                    </w:rPr>
                  </w:pPr>
                  <w:r>
                    <w:rPr>
                      <w:rFonts w:hint="eastAsia" w:eastAsiaTheme="minorEastAsia"/>
                      <w:color w:val="auto"/>
                      <w:highlight w:val="none"/>
                      <w:lang w:eastAsia="zh-CN"/>
                    </w:rPr>
                    <w:t>41.80211240</w:t>
                  </w:r>
                </w:p>
              </w:tc>
              <w:tc>
                <w:tcPr>
                  <w:tcW w:w="300" w:type="pct"/>
                  <w:vMerge w:val="restart"/>
                  <w:tcBorders>
                    <w:tl2br w:val="nil"/>
                    <w:tr2bl w:val="nil"/>
                  </w:tcBorders>
                  <w:vAlign w:val="center"/>
                </w:tcPr>
                <w:p w14:paraId="55B0E616">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6</w:t>
                  </w:r>
                </w:p>
              </w:tc>
              <w:tc>
                <w:tcPr>
                  <w:tcW w:w="289" w:type="pct"/>
                  <w:vMerge w:val="restart"/>
                  <w:tcBorders>
                    <w:tl2br w:val="nil"/>
                    <w:tr2bl w:val="nil"/>
                  </w:tcBorders>
                  <w:vAlign w:val="center"/>
                </w:tcPr>
                <w:p w14:paraId="7E77BC25">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7</w:t>
                  </w:r>
                </w:p>
              </w:tc>
              <w:tc>
                <w:tcPr>
                  <w:tcW w:w="457" w:type="pct"/>
                  <w:vMerge w:val="restart"/>
                  <w:tcBorders>
                    <w:tl2br w:val="nil"/>
                    <w:tr2bl w:val="nil"/>
                  </w:tcBorders>
                  <w:vAlign w:val="center"/>
                </w:tcPr>
                <w:p w14:paraId="5279D5B2">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4</w:t>
                  </w:r>
                </w:p>
              </w:tc>
              <w:tc>
                <w:tcPr>
                  <w:tcW w:w="392" w:type="pct"/>
                  <w:vMerge w:val="restart"/>
                  <w:tcBorders>
                    <w:tl2br w:val="nil"/>
                    <w:tr2bl w:val="nil"/>
                  </w:tcBorders>
                  <w:vAlign w:val="center"/>
                </w:tcPr>
                <w:p w14:paraId="2707EA0D">
                  <w:pPr>
                    <w:pStyle w:val="24"/>
                    <w:spacing w:line="240" w:lineRule="auto"/>
                    <w:rPr>
                      <w:color w:val="auto"/>
                      <w:highlight w:val="none"/>
                    </w:rPr>
                  </w:pPr>
                  <w:r>
                    <w:rPr>
                      <w:rFonts w:hint="eastAsia"/>
                      <w:color w:val="auto"/>
                      <w:highlight w:val="none"/>
                    </w:rPr>
                    <w:t>非甲烷总烃</w:t>
                  </w:r>
                </w:p>
              </w:tc>
              <w:tc>
                <w:tcPr>
                  <w:tcW w:w="467" w:type="pct"/>
                  <w:vMerge w:val="restart"/>
                  <w:tcBorders>
                    <w:tl2br w:val="nil"/>
                    <w:tr2bl w:val="nil"/>
                  </w:tcBorders>
                  <w:shd w:val="clear" w:color="auto" w:fill="auto"/>
                  <w:vAlign w:val="center"/>
                </w:tcPr>
                <w:p w14:paraId="408C44C7">
                  <w:pPr>
                    <w:pStyle w:val="24"/>
                    <w:spacing w:line="240" w:lineRule="auto"/>
                    <w:ind w:firstLine="0" w:firstLineChars="0"/>
                    <w:jc w:val="center"/>
                    <w:rPr>
                      <w:rFonts w:hint="eastAsia"/>
                      <w:color w:val="auto"/>
                      <w:highlight w:val="none"/>
                    </w:rPr>
                  </w:pPr>
                  <w:r>
                    <w:rPr>
                      <w:rFonts w:hint="eastAsia" w:ascii="Times New Roman" w:hAnsi="Times New Roman" w:eastAsia="宋体" w:cs="Times New Roman"/>
                      <w:color w:val="auto"/>
                      <w:sz w:val="21"/>
                      <w:szCs w:val="21"/>
                      <w:highlight w:val="none"/>
                      <w:lang w:val="en-US" w:eastAsia="zh-CN"/>
                    </w:rPr>
                    <w:t>0.00</w:t>
                  </w:r>
                  <w:r>
                    <w:rPr>
                      <w:rFonts w:hint="eastAsia" w:eastAsia="宋体" w:cs="Times New Roman"/>
                      <w:color w:val="auto"/>
                      <w:sz w:val="21"/>
                      <w:szCs w:val="21"/>
                      <w:highlight w:val="none"/>
                      <w:lang w:val="en-US" w:eastAsia="zh-CN"/>
                    </w:rPr>
                    <w:t>16</w:t>
                  </w:r>
                </w:p>
              </w:tc>
              <w:tc>
                <w:tcPr>
                  <w:tcW w:w="464" w:type="pct"/>
                  <w:vMerge w:val="restart"/>
                  <w:tcBorders>
                    <w:tl2br w:val="nil"/>
                    <w:tr2bl w:val="nil"/>
                  </w:tcBorders>
                  <w:shd w:val="clear" w:color="auto" w:fill="auto"/>
                  <w:vAlign w:val="center"/>
                </w:tcPr>
                <w:p w14:paraId="75AACD23">
                  <w:pPr>
                    <w:pStyle w:val="24"/>
                    <w:spacing w:line="240" w:lineRule="auto"/>
                    <w:ind w:firstLine="0" w:firstLineChars="0"/>
                    <w:jc w:val="center"/>
                    <w:rPr>
                      <w:rFonts w:hint="default"/>
                      <w:color w:val="auto"/>
                      <w:highlight w:val="none"/>
                      <w:lang w:val="en-US"/>
                    </w:rPr>
                  </w:pPr>
                  <w:r>
                    <w:rPr>
                      <w:rFonts w:hint="eastAsia" w:ascii="Times New Roman" w:hAnsi="Times New Roman" w:eastAsia="宋体" w:cs="Times New Roman"/>
                      <w:color w:val="auto"/>
                      <w:sz w:val="21"/>
                      <w:szCs w:val="21"/>
                      <w:highlight w:val="none"/>
                    </w:rPr>
                    <w:t>0.000183</w:t>
                  </w:r>
                </w:p>
              </w:tc>
              <w:tc>
                <w:tcPr>
                  <w:tcW w:w="400" w:type="pct"/>
                  <w:tcBorders>
                    <w:tl2br w:val="nil"/>
                    <w:tr2bl w:val="nil"/>
                  </w:tcBorders>
                  <w:vAlign w:val="center"/>
                </w:tcPr>
                <w:p w14:paraId="75E03A5F">
                  <w:pPr>
                    <w:pStyle w:val="24"/>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0.183</w:t>
                  </w:r>
                </w:p>
              </w:tc>
              <w:tc>
                <w:tcPr>
                  <w:tcW w:w="404" w:type="pct"/>
                  <w:tcBorders>
                    <w:tl2br w:val="nil"/>
                    <w:tr2bl w:val="nil"/>
                  </w:tcBorders>
                  <w:vAlign w:val="center"/>
                </w:tcPr>
                <w:p w14:paraId="55ECB06E">
                  <w:pPr>
                    <w:pStyle w:val="24"/>
                    <w:spacing w:line="240" w:lineRule="auto"/>
                    <w:rPr>
                      <w:rFonts w:hint="default" w:eastAsiaTheme="minorEastAsia"/>
                      <w:color w:val="auto"/>
                      <w:highlight w:val="none"/>
                      <w:lang w:val="en-US" w:eastAsia="zh-CN"/>
                    </w:rPr>
                  </w:pPr>
                  <w:r>
                    <w:rPr>
                      <w:rFonts w:hint="eastAsia"/>
                      <w:color w:val="auto"/>
                      <w:highlight w:val="none"/>
                    </w:rPr>
                    <w:t>4.0</w:t>
                  </w:r>
                </w:p>
              </w:tc>
              <w:tc>
                <w:tcPr>
                  <w:tcW w:w="261" w:type="pct"/>
                  <w:vMerge w:val="restart"/>
                  <w:tcBorders>
                    <w:tl2br w:val="nil"/>
                    <w:tr2bl w:val="nil"/>
                  </w:tcBorders>
                  <w:vAlign w:val="center"/>
                </w:tcPr>
                <w:p w14:paraId="74395023">
                  <w:pPr>
                    <w:pStyle w:val="24"/>
                    <w:spacing w:line="240" w:lineRule="auto"/>
                    <w:rPr>
                      <w:color w:val="auto"/>
                      <w:highlight w:val="none"/>
                    </w:rPr>
                  </w:pPr>
                  <w:r>
                    <w:rPr>
                      <w:rFonts w:hint="eastAsia"/>
                      <w:color w:val="auto"/>
                      <w:highlight w:val="none"/>
                    </w:rPr>
                    <w:t>达标</w:t>
                  </w:r>
                </w:p>
              </w:tc>
            </w:tr>
            <w:tr w14:paraId="69950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21" w:type="pct"/>
                  <w:vMerge w:val="continue"/>
                  <w:tcBorders>
                    <w:tl2br w:val="nil"/>
                    <w:tr2bl w:val="nil"/>
                  </w:tcBorders>
                  <w:vAlign w:val="center"/>
                </w:tcPr>
                <w:p w14:paraId="4E9EF551">
                  <w:pPr>
                    <w:pStyle w:val="24"/>
                    <w:spacing w:line="240" w:lineRule="auto"/>
                    <w:rPr>
                      <w:rFonts w:hint="eastAsia"/>
                      <w:color w:val="auto"/>
                      <w:highlight w:val="none"/>
                      <w:lang w:eastAsia="zh-CN"/>
                    </w:rPr>
                  </w:pPr>
                </w:p>
              </w:tc>
              <w:tc>
                <w:tcPr>
                  <w:tcW w:w="623" w:type="pct"/>
                  <w:vMerge w:val="continue"/>
                  <w:tcBorders>
                    <w:tl2br w:val="nil"/>
                    <w:tr2bl w:val="nil"/>
                  </w:tcBorders>
                  <w:shd w:val="clear" w:color="auto" w:fill="auto"/>
                  <w:vAlign w:val="center"/>
                </w:tcPr>
                <w:p w14:paraId="38C450AF">
                  <w:pPr>
                    <w:pStyle w:val="24"/>
                    <w:spacing w:line="240" w:lineRule="auto"/>
                    <w:rPr>
                      <w:rFonts w:hint="eastAsia" w:eastAsiaTheme="minorEastAsia"/>
                      <w:color w:val="auto"/>
                      <w:highlight w:val="none"/>
                      <w:lang w:eastAsia="zh-CN"/>
                    </w:rPr>
                  </w:pPr>
                </w:p>
              </w:tc>
              <w:tc>
                <w:tcPr>
                  <w:tcW w:w="518" w:type="pct"/>
                  <w:vMerge w:val="continue"/>
                  <w:tcBorders>
                    <w:tl2br w:val="nil"/>
                    <w:tr2bl w:val="nil"/>
                  </w:tcBorders>
                  <w:shd w:val="clear" w:color="auto" w:fill="auto"/>
                  <w:vAlign w:val="center"/>
                </w:tcPr>
                <w:p w14:paraId="2303BD8B">
                  <w:pPr>
                    <w:pStyle w:val="24"/>
                    <w:spacing w:line="240" w:lineRule="auto"/>
                    <w:rPr>
                      <w:rFonts w:hint="eastAsia" w:eastAsiaTheme="minorEastAsia"/>
                      <w:color w:val="auto"/>
                      <w:highlight w:val="none"/>
                      <w:lang w:eastAsia="zh-CN"/>
                    </w:rPr>
                  </w:pPr>
                </w:p>
              </w:tc>
              <w:tc>
                <w:tcPr>
                  <w:tcW w:w="300" w:type="pct"/>
                  <w:vMerge w:val="continue"/>
                  <w:tcBorders>
                    <w:tl2br w:val="nil"/>
                    <w:tr2bl w:val="nil"/>
                  </w:tcBorders>
                  <w:vAlign w:val="center"/>
                </w:tcPr>
                <w:p w14:paraId="396248DF">
                  <w:pPr>
                    <w:pStyle w:val="24"/>
                    <w:spacing w:line="240" w:lineRule="auto"/>
                    <w:rPr>
                      <w:rFonts w:hint="eastAsia"/>
                      <w:color w:val="auto"/>
                      <w:highlight w:val="none"/>
                      <w:lang w:val="en-US" w:eastAsia="zh-CN"/>
                    </w:rPr>
                  </w:pPr>
                </w:p>
              </w:tc>
              <w:tc>
                <w:tcPr>
                  <w:tcW w:w="289" w:type="pct"/>
                  <w:vMerge w:val="continue"/>
                  <w:tcBorders>
                    <w:tl2br w:val="nil"/>
                    <w:tr2bl w:val="nil"/>
                  </w:tcBorders>
                  <w:vAlign w:val="center"/>
                </w:tcPr>
                <w:p w14:paraId="01D3ED1F">
                  <w:pPr>
                    <w:pStyle w:val="24"/>
                    <w:spacing w:line="240" w:lineRule="auto"/>
                    <w:rPr>
                      <w:rFonts w:hint="eastAsia"/>
                      <w:color w:val="auto"/>
                      <w:highlight w:val="none"/>
                      <w:lang w:val="en-US" w:eastAsia="zh-CN"/>
                    </w:rPr>
                  </w:pPr>
                </w:p>
              </w:tc>
              <w:tc>
                <w:tcPr>
                  <w:tcW w:w="457" w:type="pct"/>
                  <w:vMerge w:val="continue"/>
                  <w:tcBorders>
                    <w:tl2br w:val="nil"/>
                    <w:tr2bl w:val="nil"/>
                  </w:tcBorders>
                  <w:vAlign w:val="center"/>
                </w:tcPr>
                <w:p w14:paraId="0DD237CE">
                  <w:pPr>
                    <w:pStyle w:val="24"/>
                    <w:spacing w:line="240" w:lineRule="auto"/>
                    <w:rPr>
                      <w:rFonts w:hint="eastAsia"/>
                      <w:color w:val="auto"/>
                      <w:highlight w:val="none"/>
                      <w:lang w:val="en-US" w:eastAsia="zh-CN"/>
                    </w:rPr>
                  </w:pPr>
                </w:p>
              </w:tc>
              <w:tc>
                <w:tcPr>
                  <w:tcW w:w="392" w:type="pct"/>
                  <w:vMerge w:val="continue"/>
                  <w:tcBorders>
                    <w:tl2br w:val="nil"/>
                    <w:tr2bl w:val="nil"/>
                  </w:tcBorders>
                  <w:vAlign w:val="center"/>
                </w:tcPr>
                <w:p w14:paraId="144957F3">
                  <w:pPr>
                    <w:pStyle w:val="24"/>
                    <w:spacing w:line="240" w:lineRule="auto"/>
                    <w:rPr>
                      <w:rFonts w:hint="eastAsia"/>
                      <w:color w:val="auto"/>
                      <w:highlight w:val="none"/>
                    </w:rPr>
                  </w:pPr>
                </w:p>
              </w:tc>
              <w:tc>
                <w:tcPr>
                  <w:tcW w:w="467" w:type="pct"/>
                  <w:vMerge w:val="continue"/>
                  <w:tcBorders>
                    <w:tl2br w:val="nil"/>
                    <w:tr2bl w:val="nil"/>
                  </w:tcBorders>
                  <w:shd w:val="clear" w:color="auto" w:fill="auto"/>
                  <w:vAlign w:val="center"/>
                </w:tcPr>
                <w:p w14:paraId="59C96205">
                  <w:pPr>
                    <w:pStyle w:val="24"/>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464" w:type="pct"/>
                  <w:vMerge w:val="continue"/>
                  <w:tcBorders>
                    <w:tl2br w:val="nil"/>
                    <w:tr2bl w:val="nil"/>
                  </w:tcBorders>
                  <w:shd w:val="clear" w:color="auto" w:fill="auto"/>
                  <w:vAlign w:val="center"/>
                </w:tcPr>
                <w:p w14:paraId="1280E856">
                  <w:pPr>
                    <w:pStyle w:val="24"/>
                    <w:spacing w:line="240" w:lineRule="auto"/>
                    <w:ind w:firstLine="0" w:firstLineChars="0"/>
                    <w:jc w:val="center"/>
                    <w:rPr>
                      <w:rFonts w:hint="eastAsia" w:ascii="Times New Roman" w:hAnsi="Times New Roman" w:eastAsia="宋体" w:cs="Times New Roman"/>
                      <w:color w:val="auto"/>
                      <w:sz w:val="21"/>
                      <w:szCs w:val="21"/>
                      <w:highlight w:val="none"/>
                    </w:rPr>
                  </w:pPr>
                </w:p>
              </w:tc>
              <w:tc>
                <w:tcPr>
                  <w:tcW w:w="400" w:type="pct"/>
                  <w:vMerge w:val="restart"/>
                  <w:tcBorders>
                    <w:tl2br w:val="nil"/>
                    <w:tr2bl w:val="nil"/>
                  </w:tcBorders>
                  <w:vAlign w:val="center"/>
                </w:tcPr>
                <w:p w14:paraId="79B422ED">
                  <w:pPr>
                    <w:pStyle w:val="24"/>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0.183</w:t>
                  </w:r>
                </w:p>
              </w:tc>
              <w:tc>
                <w:tcPr>
                  <w:tcW w:w="404" w:type="pct"/>
                  <w:tcBorders>
                    <w:tl2br w:val="nil"/>
                    <w:tr2bl w:val="nil"/>
                  </w:tcBorders>
                  <w:vAlign w:val="center"/>
                </w:tcPr>
                <w:p w14:paraId="0C5AD1CE">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6.0</w:t>
                  </w:r>
                </w:p>
              </w:tc>
              <w:tc>
                <w:tcPr>
                  <w:tcW w:w="261" w:type="pct"/>
                  <w:vMerge w:val="continue"/>
                  <w:tcBorders>
                    <w:tl2br w:val="nil"/>
                    <w:tr2bl w:val="nil"/>
                  </w:tcBorders>
                  <w:vAlign w:val="center"/>
                </w:tcPr>
                <w:p w14:paraId="412AF46B">
                  <w:pPr>
                    <w:pStyle w:val="24"/>
                    <w:spacing w:line="240" w:lineRule="auto"/>
                    <w:rPr>
                      <w:rFonts w:hint="eastAsia"/>
                      <w:color w:val="auto"/>
                      <w:highlight w:val="none"/>
                    </w:rPr>
                  </w:pPr>
                </w:p>
              </w:tc>
            </w:tr>
            <w:tr w14:paraId="203A53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21" w:type="pct"/>
                  <w:vMerge w:val="continue"/>
                  <w:tcBorders>
                    <w:tl2br w:val="nil"/>
                    <w:tr2bl w:val="nil"/>
                  </w:tcBorders>
                  <w:vAlign w:val="center"/>
                </w:tcPr>
                <w:p w14:paraId="041D0B65">
                  <w:pPr>
                    <w:pStyle w:val="24"/>
                    <w:spacing w:line="240" w:lineRule="auto"/>
                    <w:rPr>
                      <w:rFonts w:hint="eastAsia"/>
                      <w:color w:val="auto"/>
                      <w:highlight w:val="none"/>
                      <w:lang w:eastAsia="zh-CN"/>
                    </w:rPr>
                  </w:pPr>
                </w:p>
              </w:tc>
              <w:tc>
                <w:tcPr>
                  <w:tcW w:w="623" w:type="pct"/>
                  <w:vMerge w:val="continue"/>
                  <w:tcBorders>
                    <w:tl2br w:val="nil"/>
                    <w:tr2bl w:val="nil"/>
                  </w:tcBorders>
                  <w:shd w:val="clear" w:color="auto" w:fill="auto"/>
                  <w:vAlign w:val="center"/>
                </w:tcPr>
                <w:p w14:paraId="7C5F2741">
                  <w:pPr>
                    <w:pStyle w:val="24"/>
                    <w:spacing w:line="240" w:lineRule="auto"/>
                    <w:rPr>
                      <w:rFonts w:hint="eastAsia" w:eastAsiaTheme="minorEastAsia"/>
                      <w:color w:val="auto"/>
                      <w:highlight w:val="none"/>
                      <w:lang w:eastAsia="zh-CN"/>
                    </w:rPr>
                  </w:pPr>
                </w:p>
              </w:tc>
              <w:tc>
                <w:tcPr>
                  <w:tcW w:w="518" w:type="pct"/>
                  <w:vMerge w:val="continue"/>
                  <w:tcBorders>
                    <w:tl2br w:val="nil"/>
                    <w:tr2bl w:val="nil"/>
                  </w:tcBorders>
                  <w:shd w:val="clear" w:color="auto" w:fill="auto"/>
                  <w:vAlign w:val="center"/>
                </w:tcPr>
                <w:p w14:paraId="562FD391">
                  <w:pPr>
                    <w:pStyle w:val="24"/>
                    <w:spacing w:line="240" w:lineRule="auto"/>
                    <w:rPr>
                      <w:rFonts w:hint="eastAsia" w:eastAsiaTheme="minorEastAsia"/>
                      <w:color w:val="auto"/>
                      <w:highlight w:val="none"/>
                      <w:lang w:eastAsia="zh-CN"/>
                    </w:rPr>
                  </w:pPr>
                </w:p>
              </w:tc>
              <w:tc>
                <w:tcPr>
                  <w:tcW w:w="300" w:type="pct"/>
                  <w:vMerge w:val="continue"/>
                  <w:tcBorders>
                    <w:tl2br w:val="nil"/>
                    <w:tr2bl w:val="nil"/>
                  </w:tcBorders>
                  <w:vAlign w:val="center"/>
                </w:tcPr>
                <w:p w14:paraId="3D437C93">
                  <w:pPr>
                    <w:pStyle w:val="24"/>
                    <w:spacing w:line="240" w:lineRule="auto"/>
                    <w:rPr>
                      <w:rFonts w:hint="eastAsia"/>
                      <w:color w:val="auto"/>
                      <w:highlight w:val="none"/>
                      <w:lang w:val="en-US" w:eastAsia="zh-CN"/>
                    </w:rPr>
                  </w:pPr>
                </w:p>
              </w:tc>
              <w:tc>
                <w:tcPr>
                  <w:tcW w:w="289" w:type="pct"/>
                  <w:vMerge w:val="continue"/>
                  <w:tcBorders>
                    <w:tl2br w:val="nil"/>
                    <w:tr2bl w:val="nil"/>
                  </w:tcBorders>
                  <w:vAlign w:val="center"/>
                </w:tcPr>
                <w:p w14:paraId="660547DE">
                  <w:pPr>
                    <w:pStyle w:val="24"/>
                    <w:spacing w:line="240" w:lineRule="auto"/>
                    <w:rPr>
                      <w:rFonts w:hint="eastAsia"/>
                      <w:color w:val="auto"/>
                      <w:highlight w:val="none"/>
                      <w:lang w:val="en-US" w:eastAsia="zh-CN"/>
                    </w:rPr>
                  </w:pPr>
                </w:p>
              </w:tc>
              <w:tc>
                <w:tcPr>
                  <w:tcW w:w="457" w:type="pct"/>
                  <w:vMerge w:val="continue"/>
                  <w:tcBorders>
                    <w:tl2br w:val="nil"/>
                    <w:tr2bl w:val="nil"/>
                  </w:tcBorders>
                  <w:vAlign w:val="center"/>
                </w:tcPr>
                <w:p w14:paraId="406370BC">
                  <w:pPr>
                    <w:pStyle w:val="24"/>
                    <w:spacing w:line="240" w:lineRule="auto"/>
                    <w:rPr>
                      <w:rFonts w:hint="eastAsia"/>
                      <w:color w:val="auto"/>
                      <w:highlight w:val="none"/>
                      <w:lang w:val="en-US" w:eastAsia="zh-CN"/>
                    </w:rPr>
                  </w:pPr>
                </w:p>
              </w:tc>
              <w:tc>
                <w:tcPr>
                  <w:tcW w:w="392" w:type="pct"/>
                  <w:vMerge w:val="continue"/>
                  <w:tcBorders>
                    <w:tl2br w:val="nil"/>
                    <w:tr2bl w:val="nil"/>
                  </w:tcBorders>
                  <w:vAlign w:val="center"/>
                </w:tcPr>
                <w:p w14:paraId="276A7916">
                  <w:pPr>
                    <w:pStyle w:val="24"/>
                    <w:spacing w:line="240" w:lineRule="auto"/>
                    <w:rPr>
                      <w:rFonts w:hint="eastAsia"/>
                      <w:color w:val="auto"/>
                      <w:highlight w:val="none"/>
                    </w:rPr>
                  </w:pPr>
                </w:p>
              </w:tc>
              <w:tc>
                <w:tcPr>
                  <w:tcW w:w="467" w:type="pct"/>
                  <w:vMerge w:val="continue"/>
                  <w:tcBorders>
                    <w:tl2br w:val="nil"/>
                    <w:tr2bl w:val="nil"/>
                  </w:tcBorders>
                  <w:shd w:val="clear" w:color="auto" w:fill="auto"/>
                  <w:vAlign w:val="center"/>
                </w:tcPr>
                <w:p w14:paraId="4131DD4C">
                  <w:pPr>
                    <w:pStyle w:val="24"/>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p>
              </w:tc>
              <w:tc>
                <w:tcPr>
                  <w:tcW w:w="464" w:type="pct"/>
                  <w:vMerge w:val="continue"/>
                  <w:tcBorders>
                    <w:tl2br w:val="nil"/>
                    <w:tr2bl w:val="nil"/>
                  </w:tcBorders>
                  <w:shd w:val="clear" w:color="auto" w:fill="auto"/>
                  <w:vAlign w:val="center"/>
                </w:tcPr>
                <w:p w14:paraId="0AD25F36">
                  <w:pPr>
                    <w:pStyle w:val="24"/>
                    <w:spacing w:line="240" w:lineRule="auto"/>
                    <w:ind w:firstLine="0" w:firstLineChars="0"/>
                    <w:jc w:val="center"/>
                    <w:rPr>
                      <w:rFonts w:hint="eastAsia" w:ascii="Times New Roman" w:hAnsi="Times New Roman" w:eastAsia="宋体" w:cs="Times New Roman"/>
                      <w:color w:val="auto"/>
                      <w:sz w:val="21"/>
                      <w:szCs w:val="21"/>
                      <w:highlight w:val="none"/>
                    </w:rPr>
                  </w:pPr>
                </w:p>
              </w:tc>
              <w:tc>
                <w:tcPr>
                  <w:tcW w:w="400" w:type="pct"/>
                  <w:vMerge w:val="continue"/>
                  <w:tcBorders>
                    <w:tl2br w:val="nil"/>
                    <w:tr2bl w:val="nil"/>
                  </w:tcBorders>
                  <w:vAlign w:val="center"/>
                </w:tcPr>
                <w:p w14:paraId="640F8ABE">
                  <w:pPr>
                    <w:pStyle w:val="24"/>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404" w:type="pct"/>
                  <w:tcBorders>
                    <w:tl2br w:val="nil"/>
                    <w:tr2bl w:val="nil"/>
                  </w:tcBorders>
                  <w:vAlign w:val="center"/>
                </w:tcPr>
                <w:p w14:paraId="5A63CF30">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20.0</w:t>
                  </w:r>
                </w:p>
              </w:tc>
              <w:tc>
                <w:tcPr>
                  <w:tcW w:w="261" w:type="pct"/>
                  <w:vMerge w:val="continue"/>
                  <w:tcBorders>
                    <w:tl2br w:val="nil"/>
                    <w:tr2bl w:val="nil"/>
                  </w:tcBorders>
                  <w:vAlign w:val="center"/>
                </w:tcPr>
                <w:p w14:paraId="7BA9C7F6">
                  <w:pPr>
                    <w:pStyle w:val="24"/>
                    <w:spacing w:line="240" w:lineRule="auto"/>
                    <w:rPr>
                      <w:rFonts w:hint="eastAsia"/>
                      <w:color w:val="auto"/>
                      <w:highlight w:val="none"/>
                    </w:rPr>
                  </w:pPr>
                </w:p>
              </w:tc>
            </w:tr>
          </w:tbl>
          <w:p w14:paraId="3CD14593">
            <w:pPr>
              <w:keepNext w:val="0"/>
              <w:keepLines w:val="0"/>
              <w:pageBreakBefore w:val="0"/>
              <w:kinsoku/>
              <w:wordWrap/>
              <w:overflowPunct/>
              <w:autoSpaceDE/>
              <w:autoSpaceDN/>
              <w:bidi w:val="0"/>
              <w:spacing w:line="240" w:lineRule="auto"/>
              <w:ind w:firstLine="0" w:firstLineChars="0"/>
              <w:jc w:val="both"/>
              <w:rPr>
                <w:color w:val="auto"/>
                <w:highlight w:val="none"/>
              </w:rPr>
            </w:pPr>
          </w:p>
          <w:p w14:paraId="42925B61">
            <w:pPr>
              <w:keepNext w:val="0"/>
              <w:keepLines w:val="0"/>
              <w:pageBreakBefore w:val="0"/>
              <w:kinsoku/>
              <w:wordWrap/>
              <w:overflowPunct/>
              <w:autoSpaceDE/>
              <w:autoSpaceDN/>
              <w:bidi w:val="0"/>
              <w:spacing w:line="240" w:lineRule="auto"/>
              <w:ind w:firstLine="0" w:firstLineChars="0"/>
              <w:jc w:val="both"/>
              <w:rPr>
                <w:color w:val="auto"/>
                <w:highlight w:val="none"/>
              </w:rPr>
            </w:pPr>
          </w:p>
          <w:p w14:paraId="03C87DC5">
            <w:pPr>
              <w:pStyle w:val="10"/>
              <w:rPr>
                <w:color w:val="auto"/>
                <w:highlight w:val="none"/>
              </w:rPr>
            </w:pPr>
          </w:p>
          <w:p w14:paraId="7E436984">
            <w:pPr>
              <w:ind w:left="0" w:leftChars="0" w:firstLine="0" w:firstLineChars="0"/>
              <w:rPr>
                <w:color w:val="auto"/>
                <w:highlight w:val="none"/>
              </w:rPr>
            </w:pPr>
          </w:p>
          <w:p w14:paraId="603742DF">
            <w:pPr>
              <w:ind w:left="0" w:leftChars="0" w:firstLine="0" w:firstLineChars="0"/>
              <w:rPr>
                <w:color w:val="auto"/>
                <w:highlight w:val="none"/>
              </w:rPr>
            </w:pPr>
          </w:p>
          <w:p w14:paraId="0582ADC8">
            <w:pPr>
              <w:ind w:left="0" w:leftChars="0" w:firstLine="0" w:firstLineChars="0"/>
              <w:rPr>
                <w:color w:val="auto"/>
                <w:highlight w:val="none"/>
              </w:rPr>
            </w:pPr>
          </w:p>
          <w:p w14:paraId="365AEFEE">
            <w:pPr>
              <w:ind w:left="0" w:leftChars="0" w:firstLine="0" w:firstLineChars="0"/>
              <w:rPr>
                <w:color w:val="auto"/>
                <w:highlight w:val="none"/>
              </w:rPr>
            </w:pPr>
          </w:p>
        </w:tc>
      </w:tr>
    </w:tbl>
    <w:p w14:paraId="5EB4F9D2">
      <w:pPr>
        <w:keepNext w:val="0"/>
        <w:keepLines w:val="0"/>
        <w:pageBreakBefore w:val="0"/>
        <w:kinsoku/>
        <w:wordWrap/>
        <w:overflowPunct/>
        <w:autoSpaceDE/>
        <w:autoSpaceDN/>
        <w:bidi w:val="0"/>
        <w:spacing w:line="240" w:lineRule="auto"/>
        <w:ind w:firstLine="0" w:firstLineChars="0"/>
        <w:jc w:val="both"/>
        <w:rPr>
          <w:color w:val="auto"/>
          <w:highlight w:val="none"/>
        </w:rPr>
        <w:sectPr>
          <w:pgSz w:w="16840" w:h="11907" w:orient="landscape"/>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p>
    <w:tbl>
      <w:tblPr>
        <w:tblStyle w:val="16"/>
        <w:tblW w:w="88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03"/>
        <w:gridCol w:w="8541"/>
      </w:tblGrid>
      <w:tr w14:paraId="57F52E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9" w:hRule="atLeast"/>
          <w:jc w:val="center"/>
        </w:trPr>
        <w:tc>
          <w:tcPr>
            <w:tcW w:w="303" w:type="dxa"/>
            <w:tcMar>
              <w:left w:w="28" w:type="dxa"/>
              <w:right w:w="28" w:type="dxa"/>
            </w:tcMar>
            <w:vAlign w:val="center"/>
          </w:tcPr>
          <w:p w14:paraId="4D9D0700">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运营</w:t>
            </w:r>
          </w:p>
          <w:p w14:paraId="1C22642B">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期环</w:t>
            </w:r>
          </w:p>
          <w:p w14:paraId="6E697EF0">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境影</w:t>
            </w:r>
          </w:p>
          <w:p w14:paraId="6037BBAA">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响和</w:t>
            </w:r>
          </w:p>
          <w:p w14:paraId="552759F9">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保护</w:t>
            </w:r>
          </w:p>
          <w:p w14:paraId="61B390E7">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Cs/>
                <w:color w:val="auto"/>
                <w:szCs w:val="21"/>
                <w:highlight w:val="none"/>
              </w:rPr>
            </w:pPr>
            <w:r>
              <w:rPr>
                <w:rFonts w:hint="eastAsia" w:ascii="宋体" w:hAnsi="宋体" w:cs="宋体"/>
                <w:b/>
                <w:bCs w:val="0"/>
                <w:color w:val="auto"/>
                <w:szCs w:val="21"/>
                <w:highlight w:val="none"/>
              </w:rPr>
              <w:t>措施</w:t>
            </w:r>
          </w:p>
        </w:tc>
        <w:tc>
          <w:tcPr>
            <w:tcW w:w="8541" w:type="dxa"/>
            <w:vAlign w:val="center"/>
          </w:tcPr>
          <w:p w14:paraId="40CAD9E4">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1.4大气污染防治措施可行性分析</w:t>
            </w:r>
          </w:p>
          <w:p w14:paraId="7515042E">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参照《排污许可证申请与核发技术规范</w:t>
            </w:r>
            <w:r>
              <w:rPr>
                <w:rFonts w:hint="eastAsia" w:eastAsia="宋体" w:cs="Times New Roman"/>
                <w:color w:val="auto"/>
                <w:sz w:val="24"/>
                <w:szCs w:val="24"/>
                <w:highlight w:val="none"/>
                <w:lang w:val="en-US" w:eastAsia="zh-CN"/>
              </w:rPr>
              <w:t xml:space="preserve"> </w:t>
            </w:r>
            <w:r>
              <w:rPr>
                <w:rFonts w:hint="eastAsia" w:ascii="Times New Roman" w:hAnsi="Times New Roman" w:eastAsia="Times New Roman" w:cs="Times New Roman"/>
                <w:color w:val="auto"/>
                <w:sz w:val="24"/>
                <w:szCs w:val="24"/>
                <w:highlight w:val="none"/>
              </w:rPr>
              <w:t>工业固体废物和危险废物治理》（HJ1033-2019）附录C废气可行性技术参考表，危险废物贮存过程环保措施不作要求。</w:t>
            </w:r>
          </w:p>
          <w:p w14:paraId="4115CFDA">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本项目</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挥发性有机物主要来源于贮存废液压油、废空压机油、废汽轮机油、废变压器油、废润滑油</w:t>
            </w:r>
            <w:r>
              <w:rPr>
                <w:rFonts w:hint="eastAsia" w:eastAsia="宋体" w:cs="Times New Roman"/>
                <w:color w:val="auto"/>
                <w:sz w:val="24"/>
                <w:szCs w:val="24"/>
                <w:highlight w:val="none"/>
                <w:lang w:eastAsia="zh-CN"/>
              </w:rPr>
              <w:t>、废油漆桶、废油桶</w:t>
            </w:r>
            <w:r>
              <w:rPr>
                <w:rFonts w:hint="eastAsia" w:ascii="Times New Roman" w:hAnsi="Times New Roman" w:eastAsia="Times New Roman" w:cs="Times New Roman"/>
                <w:color w:val="auto"/>
                <w:sz w:val="24"/>
                <w:szCs w:val="24"/>
                <w:highlight w:val="none"/>
                <w:lang w:val="en-US" w:eastAsia="zh-CN"/>
              </w:rPr>
              <w:t>等</w:t>
            </w:r>
            <w:r>
              <w:rPr>
                <w:rFonts w:hint="eastAsia" w:ascii="Times New Roman" w:hAnsi="Times New Roman" w:eastAsia="Times New Roman" w:cs="Times New Roman"/>
                <w:color w:val="auto"/>
                <w:sz w:val="24"/>
                <w:szCs w:val="24"/>
                <w:highlight w:val="none"/>
              </w:rPr>
              <w:t>产生的废气，贮存过程中产生</w:t>
            </w:r>
            <w:r>
              <w:rPr>
                <w:rFonts w:hint="eastAsia" w:eastAsia="宋体" w:cs="Times New Roman"/>
                <w:color w:val="auto"/>
                <w:sz w:val="24"/>
                <w:szCs w:val="24"/>
                <w:highlight w:val="none"/>
                <w:lang w:eastAsia="zh-CN"/>
              </w:rPr>
              <w:t>的</w:t>
            </w:r>
            <w:r>
              <w:rPr>
                <w:rFonts w:hint="eastAsia" w:ascii="Times New Roman" w:hAnsi="Times New Roman" w:eastAsia="Times New Roman" w:cs="Times New Roman"/>
                <w:color w:val="auto"/>
                <w:sz w:val="24"/>
                <w:szCs w:val="24"/>
                <w:highlight w:val="none"/>
              </w:rPr>
              <w:t>挥发性有机物通过加盖密封贮存</w:t>
            </w:r>
            <w:r>
              <w:rPr>
                <w:rFonts w:hint="eastAsia" w:eastAsia="宋体" w:cs="Times New Roman"/>
                <w:color w:val="auto"/>
                <w:sz w:val="24"/>
                <w:szCs w:val="24"/>
                <w:highlight w:val="none"/>
                <w:lang w:val="en-US" w:eastAsia="zh-CN"/>
              </w:rPr>
              <w:t>+封闭车间等措施</w:t>
            </w:r>
            <w:r>
              <w:rPr>
                <w:rFonts w:hint="eastAsia" w:ascii="Times New Roman" w:hAnsi="Times New Roman" w:eastAsia="Times New Roman" w:cs="Times New Roman"/>
                <w:color w:val="auto"/>
                <w:sz w:val="24"/>
                <w:szCs w:val="24"/>
                <w:highlight w:val="none"/>
              </w:rPr>
              <w:t>从而减少废气产生，并在</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设置</w:t>
            </w:r>
            <w:r>
              <w:rPr>
                <w:rFonts w:hint="eastAsia" w:cs="Times New Roman"/>
                <w:color w:val="auto"/>
                <w:sz w:val="24"/>
                <w:szCs w:val="24"/>
                <w:highlight w:val="none"/>
                <w:lang w:eastAsia="zh-CN"/>
              </w:rPr>
              <w:t>排气扇</w:t>
            </w:r>
            <w:r>
              <w:rPr>
                <w:rFonts w:hint="eastAsia" w:ascii="Times New Roman" w:hAnsi="Times New Roman" w:eastAsia="Times New Roman" w:cs="Times New Roman"/>
                <w:color w:val="auto"/>
                <w:sz w:val="24"/>
                <w:szCs w:val="24"/>
                <w:highlight w:val="none"/>
              </w:rPr>
              <w:t>，经预测挥发性有机物可达标排放</w:t>
            </w:r>
            <w:r>
              <w:rPr>
                <w:rFonts w:hint="eastAsia" w:eastAsia="宋体"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因此污染防治措施可行。</w:t>
            </w:r>
          </w:p>
          <w:p w14:paraId="63E480E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1.</w:t>
            </w:r>
            <w:r>
              <w:rPr>
                <w:rFonts w:hint="eastAsia" w:eastAsia="宋体" w:cs="Times New Roman"/>
                <w:b/>
                <w:bCs/>
                <w:color w:val="auto"/>
                <w:sz w:val="24"/>
                <w:szCs w:val="24"/>
                <w:highlight w:val="none"/>
                <w:lang w:val="en-US" w:eastAsia="zh-CN"/>
              </w:rPr>
              <w:t>5</w:t>
            </w:r>
            <w:r>
              <w:rPr>
                <w:rFonts w:hint="eastAsia" w:ascii="Times New Roman" w:hAnsi="Times New Roman" w:eastAsia="Times New Roman" w:cs="Times New Roman"/>
                <w:b/>
                <w:bCs/>
                <w:color w:val="auto"/>
                <w:sz w:val="24"/>
                <w:szCs w:val="24"/>
                <w:highlight w:val="none"/>
              </w:rPr>
              <w:t>非正常工况排放情况</w:t>
            </w:r>
          </w:p>
          <w:p w14:paraId="368DBD34">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t>非正常工况是指污染物控制措施出现问题等因素引起的</w:t>
            </w:r>
            <w:r>
              <w:rPr>
                <w:rFonts w:hint="eastAsia" w:ascii="Times New Roman" w:hAnsi="Times New Roman" w:eastAsia="Times New Roman" w:cs="Times New Roman"/>
                <w:color w:val="auto"/>
                <w:sz w:val="24"/>
                <w:szCs w:val="24"/>
                <w:highlight w:val="none"/>
              </w:rPr>
              <w:t>污染物排放量</w:t>
            </w:r>
            <w:r>
              <w:rPr>
                <w:rFonts w:ascii="Times New Roman" w:hAnsi="Times New Roman" w:eastAsia="Times New Roman" w:cs="Times New Roman"/>
                <w:color w:val="auto"/>
                <w:sz w:val="24"/>
                <w:szCs w:val="24"/>
                <w:highlight w:val="none"/>
              </w:rPr>
              <w:t>高于设计值</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如</w:t>
            </w:r>
            <w:r>
              <w:rPr>
                <w:rFonts w:hint="eastAsia" w:cs="Times New Roman"/>
                <w:color w:val="auto"/>
                <w:sz w:val="24"/>
                <w:szCs w:val="24"/>
                <w:highlight w:val="none"/>
                <w:lang w:eastAsia="zh-CN"/>
              </w:rPr>
              <w:t>废油类物质和废油未加盖贮存</w:t>
            </w:r>
            <w:r>
              <w:rPr>
                <w:rFonts w:hint="eastAsia" w:eastAsia="宋体" w:cs="Times New Roman"/>
                <w:color w:val="auto"/>
                <w:sz w:val="24"/>
                <w:szCs w:val="24"/>
                <w:highlight w:val="none"/>
                <w:lang w:eastAsia="zh-CN"/>
              </w:rPr>
              <w:t>、事故状态下</w:t>
            </w:r>
            <w:r>
              <w:rPr>
                <w:rFonts w:hint="eastAsia" w:ascii="Times New Roman" w:hAnsi="Times New Roman" w:eastAsia="Times New Roman" w:cs="Times New Roman"/>
                <w:color w:val="auto"/>
                <w:sz w:val="24"/>
                <w:szCs w:val="24"/>
                <w:highlight w:val="none"/>
                <w:lang w:eastAsia="zh-CN"/>
              </w:rPr>
              <w:t>废铅蓄电池</w:t>
            </w:r>
            <w:r>
              <w:rPr>
                <w:rFonts w:hint="eastAsia" w:eastAsia="Times New Roman" w:cs="Times New Roman"/>
                <w:color w:val="auto"/>
                <w:sz w:val="24"/>
                <w:szCs w:val="24"/>
                <w:highlight w:val="none"/>
                <w:lang w:eastAsia="zh-CN"/>
              </w:rPr>
              <w:t>破损泄露产生</w:t>
            </w:r>
            <w:r>
              <w:rPr>
                <w:rFonts w:hint="eastAsia" w:ascii="Times New Roman" w:hAnsi="Times New Roman" w:eastAsia="Times New Roman" w:cs="Times New Roman"/>
                <w:color w:val="auto"/>
                <w:sz w:val="24"/>
                <w:szCs w:val="24"/>
                <w:highlight w:val="none"/>
                <w:lang w:eastAsia="zh-CN"/>
              </w:rPr>
              <w:t>废气等</w:t>
            </w:r>
            <w:r>
              <w:rPr>
                <w:rFonts w:hint="eastAsia" w:eastAsia="Times New Roman" w:cs="Times New Roman"/>
                <w:color w:val="auto"/>
                <w:sz w:val="24"/>
                <w:szCs w:val="24"/>
                <w:highlight w:val="none"/>
                <w:lang w:eastAsia="zh-CN"/>
              </w:rPr>
              <w:t>情况</w:t>
            </w:r>
            <w:r>
              <w:rPr>
                <w:rFonts w:hint="eastAsia" w:ascii="Times New Roman" w:hAnsi="Times New Roman" w:eastAsia="Times New Roman" w:cs="Times New Roman"/>
                <w:color w:val="auto"/>
                <w:sz w:val="24"/>
                <w:szCs w:val="24"/>
                <w:highlight w:val="none"/>
              </w:rPr>
              <w:t>。</w:t>
            </w:r>
          </w:p>
          <w:p w14:paraId="0EB6FE55">
            <w:pPr>
              <w:rPr>
                <w:rFonts w:hint="eastAsia" w:eastAsia="宋体"/>
                <w:b/>
                <w:bCs/>
                <w:color w:val="auto"/>
                <w:highlight w:val="none"/>
                <w:lang w:eastAsia="zh-CN"/>
              </w:rPr>
            </w:pPr>
            <w:r>
              <w:rPr>
                <w:rFonts w:hint="eastAsia" w:eastAsia="宋体"/>
                <w:b/>
                <w:bCs/>
                <w:color w:val="auto"/>
                <w:highlight w:val="none"/>
                <w:lang w:eastAsia="zh-CN"/>
              </w:rPr>
              <w:t>（1）事故状态下废铅蓄电池</w:t>
            </w:r>
            <w:r>
              <w:rPr>
                <w:rFonts w:hint="eastAsia"/>
                <w:b/>
                <w:bCs/>
                <w:color w:val="auto"/>
                <w:highlight w:val="none"/>
                <w:lang w:eastAsia="zh-CN"/>
              </w:rPr>
              <w:t>破损泄露</w:t>
            </w:r>
            <w:r>
              <w:rPr>
                <w:rFonts w:hint="eastAsia" w:eastAsia="宋体"/>
                <w:b/>
                <w:bCs/>
                <w:color w:val="auto"/>
                <w:highlight w:val="none"/>
                <w:lang w:eastAsia="zh-CN"/>
              </w:rPr>
              <w:t>废气</w:t>
            </w:r>
          </w:p>
          <w:p w14:paraId="0763018D">
            <w:pPr>
              <w:rPr>
                <w:rFonts w:hint="eastAsia" w:eastAsia="宋体"/>
                <w:color w:val="auto"/>
                <w:highlight w:val="none"/>
                <w:lang w:eastAsia="zh-CN"/>
              </w:rPr>
            </w:pPr>
            <w:r>
              <w:rPr>
                <w:rFonts w:hint="eastAsia" w:eastAsia="宋体"/>
                <w:color w:val="auto"/>
                <w:highlight w:val="none"/>
                <w:lang w:eastAsia="zh-CN"/>
              </w:rPr>
              <w:t>本项目贮存的废电池为设备故障时产生的废铅蓄电池，项目产生废电池在厂区内更换、周转，产生过程中加强防护，贮存时要求将电极用绝缘胶带包裹，且采用耐酸耐腐蚀箱周转，避免电池在厂区内周转和贮存过程中发生泄漏。一般情况下，更换的废铅蓄电池为完好无破损状态，且本项目不对其进行拆解。</w:t>
            </w:r>
          </w:p>
          <w:p w14:paraId="35C81E55">
            <w:pPr>
              <w:pStyle w:val="13"/>
              <w:ind w:firstLine="480"/>
              <w:rPr>
                <w:rFonts w:hint="eastAsia"/>
                <w:color w:val="auto"/>
                <w:highlight w:val="none"/>
              </w:rPr>
            </w:pPr>
            <w:r>
              <w:rPr>
                <w:rFonts w:hint="eastAsia"/>
                <w:color w:val="auto"/>
                <w:highlight w:val="none"/>
              </w:rPr>
              <w:t>在事故状态下，可能会发生废铅蓄电池</w:t>
            </w:r>
            <w:r>
              <w:rPr>
                <w:rFonts w:hint="eastAsia"/>
                <w:color w:val="auto"/>
                <w:highlight w:val="none"/>
                <w:lang w:eastAsia="zh-CN"/>
              </w:rPr>
              <w:t>破损，造成</w:t>
            </w:r>
            <w:r>
              <w:rPr>
                <w:rFonts w:hint="eastAsia"/>
                <w:color w:val="auto"/>
                <w:highlight w:val="none"/>
              </w:rPr>
              <w:t>废铅蓄电池中的硫酸（电解液）泄漏，</w:t>
            </w:r>
            <w:r>
              <w:rPr>
                <w:rFonts w:hint="eastAsia"/>
                <w:color w:val="auto"/>
                <w:highlight w:val="none"/>
                <w:lang w:eastAsia="zh-CN"/>
              </w:rPr>
              <w:t>破损电池采用塑料薄膜包装后，</w:t>
            </w:r>
            <w:r>
              <w:rPr>
                <w:rFonts w:hint="eastAsia"/>
                <w:color w:val="auto"/>
                <w:highlight w:val="none"/>
              </w:rPr>
              <w:t>拟将其放入耐酸耐腐蚀箱，加盖密闭，并放置于防腐防渗漏托盘内贮存，</w:t>
            </w:r>
            <w:r>
              <w:rPr>
                <w:rFonts w:hint="eastAsia"/>
                <w:color w:val="auto"/>
                <w:highlight w:val="none"/>
                <w:lang w:eastAsia="zh-CN"/>
              </w:rPr>
              <w:t>泄漏电解液收集至</w:t>
            </w:r>
            <w:r>
              <w:rPr>
                <w:rFonts w:hint="eastAsia"/>
                <w:color w:val="auto"/>
                <w:highlight w:val="none"/>
              </w:rPr>
              <w:t>耐酸耐腐蚀箱，加盖密闭，并放置于防腐防渗漏托盘内贮存，</w:t>
            </w:r>
            <w:r>
              <w:rPr>
                <w:rFonts w:hint="eastAsia"/>
                <w:color w:val="auto"/>
                <w:highlight w:val="none"/>
                <w:lang w:eastAsia="zh-CN"/>
              </w:rPr>
              <w:t>本项目贮存废铅蓄电池量较小，仅在事故状态下才有少量</w:t>
            </w:r>
            <w:r>
              <w:rPr>
                <w:rFonts w:hint="eastAsia"/>
                <w:color w:val="auto"/>
                <w:highlight w:val="none"/>
              </w:rPr>
              <w:t>硫酸雾</w:t>
            </w:r>
            <w:r>
              <w:rPr>
                <w:rFonts w:hint="eastAsia"/>
                <w:color w:val="auto"/>
                <w:highlight w:val="none"/>
                <w:lang w:eastAsia="zh-CN"/>
              </w:rPr>
              <w:t>挥发</w:t>
            </w:r>
            <w:r>
              <w:rPr>
                <w:rFonts w:hint="eastAsia"/>
                <w:color w:val="auto"/>
                <w:highlight w:val="none"/>
              </w:rPr>
              <w:t>。预计铅酸蓄电池发生泄漏概率为1‰，</w:t>
            </w:r>
            <w:r>
              <w:rPr>
                <w:rFonts w:hint="eastAsia"/>
                <w:bCs/>
                <w:color w:val="auto"/>
                <w:szCs w:val="24"/>
                <w:highlight w:val="none"/>
              </w:rPr>
              <w:t>其中铅蓄电池中电解液含量约为10%，</w:t>
            </w:r>
            <w:r>
              <w:rPr>
                <w:rFonts w:hint="eastAsia"/>
                <w:color w:val="auto"/>
                <w:highlight w:val="none"/>
                <w:lang w:eastAsia="zh-CN"/>
              </w:rPr>
              <w:t>按废蓄电池最大贮存量为</w:t>
            </w:r>
            <w:r>
              <w:rPr>
                <w:rFonts w:hint="eastAsia"/>
                <w:color w:val="auto"/>
                <w:highlight w:val="none"/>
                <w:lang w:val="en-US" w:eastAsia="zh-CN"/>
              </w:rPr>
              <w:t>0.52t计，</w:t>
            </w:r>
            <w:r>
              <w:rPr>
                <w:rFonts w:hint="eastAsia"/>
                <w:color w:val="auto"/>
                <w:highlight w:val="none"/>
              </w:rPr>
              <w:t>电解液年最大泄漏量约</w:t>
            </w:r>
            <w:r>
              <w:rPr>
                <w:rFonts w:hint="eastAsia"/>
                <w:color w:val="auto"/>
                <w:highlight w:val="none"/>
                <w:lang w:val="en-US" w:eastAsia="zh-CN"/>
              </w:rPr>
              <w:t>0.052</w:t>
            </w:r>
            <w:r>
              <w:rPr>
                <w:rFonts w:hint="eastAsia"/>
                <w:color w:val="auto"/>
                <w:highlight w:val="none"/>
              </w:rPr>
              <w:t>t/a。其中电解液中硫酸含量为40%。酸雾挥发量参照《环境统计册》中推荐的酸雾统计公式，</w:t>
            </w:r>
            <w:r>
              <w:rPr>
                <w:rFonts w:hint="eastAsia"/>
                <w:bCs/>
                <w:color w:val="auto"/>
                <w:szCs w:val="24"/>
                <w:highlight w:val="none"/>
              </w:rPr>
              <w:t>则硫酸雾挥发量为</w:t>
            </w:r>
            <w:r>
              <w:rPr>
                <w:rFonts w:hint="eastAsia"/>
                <w:bCs/>
                <w:color w:val="auto"/>
                <w:szCs w:val="24"/>
                <w:highlight w:val="none"/>
                <w:lang w:val="en-US" w:eastAsia="zh-CN"/>
              </w:rPr>
              <w:t>0.0208</w:t>
            </w:r>
            <w:r>
              <w:rPr>
                <w:rFonts w:hint="eastAsia"/>
                <w:bCs/>
                <w:color w:val="auto"/>
                <w:szCs w:val="24"/>
                <w:highlight w:val="none"/>
              </w:rPr>
              <w:t>t/a。</w:t>
            </w:r>
          </w:p>
          <w:p w14:paraId="4A311EA2">
            <w:pPr>
              <w:rPr>
                <w:rFonts w:hint="default" w:eastAsia="宋体"/>
                <w:b/>
                <w:bCs/>
                <w:color w:val="auto"/>
                <w:highlight w:val="none"/>
                <w:lang w:val="en-US" w:eastAsia="zh-CN"/>
              </w:rPr>
            </w:pPr>
            <w:r>
              <w:rPr>
                <w:rFonts w:hint="eastAsia" w:eastAsia="宋体"/>
                <w:b/>
                <w:bCs/>
                <w:color w:val="auto"/>
                <w:highlight w:val="none"/>
                <w:lang w:eastAsia="zh-CN"/>
              </w:rPr>
              <w:t>（2）</w:t>
            </w:r>
            <w:r>
              <w:rPr>
                <w:rFonts w:hint="eastAsia"/>
                <w:b/>
                <w:bCs/>
                <w:color w:val="auto"/>
                <w:highlight w:val="none"/>
                <w:lang w:eastAsia="zh-CN"/>
              </w:rPr>
              <w:t>废油类物质和废油桶未加盖贮存</w:t>
            </w:r>
          </w:p>
          <w:p w14:paraId="587FB547">
            <w:pPr>
              <w:rPr>
                <w:rFonts w:hint="eastAsia" w:eastAsia="宋体"/>
                <w:color w:val="auto"/>
                <w:highlight w:val="none"/>
                <w:lang w:val="en-US" w:eastAsia="zh-CN"/>
              </w:rPr>
            </w:pPr>
            <w:r>
              <w:rPr>
                <w:rFonts w:hint="eastAsia" w:eastAsia="宋体"/>
                <w:color w:val="auto"/>
                <w:highlight w:val="none"/>
                <w:lang w:eastAsia="zh-CN"/>
              </w:rPr>
              <w:t>废油类危险废物贮存废气通过采用加盖铁桶盛装，由于废油桶未加盖及加盖不严，可能造成贮存废气挥发</w:t>
            </w:r>
            <w:r>
              <w:rPr>
                <w:rFonts w:hint="eastAsia" w:eastAsia="宋体"/>
                <w:color w:val="auto"/>
                <w:highlight w:val="none"/>
                <w:lang w:val="en-US" w:eastAsia="zh-CN"/>
              </w:rPr>
              <w:t>，则废油类危险废物的贮存废气会逸散到大气中。</w:t>
            </w:r>
          </w:p>
          <w:p w14:paraId="35CA4014">
            <w:pPr>
              <w:pStyle w:val="25"/>
              <w:bidi w:val="0"/>
              <w:rPr>
                <w:color w:val="auto"/>
                <w:highlight w:val="none"/>
              </w:rPr>
            </w:pPr>
            <w:r>
              <w:rPr>
                <w:rFonts w:hint="eastAsia"/>
                <w:color w:val="auto"/>
                <w:highlight w:val="none"/>
              </w:rPr>
              <w:t>工程非正常废气污染物排放情况一览表</w:t>
            </w:r>
          </w:p>
          <w:tbl>
            <w:tblPr>
              <w:tblStyle w:val="17"/>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762"/>
              <w:gridCol w:w="2727"/>
              <w:gridCol w:w="3836"/>
            </w:tblGrid>
            <w:tr w14:paraId="1E7D34E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762" w:type="dxa"/>
                  <w:tcBorders>
                    <w:tl2br w:val="nil"/>
                    <w:tr2bl w:val="nil"/>
                  </w:tcBorders>
                  <w:vAlign w:val="center"/>
                </w:tcPr>
                <w:p w14:paraId="5F479E84">
                  <w:pPr>
                    <w:pStyle w:val="27"/>
                    <w:spacing w:line="240" w:lineRule="auto"/>
                    <w:jc w:val="center"/>
                    <w:rPr>
                      <w:rFonts w:hint="eastAsia"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非正常排放原因</w:t>
                  </w:r>
                </w:p>
              </w:tc>
              <w:tc>
                <w:tcPr>
                  <w:tcW w:w="2727" w:type="dxa"/>
                  <w:tcBorders>
                    <w:tl2br w:val="nil"/>
                    <w:tr2bl w:val="nil"/>
                  </w:tcBorders>
                  <w:vAlign w:val="center"/>
                </w:tcPr>
                <w:p w14:paraId="04675CF6">
                  <w:pPr>
                    <w:pStyle w:val="24"/>
                    <w:spacing w:line="240" w:lineRule="auto"/>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废油类物质、废油桶未加盖贮存</w:t>
                  </w:r>
                </w:p>
              </w:tc>
              <w:tc>
                <w:tcPr>
                  <w:tcW w:w="0" w:type="auto"/>
                  <w:tcBorders>
                    <w:tl2br w:val="nil"/>
                    <w:tr2bl w:val="nil"/>
                  </w:tcBorders>
                  <w:vAlign w:val="center"/>
                </w:tcPr>
                <w:p w14:paraId="2E71269C">
                  <w:pPr>
                    <w:pStyle w:val="24"/>
                    <w:spacing w:line="240" w:lineRule="auto"/>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废铅蓄电池破损</w:t>
                  </w:r>
                </w:p>
              </w:tc>
            </w:tr>
            <w:tr w14:paraId="702B00D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762" w:type="dxa"/>
                  <w:tcBorders>
                    <w:tl2br w:val="nil"/>
                    <w:tr2bl w:val="nil"/>
                  </w:tcBorders>
                  <w:vAlign w:val="center"/>
                </w:tcPr>
                <w:p w14:paraId="45A72369">
                  <w:pPr>
                    <w:pStyle w:val="27"/>
                    <w:spacing w:line="240" w:lineRule="auto"/>
                    <w:jc w:val="center"/>
                    <w:rPr>
                      <w:rFonts w:hint="eastAsia"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2727" w:type="dxa"/>
                  <w:tcBorders>
                    <w:tl2br w:val="nil"/>
                    <w:tr2bl w:val="nil"/>
                  </w:tcBorders>
                  <w:vAlign w:val="center"/>
                </w:tcPr>
                <w:p w14:paraId="5C8B83FB">
                  <w:pPr>
                    <w:pStyle w:val="24"/>
                    <w:spacing w:line="240" w:lineRule="auto"/>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非甲烷总烃</w:t>
                  </w:r>
                </w:p>
              </w:tc>
              <w:tc>
                <w:tcPr>
                  <w:tcW w:w="0" w:type="auto"/>
                  <w:tcBorders>
                    <w:tl2br w:val="nil"/>
                    <w:tr2bl w:val="nil"/>
                  </w:tcBorders>
                  <w:vAlign w:val="center"/>
                </w:tcPr>
                <w:p w14:paraId="6552AE62">
                  <w:pPr>
                    <w:pStyle w:val="24"/>
                    <w:spacing w:line="240" w:lineRule="auto"/>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硫酸雾</w:t>
                  </w:r>
                </w:p>
              </w:tc>
            </w:tr>
            <w:tr w14:paraId="09D48C3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762" w:type="dxa"/>
                  <w:tcBorders>
                    <w:tl2br w:val="nil"/>
                    <w:tr2bl w:val="nil"/>
                  </w:tcBorders>
                  <w:vAlign w:val="center"/>
                </w:tcPr>
                <w:p w14:paraId="7CA8CF0A">
                  <w:pPr>
                    <w:pStyle w:val="27"/>
                    <w:spacing w:line="240" w:lineRule="auto"/>
                    <w:jc w:val="center"/>
                    <w:rPr>
                      <w:rFonts w:hint="eastAsia"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非正常排放速率kg/h</w:t>
                  </w:r>
                </w:p>
              </w:tc>
              <w:tc>
                <w:tcPr>
                  <w:tcW w:w="2727" w:type="dxa"/>
                  <w:tcBorders>
                    <w:tl2br w:val="nil"/>
                    <w:tr2bl w:val="nil"/>
                  </w:tcBorders>
                  <w:vAlign w:val="center"/>
                </w:tcPr>
                <w:p w14:paraId="446F1CE0">
                  <w:pPr>
                    <w:pStyle w:val="24"/>
                    <w:spacing w:line="240" w:lineRule="auto"/>
                    <w:ind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0.000183</w:t>
                  </w:r>
                </w:p>
              </w:tc>
              <w:tc>
                <w:tcPr>
                  <w:tcW w:w="0" w:type="auto"/>
                  <w:tcBorders>
                    <w:tl2br w:val="nil"/>
                    <w:tr2bl w:val="nil"/>
                  </w:tcBorders>
                  <w:vAlign w:val="center"/>
                </w:tcPr>
                <w:p w14:paraId="2740B6CD">
                  <w:pPr>
                    <w:pStyle w:val="24"/>
                    <w:spacing w:line="240" w:lineRule="auto"/>
                    <w:ind w:firstLine="0" w:firstLine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0.00</w:t>
                  </w:r>
                  <w:r>
                    <w:rPr>
                      <w:rFonts w:hint="eastAsia" w:ascii="Times New Roman" w:hAnsi="Times New Roman" w:eastAsia="宋体" w:cs="Times New Roman"/>
                      <w:color w:val="auto"/>
                      <w:sz w:val="21"/>
                      <w:szCs w:val="21"/>
                      <w:highlight w:val="none"/>
                      <w:lang w:val="en-US" w:eastAsia="zh-CN"/>
                    </w:rPr>
                    <w:t>2374</w:t>
                  </w:r>
                </w:p>
              </w:tc>
            </w:tr>
            <w:tr w14:paraId="3B2AC0A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762" w:type="dxa"/>
                  <w:tcBorders>
                    <w:tl2br w:val="nil"/>
                    <w:tr2bl w:val="nil"/>
                  </w:tcBorders>
                  <w:vAlign w:val="center"/>
                </w:tcPr>
                <w:p w14:paraId="417C363A">
                  <w:pPr>
                    <w:pStyle w:val="27"/>
                    <w:spacing w:line="240" w:lineRule="auto"/>
                    <w:jc w:val="center"/>
                    <w:rPr>
                      <w:rFonts w:hint="eastAsia"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非正常排放</w:t>
                  </w:r>
                  <w:r>
                    <w:rPr>
                      <w:rFonts w:ascii="Times New Roman" w:hAnsi="Times New Roman" w:eastAsia="宋体" w:cs="Times New Roman"/>
                      <w:b/>
                      <w:color w:val="auto"/>
                      <w:sz w:val="21"/>
                      <w:szCs w:val="21"/>
                      <w:highlight w:val="none"/>
                    </w:rPr>
                    <w:t>浓度</w:t>
                  </w:r>
                  <w:r>
                    <w:rPr>
                      <w:rFonts w:hint="default" w:ascii="Times New Roman" w:hAnsi="Times New Roman" w:eastAsia="宋体" w:cs="Times New Roman"/>
                      <w:b/>
                      <w:color w:val="auto"/>
                      <w:sz w:val="21"/>
                      <w:szCs w:val="21"/>
                      <w:highlight w:val="none"/>
                    </w:rPr>
                    <w:t>mg/m</w:t>
                  </w:r>
                  <w:r>
                    <w:rPr>
                      <w:rFonts w:hint="default" w:ascii="Times New Roman" w:hAnsi="Times New Roman" w:eastAsia="宋体" w:cs="Times New Roman"/>
                      <w:b/>
                      <w:color w:val="auto"/>
                      <w:sz w:val="21"/>
                      <w:szCs w:val="21"/>
                      <w:highlight w:val="none"/>
                      <w:vertAlign w:val="superscript"/>
                    </w:rPr>
                    <w:t>3</w:t>
                  </w:r>
                </w:p>
              </w:tc>
              <w:tc>
                <w:tcPr>
                  <w:tcW w:w="2727" w:type="dxa"/>
                  <w:tcBorders>
                    <w:tl2br w:val="nil"/>
                    <w:tr2bl w:val="nil"/>
                  </w:tcBorders>
                  <w:vAlign w:val="center"/>
                </w:tcPr>
                <w:p w14:paraId="6969E9C5">
                  <w:pPr>
                    <w:pStyle w:val="24"/>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0.183</w:t>
                  </w:r>
                </w:p>
              </w:tc>
              <w:tc>
                <w:tcPr>
                  <w:tcW w:w="0" w:type="auto"/>
                  <w:tcBorders>
                    <w:tl2br w:val="nil"/>
                    <w:tr2bl w:val="nil"/>
                  </w:tcBorders>
                  <w:vAlign w:val="center"/>
                </w:tcPr>
                <w:p w14:paraId="1BC943D2">
                  <w:pPr>
                    <w:pStyle w:val="24"/>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5.28</w:t>
                  </w:r>
                </w:p>
              </w:tc>
            </w:tr>
            <w:tr w14:paraId="1CE9B87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762" w:type="dxa"/>
                  <w:tcBorders>
                    <w:tl2br w:val="nil"/>
                    <w:tr2bl w:val="nil"/>
                  </w:tcBorders>
                  <w:vAlign w:val="center"/>
                </w:tcPr>
                <w:p w14:paraId="05DC663F">
                  <w:pPr>
                    <w:pStyle w:val="27"/>
                    <w:spacing w:line="240" w:lineRule="auto"/>
                    <w:jc w:val="center"/>
                    <w:rPr>
                      <w:rFonts w:hint="eastAsia"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单次持续时间/h</w:t>
                  </w:r>
                </w:p>
              </w:tc>
              <w:tc>
                <w:tcPr>
                  <w:tcW w:w="2727" w:type="dxa"/>
                  <w:tcBorders>
                    <w:tl2br w:val="nil"/>
                    <w:tr2bl w:val="nil"/>
                  </w:tcBorders>
                  <w:vAlign w:val="center"/>
                </w:tcPr>
                <w:p w14:paraId="3ACD15E2">
                  <w:pPr>
                    <w:pStyle w:val="24"/>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w:t>
                  </w:r>
                </w:p>
              </w:tc>
              <w:tc>
                <w:tcPr>
                  <w:tcW w:w="0" w:type="auto"/>
                  <w:tcBorders>
                    <w:tl2br w:val="nil"/>
                    <w:tr2bl w:val="nil"/>
                  </w:tcBorders>
                  <w:vAlign w:val="center"/>
                </w:tcPr>
                <w:p w14:paraId="20EF70D6">
                  <w:pPr>
                    <w:pStyle w:val="24"/>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8760</w:t>
                  </w:r>
                </w:p>
              </w:tc>
            </w:tr>
            <w:tr w14:paraId="53D48D8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762" w:type="dxa"/>
                  <w:tcBorders>
                    <w:tl2br w:val="nil"/>
                    <w:tr2bl w:val="nil"/>
                  </w:tcBorders>
                  <w:vAlign w:val="center"/>
                </w:tcPr>
                <w:p w14:paraId="378C67F4">
                  <w:pPr>
                    <w:pStyle w:val="27"/>
                    <w:spacing w:line="240" w:lineRule="auto"/>
                    <w:jc w:val="center"/>
                    <w:rPr>
                      <w:rFonts w:hint="eastAsia" w:ascii="Times New Roman" w:hAnsi="Times New Roman" w:eastAsia="宋体" w:cs="Times New Roman"/>
                      <w:b/>
                      <w:color w:val="auto"/>
                      <w:sz w:val="21"/>
                      <w:szCs w:val="21"/>
                      <w:highlight w:val="none"/>
                      <w:lang w:eastAsia="zh-CN"/>
                    </w:rPr>
                  </w:pPr>
                  <w:r>
                    <w:rPr>
                      <w:rFonts w:hint="eastAsia" w:ascii="Times New Roman" w:hAnsi="Times New Roman" w:eastAsia="宋体" w:cs="Times New Roman"/>
                      <w:b/>
                      <w:color w:val="auto"/>
                      <w:sz w:val="21"/>
                      <w:szCs w:val="21"/>
                      <w:highlight w:val="none"/>
                      <w:lang w:eastAsia="zh-CN"/>
                    </w:rPr>
                    <w:t>频次</w:t>
                  </w:r>
                </w:p>
              </w:tc>
              <w:tc>
                <w:tcPr>
                  <w:tcW w:w="2727" w:type="dxa"/>
                  <w:tcBorders>
                    <w:tl2br w:val="nil"/>
                    <w:tr2bl w:val="nil"/>
                  </w:tcBorders>
                  <w:vAlign w:val="center"/>
                </w:tcPr>
                <w:p w14:paraId="08868BB0">
                  <w:pPr>
                    <w:pStyle w:val="24"/>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0" w:type="auto"/>
                  <w:tcBorders>
                    <w:tl2br w:val="nil"/>
                    <w:tr2bl w:val="nil"/>
                  </w:tcBorders>
                  <w:vAlign w:val="center"/>
                </w:tcPr>
                <w:p w14:paraId="197EE06A">
                  <w:pPr>
                    <w:pStyle w:val="24"/>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r>
            <w:tr w14:paraId="646CBCB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762" w:type="dxa"/>
                  <w:tcBorders>
                    <w:tl2br w:val="nil"/>
                    <w:tr2bl w:val="nil"/>
                  </w:tcBorders>
                  <w:vAlign w:val="center"/>
                </w:tcPr>
                <w:p w14:paraId="1A1B876F">
                  <w:pPr>
                    <w:pStyle w:val="27"/>
                    <w:spacing w:line="240" w:lineRule="auto"/>
                    <w:jc w:val="center"/>
                    <w:rPr>
                      <w:rFonts w:hint="eastAsia" w:ascii="Times New Roman" w:hAnsi="Times New Roman" w:eastAsia="宋体" w:cs="Times New Roman"/>
                      <w:b/>
                      <w:color w:val="auto"/>
                      <w:sz w:val="21"/>
                      <w:szCs w:val="21"/>
                      <w:highlight w:val="none"/>
                      <w:lang w:eastAsia="zh-CN"/>
                    </w:rPr>
                  </w:pPr>
                  <w:r>
                    <w:rPr>
                      <w:rFonts w:hint="eastAsia" w:ascii="Times New Roman" w:hAnsi="Times New Roman" w:eastAsia="宋体" w:cs="Times New Roman"/>
                      <w:b/>
                      <w:color w:val="auto"/>
                      <w:sz w:val="21"/>
                      <w:szCs w:val="21"/>
                      <w:highlight w:val="none"/>
                      <w:lang w:eastAsia="zh-CN"/>
                    </w:rPr>
                    <w:t>措施</w:t>
                  </w:r>
                </w:p>
              </w:tc>
              <w:tc>
                <w:tcPr>
                  <w:tcW w:w="2727" w:type="dxa"/>
                  <w:tcBorders>
                    <w:tl2br w:val="nil"/>
                    <w:tr2bl w:val="nil"/>
                  </w:tcBorders>
                  <w:vAlign w:val="center"/>
                </w:tcPr>
                <w:p w14:paraId="4919A0E9">
                  <w:pPr>
                    <w:pStyle w:val="24"/>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使用专用收集工具，轻拿轻放，避免碰撞，规范包装，减少挤压，定期对贮存包装材料是否破损等进行检查</w:t>
                  </w:r>
                </w:p>
              </w:tc>
              <w:tc>
                <w:tcPr>
                  <w:tcW w:w="0" w:type="auto"/>
                  <w:tcBorders>
                    <w:tl2br w:val="nil"/>
                    <w:tr2bl w:val="nil"/>
                  </w:tcBorders>
                  <w:vAlign w:val="center"/>
                </w:tcPr>
                <w:p w14:paraId="40C42D37">
                  <w:pPr>
                    <w:pStyle w:val="24"/>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通过使用专用收集工具，轻拿轻放，避免碰撞，规范包装，减少挤压，定期对贮存包装材料、废铅蓄电池是否破损情况等进行检查</w:t>
                  </w:r>
                </w:p>
              </w:tc>
            </w:tr>
          </w:tbl>
          <w:p w14:paraId="7C8E6D55">
            <w:pPr>
              <w:bidi w:val="0"/>
              <w:rPr>
                <w:rFonts w:hint="eastAsia"/>
                <w:color w:val="auto"/>
                <w:highlight w:val="none"/>
              </w:rPr>
            </w:pPr>
            <w:r>
              <w:rPr>
                <w:rFonts w:hint="eastAsia"/>
                <w:color w:val="auto"/>
                <w:highlight w:val="none"/>
              </w:rPr>
              <w:t>为保证项目无故障运行，通过使用专用收集工具，轻拿轻放，避免碰撞，规范包装，减少挤压，定期对贮存包装材料</w:t>
            </w:r>
            <w:r>
              <w:rPr>
                <w:rFonts w:hint="eastAsia"/>
                <w:color w:val="auto"/>
                <w:highlight w:val="none"/>
                <w:lang w:eastAsia="zh-CN"/>
              </w:rPr>
              <w:t>、废铅蓄电池是否破损等</w:t>
            </w:r>
            <w:r>
              <w:rPr>
                <w:rFonts w:hint="eastAsia"/>
                <w:color w:val="auto"/>
                <w:highlight w:val="none"/>
              </w:rPr>
              <w:t>进行检查，减少危险废物收集过程中事故的产生。</w:t>
            </w:r>
          </w:p>
          <w:p w14:paraId="58187161">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b/>
                <w:bCs/>
                <w:color w:val="auto"/>
                <w:sz w:val="24"/>
                <w:szCs w:val="24"/>
                <w:highlight w:val="none"/>
              </w:rPr>
              <w:t>1.</w:t>
            </w:r>
            <w:r>
              <w:rPr>
                <w:rFonts w:hint="eastAsia" w:eastAsia="宋体" w:cs="Times New Roman"/>
                <w:b/>
                <w:bCs/>
                <w:color w:val="auto"/>
                <w:sz w:val="24"/>
                <w:szCs w:val="24"/>
                <w:highlight w:val="none"/>
                <w:lang w:val="en-US" w:eastAsia="zh-CN"/>
              </w:rPr>
              <w:t>6</w:t>
            </w:r>
            <w:r>
              <w:rPr>
                <w:rFonts w:hint="eastAsia" w:ascii="Times New Roman" w:hAnsi="Times New Roman" w:eastAsia="Times New Roman" w:cs="Times New Roman"/>
                <w:b/>
                <w:bCs/>
                <w:color w:val="auto"/>
                <w:sz w:val="24"/>
                <w:szCs w:val="24"/>
                <w:highlight w:val="none"/>
              </w:rPr>
              <w:t>大气防护距离</w:t>
            </w:r>
          </w:p>
          <w:p w14:paraId="3CC28BE0">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《环境影响评价技术导则 大气环境》（HJ2.2-2018）；对于项目厂界浓度满足大气污染物厂界浓度限值，但厂界外大气污染物短期贡献浓度超过环境质量浓度限值的，可以自厂界向外设置一定范围的大气环境防护区域，确保大气环境保护区域外污染物贡献浓度满足环境质量标准。</w:t>
            </w:r>
          </w:p>
          <w:p w14:paraId="0E7CF0F6">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根据估算模型预测AERSCREEN计算结果，拟建项目厂界外各污染物浓度其占标率低于10%，厂界外无超标区。</w:t>
            </w:r>
          </w:p>
          <w:p w14:paraId="6A34C603">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对于本项目厂界浓度满足大气污染物厂界浓度限值，无需设置大气环境防护区。因此，本项目无需设置大气环境防护距离。</w:t>
            </w:r>
          </w:p>
          <w:p w14:paraId="2C11C25E">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1.</w:t>
            </w:r>
            <w:r>
              <w:rPr>
                <w:rFonts w:hint="eastAsia" w:eastAsia="宋体" w:cs="Times New Roman"/>
                <w:b/>
                <w:bCs/>
                <w:color w:val="auto"/>
                <w:sz w:val="24"/>
                <w:szCs w:val="24"/>
                <w:highlight w:val="none"/>
                <w:lang w:val="en-US" w:eastAsia="zh-CN"/>
              </w:rPr>
              <w:t>7</w:t>
            </w:r>
            <w:r>
              <w:rPr>
                <w:rFonts w:hint="eastAsia" w:ascii="Times New Roman" w:hAnsi="Times New Roman" w:eastAsia="Times New Roman" w:cs="Times New Roman"/>
                <w:b/>
                <w:bCs/>
                <w:color w:val="auto"/>
                <w:sz w:val="24"/>
                <w:szCs w:val="24"/>
                <w:highlight w:val="none"/>
              </w:rPr>
              <w:t>监测计划</w:t>
            </w:r>
          </w:p>
          <w:p w14:paraId="121CB882">
            <w:pPr>
              <w:bidi w:val="0"/>
              <w:rPr>
                <w:rFonts w:hint="eastAsia"/>
                <w:color w:val="auto"/>
                <w:highlight w:val="none"/>
              </w:rPr>
            </w:pPr>
            <w:r>
              <w:rPr>
                <w:rFonts w:hint="eastAsia"/>
                <w:color w:val="auto"/>
                <w:highlight w:val="none"/>
              </w:rPr>
              <w:t>参照《排污单位自行监测技术指南 总则》（HJ 819-2017）、《排污许可证申请与核发技术规范 总则》（HJ942-2018）、《排污单位自行监测技术指南 工业固体废物和危险废物治理》（HJ1250-2022）要求，制定监测计划。</w:t>
            </w:r>
          </w:p>
          <w:p w14:paraId="096DA828">
            <w:pPr>
              <w:bidi w:val="0"/>
              <w:rPr>
                <w:rFonts w:hint="eastAsia"/>
                <w:color w:val="auto"/>
                <w:highlight w:val="none"/>
              </w:rPr>
            </w:pPr>
          </w:p>
          <w:p w14:paraId="2A27CEB6">
            <w:pPr>
              <w:bidi w:val="0"/>
              <w:rPr>
                <w:rFonts w:hint="eastAsia"/>
                <w:color w:val="auto"/>
                <w:highlight w:val="none"/>
              </w:rPr>
            </w:pPr>
          </w:p>
          <w:p w14:paraId="362D9DC2">
            <w:pPr>
              <w:bidi w:val="0"/>
              <w:rPr>
                <w:rFonts w:hint="eastAsia"/>
                <w:color w:val="auto"/>
                <w:highlight w:val="none"/>
              </w:rPr>
            </w:pPr>
          </w:p>
          <w:p w14:paraId="40DA28B2">
            <w:pPr>
              <w:bidi w:val="0"/>
              <w:rPr>
                <w:rFonts w:hint="eastAsia"/>
                <w:color w:val="auto"/>
                <w:highlight w:val="none"/>
              </w:rPr>
            </w:pPr>
          </w:p>
          <w:p w14:paraId="40AD0F06">
            <w:pPr>
              <w:pStyle w:val="25"/>
              <w:bidi w:val="0"/>
              <w:rPr>
                <w:rFonts w:cs="Times New Roman"/>
                <w:color w:val="auto"/>
                <w:sz w:val="24"/>
                <w:szCs w:val="24"/>
                <w:highlight w:val="none"/>
              </w:rPr>
            </w:pPr>
            <w:r>
              <w:rPr>
                <w:rFonts w:hint="eastAsia" w:cs="Times New Roman"/>
                <w:color w:val="auto"/>
                <w:sz w:val="24"/>
                <w:szCs w:val="24"/>
                <w:highlight w:val="none"/>
                <w:lang w:eastAsia="zh-CN"/>
              </w:rPr>
              <w:t>项目</w:t>
            </w:r>
            <w:r>
              <w:rPr>
                <w:rFonts w:hint="eastAsia" w:cs="Times New Roman"/>
                <w:color w:val="auto"/>
                <w:sz w:val="24"/>
                <w:szCs w:val="24"/>
                <w:highlight w:val="none"/>
              </w:rPr>
              <w:t>废气污染物监测计划一览表</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1251"/>
              <w:gridCol w:w="1410"/>
              <w:gridCol w:w="3645"/>
              <w:gridCol w:w="1263"/>
            </w:tblGrid>
            <w:tr w14:paraId="70644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8" w:type="dxa"/>
                  <w:tcBorders>
                    <w:tl2br w:val="nil"/>
                    <w:tr2bl w:val="nil"/>
                  </w:tcBorders>
                  <w:vAlign w:val="center"/>
                </w:tcPr>
                <w:p w14:paraId="35813BE3">
                  <w:pPr>
                    <w:pStyle w:val="27"/>
                    <w:spacing w:line="240" w:lineRule="auto"/>
                    <w:rPr>
                      <w:rFonts w:hint="default"/>
                      <w:color w:val="auto"/>
                      <w:highlight w:val="none"/>
                    </w:rPr>
                  </w:pPr>
                  <w:r>
                    <w:rPr>
                      <w:rFonts w:eastAsia="宋体"/>
                      <w:b/>
                      <w:color w:val="auto"/>
                      <w:sz w:val="21"/>
                      <w:highlight w:val="none"/>
                    </w:rPr>
                    <w:t>类别</w:t>
                  </w:r>
                </w:p>
              </w:tc>
              <w:tc>
                <w:tcPr>
                  <w:tcW w:w="1251" w:type="dxa"/>
                  <w:tcBorders>
                    <w:tl2br w:val="nil"/>
                    <w:tr2bl w:val="nil"/>
                  </w:tcBorders>
                  <w:vAlign w:val="center"/>
                </w:tcPr>
                <w:p w14:paraId="62A6597E">
                  <w:pPr>
                    <w:pStyle w:val="27"/>
                    <w:spacing w:line="240" w:lineRule="auto"/>
                    <w:rPr>
                      <w:rFonts w:hint="default"/>
                      <w:color w:val="auto"/>
                      <w:highlight w:val="none"/>
                    </w:rPr>
                  </w:pPr>
                  <w:r>
                    <w:rPr>
                      <w:rFonts w:eastAsia="宋体"/>
                      <w:b/>
                      <w:color w:val="auto"/>
                      <w:sz w:val="21"/>
                      <w:highlight w:val="none"/>
                    </w:rPr>
                    <w:t>监测位置</w:t>
                  </w:r>
                </w:p>
              </w:tc>
              <w:tc>
                <w:tcPr>
                  <w:tcW w:w="1410" w:type="dxa"/>
                  <w:tcBorders>
                    <w:tl2br w:val="nil"/>
                    <w:tr2bl w:val="nil"/>
                  </w:tcBorders>
                  <w:vAlign w:val="center"/>
                </w:tcPr>
                <w:p w14:paraId="70ABE0DC">
                  <w:pPr>
                    <w:pStyle w:val="27"/>
                    <w:spacing w:line="240" w:lineRule="auto"/>
                    <w:rPr>
                      <w:rFonts w:hint="default"/>
                      <w:color w:val="auto"/>
                      <w:highlight w:val="none"/>
                    </w:rPr>
                  </w:pPr>
                  <w:r>
                    <w:rPr>
                      <w:rFonts w:eastAsia="宋体"/>
                      <w:b/>
                      <w:color w:val="auto"/>
                      <w:sz w:val="21"/>
                      <w:highlight w:val="none"/>
                    </w:rPr>
                    <w:t>监测项目</w:t>
                  </w:r>
                </w:p>
              </w:tc>
              <w:tc>
                <w:tcPr>
                  <w:tcW w:w="3645" w:type="dxa"/>
                  <w:tcBorders>
                    <w:tl2br w:val="nil"/>
                    <w:tr2bl w:val="nil"/>
                  </w:tcBorders>
                  <w:vAlign w:val="center"/>
                </w:tcPr>
                <w:p w14:paraId="50353524">
                  <w:pPr>
                    <w:pStyle w:val="27"/>
                    <w:spacing w:line="240" w:lineRule="auto"/>
                    <w:rPr>
                      <w:rFonts w:hint="default"/>
                      <w:color w:val="auto"/>
                      <w:highlight w:val="none"/>
                    </w:rPr>
                  </w:pPr>
                  <w:r>
                    <w:rPr>
                      <w:rFonts w:eastAsia="宋体"/>
                      <w:b/>
                      <w:color w:val="auto"/>
                      <w:sz w:val="21"/>
                      <w:highlight w:val="none"/>
                    </w:rPr>
                    <w:t>执行标准</w:t>
                  </w:r>
                </w:p>
              </w:tc>
              <w:tc>
                <w:tcPr>
                  <w:tcW w:w="1263" w:type="dxa"/>
                  <w:tcBorders>
                    <w:tl2br w:val="nil"/>
                    <w:tr2bl w:val="nil"/>
                  </w:tcBorders>
                  <w:vAlign w:val="center"/>
                </w:tcPr>
                <w:p w14:paraId="08B2B63E">
                  <w:pPr>
                    <w:pStyle w:val="27"/>
                    <w:spacing w:line="240" w:lineRule="auto"/>
                    <w:rPr>
                      <w:rFonts w:hint="default"/>
                      <w:color w:val="auto"/>
                      <w:highlight w:val="none"/>
                    </w:rPr>
                  </w:pPr>
                  <w:r>
                    <w:rPr>
                      <w:rFonts w:eastAsia="宋体"/>
                      <w:b/>
                      <w:color w:val="auto"/>
                      <w:sz w:val="21"/>
                      <w:highlight w:val="none"/>
                    </w:rPr>
                    <w:t>检测频率</w:t>
                  </w:r>
                </w:p>
              </w:tc>
            </w:tr>
            <w:tr w14:paraId="2F8B1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8" w:type="dxa"/>
                  <w:vMerge w:val="restart"/>
                  <w:tcBorders>
                    <w:tl2br w:val="nil"/>
                    <w:tr2bl w:val="nil"/>
                  </w:tcBorders>
                  <w:vAlign w:val="center"/>
                </w:tcPr>
                <w:p w14:paraId="55D440CB">
                  <w:pPr>
                    <w:pStyle w:val="24"/>
                    <w:spacing w:line="240" w:lineRule="auto"/>
                    <w:ind w:firstLine="0" w:firstLineChars="0"/>
                    <w:rPr>
                      <w:color w:val="auto"/>
                      <w:highlight w:val="none"/>
                    </w:rPr>
                  </w:pPr>
                  <w:r>
                    <w:rPr>
                      <w:rFonts w:hint="eastAsia"/>
                      <w:color w:val="auto"/>
                      <w:highlight w:val="none"/>
                    </w:rPr>
                    <w:t>废气</w:t>
                  </w:r>
                </w:p>
              </w:tc>
              <w:tc>
                <w:tcPr>
                  <w:tcW w:w="1251" w:type="dxa"/>
                  <w:tcBorders>
                    <w:tl2br w:val="nil"/>
                    <w:tr2bl w:val="nil"/>
                  </w:tcBorders>
                  <w:shd w:val="clear" w:color="auto" w:fill="auto"/>
                  <w:vAlign w:val="center"/>
                </w:tcPr>
                <w:p w14:paraId="0E621228">
                  <w:pPr>
                    <w:pStyle w:val="24"/>
                    <w:spacing w:line="240" w:lineRule="auto"/>
                    <w:ind w:firstLine="0" w:firstLineChars="0"/>
                    <w:rPr>
                      <w:rFonts w:hint="eastAsia" w:eastAsiaTheme="minorEastAsia"/>
                      <w:color w:val="auto"/>
                      <w:highlight w:val="none"/>
                      <w:lang w:eastAsia="zh-CN"/>
                    </w:rPr>
                  </w:pPr>
                  <w:r>
                    <w:rPr>
                      <w:rFonts w:hint="eastAsia"/>
                      <w:color w:val="auto"/>
                      <w:highlight w:val="none"/>
                      <w:lang w:eastAsia="zh-CN"/>
                    </w:rPr>
                    <w:t>厂界</w:t>
                  </w:r>
                </w:p>
              </w:tc>
              <w:tc>
                <w:tcPr>
                  <w:tcW w:w="1410" w:type="dxa"/>
                  <w:tcBorders>
                    <w:tl2br w:val="nil"/>
                    <w:tr2bl w:val="nil"/>
                  </w:tcBorders>
                  <w:shd w:val="clear" w:color="auto" w:fill="auto"/>
                  <w:vAlign w:val="center"/>
                </w:tcPr>
                <w:p w14:paraId="4F9DEC89">
                  <w:pPr>
                    <w:pStyle w:val="24"/>
                    <w:spacing w:line="240" w:lineRule="auto"/>
                    <w:ind w:firstLine="0" w:firstLineChars="0"/>
                    <w:rPr>
                      <w:color w:val="auto"/>
                      <w:highlight w:val="none"/>
                    </w:rPr>
                  </w:pPr>
                  <w:r>
                    <w:rPr>
                      <w:rFonts w:hint="eastAsia"/>
                      <w:color w:val="auto"/>
                      <w:highlight w:val="none"/>
                      <w:lang w:eastAsia="zh-CN"/>
                    </w:rPr>
                    <w:t>非甲烷总烃</w:t>
                  </w:r>
                </w:p>
              </w:tc>
              <w:tc>
                <w:tcPr>
                  <w:tcW w:w="3645" w:type="dxa"/>
                  <w:tcBorders>
                    <w:tl2br w:val="nil"/>
                    <w:tr2bl w:val="nil"/>
                  </w:tcBorders>
                  <w:vAlign w:val="center"/>
                </w:tcPr>
                <w:p w14:paraId="0E983C1C">
                  <w:pPr>
                    <w:pStyle w:val="24"/>
                    <w:spacing w:line="240" w:lineRule="auto"/>
                    <w:ind w:firstLine="0" w:firstLineChars="0"/>
                    <w:rPr>
                      <w:color w:val="auto"/>
                      <w:highlight w:val="none"/>
                    </w:rPr>
                  </w:pPr>
                  <w:r>
                    <w:rPr>
                      <w:rFonts w:hint="eastAsia"/>
                      <w:color w:val="auto"/>
                      <w:highlight w:val="none"/>
                    </w:rPr>
                    <w:t>《大气污染物综合排放标准》（GB16297-1996）</w:t>
                  </w:r>
                </w:p>
              </w:tc>
              <w:tc>
                <w:tcPr>
                  <w:tcW w:w="1263" w:type="dxa"/>
                  <w:tcBorders>
                    <w:tl2br w:val="nil"/>
                    <w:tr2bl w:val="nil"/>
                  </w:tcBorders>
                  <w:vAlign w:val="center"/>
                </w:tcPr>
                <w:p w14:paraId="2C8042E6">
                  <w:pPr>
                    <w:pStyle w:val="24"/>
                    <w:spacing w:line="240" w:lineRule="auto"/>
                    <w:ind w:firstLine="0" w:firstLineChars="0"/>
                    <w:rPr>
                      <w:color w:val="auto"/>
                      <w:highlight w:val="none"/>
                    </w:rPr>
                  </w:pPr>
                  <w:r>
                    <w:rPr>
                      <w:rFonts w:hint="eastAsia"/>
                      <w:color w:val="auto"/>
                      <w:highlight w:val="none"/>
                    </w:rPr>
                    <w:t>1次/半年</w:t>
                  </w:r>
                </w:p>
              </w:tc>
            </w:tr>
            <w:tr w14:paraId="489FFD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8" w:type="dxa"/>
                  <w:vMerge w:val="continue"/>
                  <w:tcBorders>
                    <w:tl2br w:val="nil"/>
                    <w:tr2bl w:val="nil"/>
                  </w:tcBorders>
                  <w:vAlign w:val="center"/>
                </w:tcPr>
                <w:p w14:paraId="48E4761B">
                  <w:pPr>
                    <w:pStyle w:val="24"/>
                    <w:spacing w:line="240" w:lineRule="auto"/>
                    <w:ind w:firstLine="0" w:firstLineChars="0"/>
                    <w:rPr>
                      <w:rFonts w:hint="eastAsia"/>
                      <w:color w:val="auto"/>
                      <w:highlight w:val="none"/>
                    </w:rPr>
                  </w:pPr>
                </w:p>
              </w:tc>
              <w:tc>
                <w:tcPr>
                  <w:tcW w:w="1251" w:type="dxa"/>
                  <w:tcBorders>
                    <w:tl2br w:val="nil"/>
                    <w:tr2bl w:val="nil"/>
                  </w:tcBorders>
                  <w:shd w:val="clear" w:color="auto" w:fill="auto"/>
                  <w:vAlign w:val="center"/>
                </w:tcPr>
                <w:p w14:paraId="672B91D8">
                  <w:pPr>
                    <w:pStyle w:val="24"/>
                    <w:spacing w:line="240" w:lineRule="auto"/>
                    <w:ind w:firstLine="0" w:firstLineChars="0"/>
                    <w:rPr>
                      <w:rFonts w:hint="default" w:eastAsiaTheme="minorEastAsia"/>
                      <w:color w:val="auto"/>
                      <w:highlight w:val="none"/>
                      <w:lang w:val="en-US" w:eastAsia="zh-CN"/>
                    </w:rPr>
                  </w:pPr>
                  <w:r>
                    <w:rPr>
                      <w:rFonts w:hint="eastAsia"/>
                      <w:color w:val="auto"/>
                      <w:highlight w:val="none"/>
                      <w:lang w:eastAsia="zh-CN"/>
                    </w:rPr>
                    <w:t>厂房外厂界内一个监测点</w:t>
                  </w:r>
                </w:p>
              </w:tc>
              <w:tc>
                <w:tcPr>
                  <w:tcW w:w="1410" w:type="dxa"/>
                  <w:tcBorders>
                    <w:tl2br w:val="nil"/>
                    <w:tr2bl w:val="nil"/>
                  </w:tcBorders>
                  <w:shd w:val="clear" w:color="auto" w:fill="auto"/>
                  <w:vAlign w:val="center"/>
                </w:tcPr>
                <w:p w14:paraId="25113E1A">
                  <w:pPr>
                    <w:pStyle w:val="24"/>
                    <w:spacing w:line="240" w:lineRule="auto"/>
                    <w:ind w:firstLine="0" w:firstLineChars="0"/>
                    <w:rPr>
                      <w:rFonts w:hint="eastAsia"/>
                      <w:color w:val="auto"/>
                      <w:highlight w:val="none"/>
                    </w:rPr>
                  </w:pPr>
                  <w:r>
                    <w:rPr>
                      <w:rFonts w:hint="eastAsia"/>
                      <w:color w:val="auto"/>
                      <w:highlight w:val="none"/>
                      <w:lang w:eastAsia="zh-CN"/>
                    </w:rPr>
                    <w:t>非甲烷总烃</w:t>
                  </w:r>
                </w:p>
              </w:tc>
              <w:tc>
                <w:tcPr>
                  <w:tcW w:w="3645" w:type="dxa"/>
                  <w:tcBorders>
                    <w:tl2br w:val="nil"/>
                    <w:tr2bl w:val="nil"/>
                  </w:tcBorders>
                  <w:vAlign w:val="center"/>
                </w:tcPr>
                <w:p w14:paraId="0504A595">
                  <w:pPr>
                    <w:pStyle w:val="24"/>
                    <w:spacing w:line="240" w:lineRule="auto"/>
                    <w:ind w:firstLine="0" w:firstLineChars="0"/>
                    <w:rPr>
                      <w:rFonts w:hint="eastAsia"/>
                      <w:color w:val="auto"/>
                      <w:highlight w:val="none"/>
                    </w:rPr>
                  </w:pPr>
                  <w:r>
                    <w:rPr>
                      <w:rFonts w:hint="eastAsia"/>
                      <w:color w:val="auto"/>
                      <w:highlight w:val="none"/>
                    </w:rPr>
                    <w:t>《挥发性有机物无组织排放控制标准》（GB 37822-2019）厂房外监控点</w:t>
                  </w:r>
                </w:p>
              </w:tc>
              <w:tc>
                <w:tcPr>
                  <w:tcW w:w="1263" w:type="dxa"/>
                  <w:tcBorders>
                    <w:tl2br w:val="nil"/>
                    <w:tr2bl w:val="nil"/>
                  </w:tcBorders>
                  <w:vAlign w:val="center"/>
                </w:tcPr>
                <w:p w14:paraId="55BEA791">
                  <w:pPr>
                    <w:pStyle w:val="24"/>
                    <w:spacing w:line="240" w:lineRule="auto"/>
                    <w:ind w:firstLine="0" w:firstLineChars="0"/>
                    <w:rPr>
                      <w:rFonts w:hint="eastAsia"/>
                      <w:color w:val="auto"/>
                      <w:highlight w:val="none"/>
                    </w:rPr>
                  </w:pPr>
                  <w:r>
                    <w:rPr>
                      <w:rFonts w:hint="eastAsia"/>
                      <w:color w:val="auto"/>
                      <w:highlight w:val="none"/>
                    </w:rPr>
                    <w:t>1次/年</w:t>
                  </w:r>
                </w:p>
              </w:tc>
            </w:tr>
          </w:tbl>
          <w:p w14:paraId="4292C56B">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1.8结论</w:t>
            </w:r>
          </w:p>
          <w:p w14:paraId="13AC795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根据朝阳市生态环境局公布的朝阳市202</w:t>
            </w:r>
            <w:r>
              <w:rPr>
                <w:rFonts w:hint="eastAsia" w:eastAsia="宋体" w:cs="Times New Roman"/>
                <w:color w:val="auto"/>
                <w:sz w:val="24"/>
                <w:szCs w:val="24"/>
                <w:highlight w:val="none"/>
                <w:lang w:val="en-US" w:eastAsia="zh-CN"/>
              </w:rPr>
              <w:t>4</w:t>
            </w:r>
            <w:r>
              <w:rPr>
                <w:rFonts w:hint="eastAsia" w:ascii="Times New Roman" w:hAnsi="Times New Roman" w:eastAsia="Times New Roman" w:cs="Times New Roman"/>
                <w:color w:val="auto"/>
                <w:sz w:val="24"/>
                <w:szCs w:val="24"/>
                <w:highlight w:val="none"/>
              </w:rPr>
              <w:t>年空气质量状况及补充监测结果可知，项目所在区域环境空气质量良好，大气环境质量现状达标。</w:t>
            </w:r>
          </w:p>
          <w:p w14:paraId="5AB77517">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通过计算与预测，生产过程中产生的废气经过设置的污染防治措施分别处理后，有组织废气、无组织废气均能实现达标排放，对大气环境保护目标及周围环境空气无明显影响。</w:t>
            </w:r>
          </w:p>
          <w:p w14:paraId="4B13CA92">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综上所述，项目投入运营后产生的废气对环境空气影响较小。</w:t>
            </w:r>
          </w:p>
          <w:p w14:paraId="514F2D5D">
            <w:pPr>
              <w:bidi w:val="0"/>
              <w:rPr>
                <w:rFonts w:hint="default"/>
                <w:b/>
                <w:bCs/>
                <w:color w:val="auto"/>
                <w:highlight w:val="none"/>
              </w:rPr>
            </w:pPr>
            <w:r>
              <w:rPr>
                <w:b/>
                <w:bCs/>
                <w:color w:val="auto"/>
                <w:highlight w:val="none"/>
              </w:rPr>
              <w:t>2废水</w:t>
            </w:r>
          </w:p>
          <w:p w14:paraId="658C18F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2.1排水</w:t>
            </w:r>
          </w:p>
          <w:p w14:paraId="4AA6567B">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（1）生活污水</w:t>
            </w:r>
          </w:p>
          <w:p w14:paraId="6A50809A">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本项目不新增生活污水。</w:t>
            </w:r>
          </w:p>
          <w:p w14:paraId="2D627E92">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（2）生产废水</w:t>
            </w:r>
          </w:p>
          <w:p w14:paraId="369E6CB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本项目不产生生产废水。</w:t>
            </w:r>
          </w:p>
          <w:p w14:paraId="76BDCC32">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2.2小结</w:t>
            </w:r>
          </w:p>
          <w:p w14:paraId="6A4F95F1">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本项目不新增生活污水，不新增水污染物排放，对水环境影响较小。</w:t>
            </w:r>
          </w:p>
          <w:p w14:paraId="0A384174">
            <w:pPr>
              <w:bidi w:val="0"/>
              <w:rPr>
                <w:rFonts w:hint="default"/>
                <w:b/>
                <w:bCs/>
                <w:color w:val="auto"/>
                <w:highlight w:val="none"/>
              </w:rPr>
            </w:pPr>
            <w:r>
              <w:rPr>
                <w:rFonts w:hint="default"/>
                <w:b/>
                <w:bCs/>
                <w:color w:val="auto"/>
                <w:highlight w:val="none"/>
              </w:rPr>
              <w:t>3噪声</w:t>
            </w:r>
          </w:p>
          <w:p w14:paraId="3C24EC52">
            <w:pPr>
              <w:bidi w:val="0"/>
              <w:rPr>
                <w:b/>
                <w:bCs/>
                <w:color w:val="auto"/>
                <w:highlight w:val="none"/>
              </w:rPr>
            </w:pPr>
            <w:r>
              <w:rPr>
                <w:rFonts w:hint="eastAsia"/>
                <w:b/>
                <w:bCs/>
                <w:color w:val="auto"/>
                <w:highlight w:val="none"/>
              </w:rPr>
              <w:t>3.1</w:t>
            </w:r>
            <w:r>
              <w:rPr>
                <w:rFonts w:hint="eastAsia"/>
                <w:b/>
                <w:bCs/>
                <w:color w:val="auto"/>
                <w:highlight w:val="none"/>
                <w:lang w:eastAsia="zh-CN"/>
              </w:rPr>
              <w:t>噪声</w:t>
            </w:r>
            <w:r>
              <w:rPr>
                <w:b/>
                <w:bCs/>
                <w:color w:val="auto"/>
                <w:highlight w:val="none"/>
              </w:rPr>
              <w:t>源强</w:t>
            </w:r>
          </w:p>
          <w:p w14:paraId="52974B1E">
            <w:pPr>
              <w:bidi w:val="0"/>
              <w:rPr>
                <w:rFonts w:hint="default" w:eastAsia="宋体"/>
                <w:color w:val="auto"/>
                <w:highlight w:val="none"/>
                <w:lang w:val="en-US" w:eastAsia="zh-CN"/>
              </w:rPr>
            </w:pPr>
            <w:r>
              <w:rPr>
                <w:color w:val="auto"/>
                <w:highlight w:val="none"/>
              </w:rPr>
              <w:t>本项目为危险废物贮存，项目运营过程产生的噪声主要为运行排</w:t>
            </w:r>
            <w:r>
              <w:rPr>
                <w:rFonts w:hint="eastAsia"/>
                <w:color w:val="auto"/>
                <w:highlight w:val="none"/>
                <w:lang w:val="en-US" w:eastAsia="zh-CN"/>
              </w:rPr>
              <w:t>气</w:t>
            </w:r>
            <w:r>
              <w:rPr>
                <w:color w:val="auto"/>
                <w:highlight w:val="none"/>
              </w:rPr>
              <w:t>扇产生的噪声，源强取值参照《环境噪声与振动控制工程技术导则》（HJ 2034-2013）《噪声控制工程》（高洪武）结合《机械设备噪声测量准则》（GB/T1959-2008）和《家用和类似用途电器噪声限值》（GB13115-2011）等文件要求，本项目排</w:t>
            </w:r>
            <w:r>
              <w:rPr>
                <w:rFonts w:hint="eastAsia"/>
                <w:color w:val="auto"/>
                <w:highlight w:val="none"/>
                <w:lang w:val="en-US" w:eastAsia="zh-CN"/>
              </w:rPr>
              <w:t>气</w:t>
            </w:r>
            <w:r>
              <w:rPr>
                <w:color w:val="auto"/>
                <w:highlight w:val="none"/>
              </w:rPr>
              <w:t>扇</w:t>
            </w:r>
            <w:r>
              <w:rPr>
                <w:rFonts w:hint="eastAsia"/>
                <w:color w:val="auto"/>
                <w:highlight w:val="none"/>
              </w:rPr>
              <w:t>采取措施后</w:t>
            </w:r>
            <w:r>
              <w:rPr>
                <w:color w:val="auto"/>
                <w:highlight w:val="none"/>
              </w:rPr>
              <w:t>噪声源强约为</w:t>
            </w:r>
            <w:r>
              <w:rPr>
                <w:rFonts w:hint="eastAsia"/>
                <w:color w:val="auto"/>
                <w:highlight w:val="none"/>
                <w:lang w:val="en-US" w:eastAsia="zh-CN"/>
              </w:rPr>
              <w:t>43</w:t>
            </w:r>
            <w:r>
              <w:rPr>
                <w:color w:val="auto"/>
                <w:highlight w:val="none"/>
              </w:rPr>
              <w:t>dB（A）。</w:t>
            </w:r>
            <w:r>
              <w:rPr>
                <w:rFonts w:hint="eastAsia"/>
                <w:color w:val="auto"/>
                <w:highlight w:val="none"/>
                <w:lang w:eastAsia="zh-CN"/>
              </w:rPr>
              <w:t>见表</w:t>
            </w:r>
            <w:r>
              <w:rPr>
                <w:rFonts w:hint="eastAsia"/>
                <w:color w:val="auto"/>
                <w:highlight w:val="none"/>
                <w:lang w:val="en-US" w:eastAsia="zh-CN"/>
              </w:rPr>
              <w:t>66。</w:t>
            </w:r>
          </w:p>
          <w:p w14:paraId="7D15039E">
            <w:pPr>
              <w:pStyle w:val="13"/>
              <w:keepNext w:val="0"/>
              <w:keepLines w:val="0"/>
              <w:pageBreakBefore w:val="0"/>
              <w:widowControl w:val="0"/>
              <w:kinsoku/>
              <w:wordWrap/>
              <w:overflowPunct/>
              <w:topLinePunct w:val="0"/>
              <w:autoSpaceDE w:val="0"/>
              <w:autoSpaceDN w:val="0"/>
              <w:bidi w:val="0"/>
              <w:spacing w:line="360" w:lineRule="auto"/>
              <w:ind w:firstLine="482" w:firstLineChars="200"/>
              <w:jc w:val="both"/>
              <w:textAlignment w:val="auto"/>
              <w:rPr>
                <w:rFonts w:hint="eastAsia" w:eastAsia="宋体" w:cs="Times New Roman"/>
                <w:b/>
                <w:bCs/>
                <w:color w:val="auto"/>
                <w:sz w:val="24"/>
                <w:szCs w:val="24"/>
                <w:highlight w:val="none"/>
                <w:lang w:val="en-US" w:eastAsia="zh-CN"/>
              </w:rPr>
            </w:pPr>
            <w:r>
              <w:rPr>
                <w:rFonts w:hint="eastAsia" w:eastAsia="宋体" w:cs="Times New Roman"/>
                <w:b/>
                <w:bCs/>
                <w:color w:val="auto"/>
                <w:sz w:val="24"/>
                <w:szCs w:val="24"/>
                <w:highlight w:val="none"/>
                <w:lang w:val="en-US" w:eastAsia="zh-CN"/>
              </w:rPr>
              <w:t>3.2噪声环保措施</w:t>
            </w:r>
          </w:p>
          <w:p w14:paraId="0CB51D73">
            <w:pPr>
              <w:bidi w:val="0"/>
              <w:rPr>
                <w:color w:val="auto"/>
                <w:highlight w:val="none"/>
              </w:rPr>
            </w:pPr>
            <w:r>
              <w:rPr>
                <w:rFonts w:hint="eastAsia"/>
                <w:color w:val="auto"/>
                <w:highlight w:val="none"/>
              </w:rPr>
              <w:t>为了使厂界能够符合《工业企业厂界环境噪声排放标准》（GB12348-2008）</w:t>
            </w:r>
            <w:r>
              <w:rPr>
                <w:rFonts w:hint="eastAsia"/>
                <w:color w:val="auto"/>
                <w:highlight w:val="none"/>
                <w:lang w:val="en-US" w:eastAsia="zh-CN"/>
              </w:rPr>
              <w:t>2</w:t>
            </w:r>
            <w:r>
              <w:rPr>
                <w:rFonts w:hint="eastAsia"/>
                <w:color w:val="auto"/>
                <w:highlight w:val="none"/>
              </w:rPr>
              <w:t>类标准的要求，减少对周围环境的影响，本工程针对以上噪声源情况，采取了以下控制措施：</w:t>
            </w:r>
          </w:p>
          <w:p w14:paraId="1B64D8E9">
            <w:pPr>
              <w:rPr>
                <w:rFonts w:hint="default"/>
                <w:color w:val="auto"/>
                <w:highlight w:val="none"/>
                <w:lang w:val="en-US" w:eastAsia="zh-CN"/>
              </w:rPr>
            </w:pPr>
            <w:r>
              <w:rPr>
                <w:rFonts w:hint="default"/>
                <w:color w:val="auto"/>
                <w:highlight w:val="none"/>
                <w:lang w:val="en-US" w:eastAsia="zh-CN"/>
              </w:rPr>
              <w:t>①源头控制：在设计和设备采购阶段，优先选用先进的低噪声设备，从声源上降低设备本身噪声。对设备定期检修，及时更换易损件，紧固各个零部件；及时更换超过使用年限的设备。</w:t>
            </w:r>
          </w:p>
          <w:p w14:paraId="52030B7C">
            <w:pPr>
              <w:rPr>
                <w:rFonts w:hint="default"/>
                <w:color w:val="auto"/>
                <w:highlight w:val="none"/>
                <w:lang w:val="en-US" w:eastAsia="zh-CN"/>
              </w:rPr>
            </w:pPr>
            <w:r>
              <w:rPr>
                <w:rFonts w:hint="default"/>
                <w:color w:val="auto"/>
                <w:highlight w:val="none"/>
                <w:lang w:val="en-US" w:eastAsia="zh-CN"/>
              </w:rPr>
              <w:t>②优化平面布置，将产噪设备远离声环境敏感目标区域。</w:t>
            </w:r>
          </w:p>
          <w:p w14:paraId="0D0960EF">
            <w:pPr>
              <w:ind w:firstLine="480"/>
              <w:rPr>
                <w:rFonts w:hint="default"/>
                <w:color w:val="auto"/>
                <w:highlight w:val="none"/>
                <w:lang w:val="en-US" w:eastAsia="zh-CN"/>
              </w:rPr>
            </w:pPr>
            <w:r>
              <w:rPr>
                <w:rFonts w:hint="eastAsia"/>
                <w:color w:val="auto"/>
                <w:highlight w:val="none"/>
                <w:lang w:eastAsia="zh-CN"/>
              </w:rPr>
              <w:t>③排风扇安装</w:t>
            </w:r>
            <w:r>
              <w:rPr>
                <w:rFonts w:hint="eastAsia"/>
                <w:color w:val="auto"/>
                <w:highlight w:val="none"/>
              </w:rPr>
              <w:t>采用减振基底，连接处采用柔性接头。</w:t>
            </w:r>
          </w:p>
          <w:p w14:paraId="1C529513">
            <w:pPr>
              <w:rPr>
                <w:rFonts w:hint="default"/>
                <w:color w:val="auto"/>
                <w:highlight w:val="none"/>
                <w:lang w:val="en-US" w:eastAsia="zh-CN"/>
              </w:rPr>
            </w:pPr>
            <w:r>
              <w:rPr>
                <w:rFonts w:hint="default"/>
                <w:color w:val="auto"/>
                <w:highlight w:val="none"/>
                <w:lang w:val="en-US" w:eastAsia="zh-CN"/>
              </w:rPr>
              <w:t>④日常管理：日常生产需加强对设备管理和维护，确保设备处于良好的运转状态，杜绝因设备不正常运转而产生的高噪声现象。加强工人意识，在操作中严格遵守设备的操作规程，防止因误操作而产生异常噪声。</w:t>
            </w:r>
          </w:p>
          <w:p w14:paraId="639F338B">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3.</w:t>
            </w:r>
            <w:r>
              <w:rPr>
                <w:rFonts w:hint="eastAsia" w:eastAsia="宋体" w:cs="Times New Roman"/>
                <w:b/>
                <w:bCs/>
                <w:color w:val="auto"/>
                <w:sz w:val="24"/>
                <w:szCs w:val="24"/>
                <w:highlight w:val="none"/>
                <w:lang w:val="en-US" w:eastAsia="zh-CN"/>
              </w:rPr>
              <w:t>3</w:t>
            </w:r>
            <w:r>
              <w:rPr>
                <w:rFonts w:ascii="Times New Roman" w:hAnsi="Times New Roman" w:eastAsia="Times New Roman" w:cs="Times New Roman"/>
                <w:b/>
                <w:bCs/>
                <w:color w:val="auto"/>
                <w:sz w:val="24"/>
                <w:szCs w:val="24"/>
                <w:highlight w:val="none"/>
              </w:rPr>
              <w:t>预测</w:t>
            </w:r>
          </w:p>
          <w:p w14:paraId="6D89446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在声源传播过程中，噪声受到厂房的吸收和屏蔽，经过距离衰减和空气吸收后，到达受声点，选择《环境影响评价技术导则 声环境》（HJ2.4-2021）中附录A工业噪声预测计算模型，对影响值进行预测：</w:t>
            </w:r>
          </w:p>
          <w:p w14:paraId="4611BBEB">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在环境影响评价中，应根据声源声功率级或参考位置处的声压级、户外声传播衰减，计算预测点的声级，分别按式（A.1）或式（A.2）计算。</w:t>
            </w:r>
          </w:p>
          <w:p w14:paraId="31630F7F">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Lp（r）=Lw+Dc-（Adiv+Aatm+Agr+Abar+Amisc）      （A.1）</w:t>
            </w:r>
          </w:p>
          <w:p w14:paraId="40564EE8">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式中：Lp(r)——预测点处声压级，dB；</w:t>
            </w:r>
          </w:p>
          <w:p w14:paraId="4A1DF6F8">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Lw——由点声源产生的声功率级（A计权或倍频带），dB；</w:t>
            </w:r>
          </w:p>
          <w:p w14:paraId="7A985604">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DC——指向性校正，它描述点声源的等效连续声压级与产生声功率级Lw 的全向点声源在规定方向的声级的偏差程度，dB；</w:t>
            </w:r>
          </w:p>
          <w:p w14:paraId="4128D40F">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Adiv——几何发散引起的衰减，dB；</w:t>
            </w:r>
          </w:p>
          <w:p w14:paraId="565C1FFC">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Aatm——大气吸收引起的衰减，dB；</w:t>
            </w:r>
          </w:p>
          <w:p w14:paraId="2743ECE7">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Agr——地面效应引起的衰减，dB；</w:t>
            </w:r>
          </w:p>
          <w:p w14:paraId="73E4120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Abar——障碍物屏蔽引起的衰减，dB；</w:t>
            </w:r>
          </w:p>
          <w:p w14:paraId="0F94E55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Amisc——其他多方面效应引起的衰减，dB。</w:t>
            </w:r>
          </w:p>
          <w:p w14:paraId="5E2F476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Lp(r)＝Lp(r</w:t>
            </w:r>
            <w:r>
              <w:rPr>
                <w:rFonts w:hint="eastAsia" w:ascii="Times New Roman" w:hAnsi="Times New Roman" w:eastAsia="宋体" w:cs="Times New Roman"/>
                <w:color w:val="auto"/>
                <w:sz w:val="24"/>
                <w:szCs w:val="24"/>
                <w:highlight w:val="none"/>
                <w:vertAlign w:val="subscript"/>
              </w:rPr>
              <w:t>0</w:t>
            </w:r>
            <w:r>
              <w:rPr>
                <w:rFonts w:hint="eastAsia" w:ascii="Times New Roman" w:hAnsi="Times New Roman" w:eastAsia="宋体" w:cs="Times New Roman"/>
                <w:color w:val="auto"/>
                <w:sz w:val="24"/>
                <w:szCs w:val="24"/>
                <w:highlight w:val="none"/>
              </w:rPr>
              <w:t>)+DC－(Adiv＋Aatm＋Agr＋Abar＋Amisc)       （A.2）</w:t>
            </w:r>
          </w:p>
          <w:p w14:paraId="56D2D32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式中：Lp(r)——预测点处声压级，dB；</w:t>
            </w:r>
          </w:p>
          <w:p w14:paraId="70FB0A08">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Lp(r</w:t>
            </w:r>
            <w:r>
              <w:rPr>
                <w:rFonts w:hint="eastAsia" w:ascii="Times New Roman" w:hAnsi="Times New Roman" w:eastAsia="宋体" w:cs="Times New Roman"/>
                <w:color w:val="auto"/>
                <w:sz w:val="24"/>
                <w:szCs w:val="24"/>
                <w:highlight w:val="none"/>
                <w:vertAlign w:val="subscript"/>
              </w:rPr>
              <w:t>0</w:t>
            </w:r>
            <w:r>
              <w:rPr>
                <w:rFonts w:hint="eastAsia" w:ascii="Times New Roman" w:hAnsi="Times New Roman" w:eastAsia="宋体" w:cs="Times New Roman"/>
                <w:color w:val="auto"/>
                <w:sz w:val="24"/>
                <w:szCs w:val="24"/>
                <w:highlight w:val="none"/>
              </w:rPr>
              <w:t>)——参考位置r</w:t>
            </w:r>
            <w:r>
              <w:rPr>
                <w:rFonts w:hint="eastAsia" w:ascii="Times New Roman" w:hAnsi="Times New Roman" w:eastAsia="宋体" w:cs="Times New Roman"/>
                <w:color w:val="auto"/>
                <w:sz w:val="24"/>
                <w:szCs w:val="24"/>
                <w:highlight w:val="none"/>
                <w:vertAlign w:val="subscript"/>
              </w:rPr>
              <w:t>0</w:t>
            </w:r>
            <w:r>
              <w:rPr>
                <w:rFonts w:hint="eastAsia" w:ascii="Times New Roman" w:hAnsi="Times New Roman" w:eastAsia="宋体" w:cs="Times New Roman"/>
                <w:color w:val="auto"/>
                <w:sz w:val="24"/>
                <w:szCs w:val="24"/>
                <w:highlight w:val="none"/>
              </w:rPr>
              <w:t>处的声压级，dB；</w:t>
            </w:r>
          </w:p>
          <w:p w14:paraId="69BCBBB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DC——指向性校正，它描述点声源的等效连续声压级与产生声功率级Lw的全向点声源在规定方向的声级的偏差程度，dB；</w:t>
            </w:r>
          </w:p>
          <w:p w14:paraId="0879F0B0">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Adiv——几何发散引起的衰减，dB；</w:t>
            </w:r>
          </w:p>
          <w:p w14:paraId="491352EC">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Aatm——大气吸收引起的衰减，dB；</w:t>
            </w:r>
          </w:p>
          <w:p w14:paraId="0561106A">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Agr——地面效应引起的衰减，dB；</w:t>
            </w:r>
          </w:p>
          <w:p w14:paraId="77BF5C77">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Abar——障碍物屏蔽引起的衰减，dB；</w:t>
            </w:r>
          </w:p>
          <w:p w14:paraId="034B36A6">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Amisc——其他多方面效应引起的衰减，dB。</w:t>
            </w:r>
          </w:p>
          <w:p w14:paraId="777C23B1">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b）预测点的A声级LA(r)可按式（A.3）计算，即将8个倍频带声压级合成，计算出预测点的A声级[LA(r)]。</w:t>
            </w:r>
          </w:p>
          <w:p w14:paraId="70722FA4">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position w:val="-36"/>
                <w:sz w:val="24"/>
                <w:szCs w:val="24"/>
                <w:highlight w:val="none"/>
              </w:rPr>
              <w:object>
                <v:shape id="_x0000_i1025" o:spt="75" type="#_x0000_t75" style="height:42pt;width:157.95pt;" o:ole="t" filled="f" coordsize="21600,21600">
                  <v:path/>
                  <v:fill on="f" focussize="0,0"/>
                  <v:stroke/>
                  <v:imagedata r:id="rId17" o:title=""/>
                  <o:lock v:ext="edit" aspectratio="t"/>
                  <w10:wrap type="none"/>
                  <w10:anchorlock/>
                </v:shape>
                <o:OLEObject Type="Embed" ProgID="Equation.KSEE3" ShapeID="_x0000_i1025" DrawAspect="Content" ObjectID="_1468075725" r:id="rId16">
                  <o:LockedField>false</o:LockedField>
                </o:OLEObject>
              </w:object>
            </w:r>
            <w:r>
              <w:rPr>
                <w:rFonts w:hint="eastAsia" w:ascii="Times New Roman" w:hAnsi="Times New Roman" w:eastAsia="宋体" w:cs="Times New Roman"/>
                <w:color w:val="auto"/>
                <w:sz w:val="24"/>
                <w:szCs w:val="24"/>
                <w:highlight w:val="none"/>
              </w:rPr>
              <w:t xml:space="preserve">                 （A.3）</w:t>
            </w:r>
          </w:p>
          <w:p w14:paraId="679A9E8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式中：LA(r)——距声源r处的A声级，dB(A)；</w:t>
            </w:r>
          </w:p>
          <w:p w14:paraId="31C0E6A1">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Lpi(r)——预测点（r）处，第i倍频带声压级，dB；</w:t>
            </w:r>
          </w:p>
          <w:p w14:paraId="505C87CD">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ΔLi——第i倍频带的A计权网络修正值，dB。</w:t>
            </w:r>
          </w:p>
          <w:p w14:paraId="08D2B11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c）在只考虑几何发散衰减时，可按式（A.4）计算。</w:t>
            </w:r>
          </w:p>
          <w:p w14:paraId="15E0B598">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LA(r)=LA(r</w:t>
            </w:r>
            <w:r>
              <w:rPr>
                <w:rFonts w:hint="eastAsia" w:ascii="Times New Roman" w:hAnsi="Times New Roman" w:eastAsia="宋体" w:cs="Times New Roman"/>
                <w:color w:val="auto"/>
                <w:sz w:val="24"/>
                <w:szCs w:val="24"/>
                <w:highlight w:val="none"/>
                <w:vertAlign w:val="subscript"/>
              </w:rPr>
              <w:t>0</w:t>
            </w:r>
            <w:r>
              <w:rPr>
                <w:rFonts w:hint="eastAsia" w:ascii="Times New Roman" w:hAnsi="Times New Roman" w:eastAsia="宋体" w:cs="Times New Roman"/>
                <w:color w:val="auto"/>
                <w:sz w:val="24"/>
                <w:szCs w:val="24"/>
                <w:highlight w:val="none"/>
              </w:rPr>
              <w:t>)-Adiv                      （A.4）</w:t>
            </w:r>
          </w:p>
          <w:p w14:paraId="68A353D2">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式中：LA(r)——距声源r处的A声级，dB(A)；</w:t>
            </w:r>
          </w:p>
          <w:p w14:paraId="5CD383B1">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LA(r</w:t>
            </w:r>
            <w:r>
              <w:rPr>
                <w:rFonts w:hint="eastAsia" w:ascii="Times New Roman" w:hAnsi="Times New Roman" w:eastAsia="宋体" w:cs="Times New Roman"/>
                <w:color w:val="auto"/>
                <w:sz w:val="24"/>
                <w:szCs w:val="24"/>
                <w:highlight w:val="none"/>
                <w:vertAlign w:val="subscript"/>
              </w:rPr>
              <w:t>0</w:t>
            </w:r>
            <w:r>
              <w:rPr>
                <w:rFonts w:hint="eastAsia" w:ascii="Times New Roman" w:hAnsi="Times New Roman" w:eastAsia="宋体" w:cs="Times New Roman"/>
                <w:color w:val="auto"/>
                <w:sz w:val="24"/>
                <w:szCs w:val="24"/>
                <w:highlight w:val="none"/>
              </w:rPr>
              <w:t>)——参考位置r</w:t>
            </w:r>
            <w:r>
              <w:rPr>
                <w:rFonts w:hint="eastAsia" w:ascii="Times New Roman" w:hAnsi="Times New Roman" w:eastAsia="宋体" w:cs="Times New Roman"/>
                <w:color w:val="auto"/>
                <w:sz w:val="24"/>
                <w:szCs w:val="24"/>
                <w:highlight w:val="none"/>
                <w:vertAlign w:val="subscript"/>
              </w:rPr>
              <w:t>0</w:t>
            </w:r>
            <w:r>
              <w:rPr>
                <w:rFonts w:hint="eastAsia" w:ascii="Times New Roman" w:hAnsi="Times New Roman" w:eastAsia="宋体" w:cs="Times New Roman"/>
                <w:color w:val="auto"/>
                <w:sz w:val="24"/>
                <w:szCs w:val="24"/>
                <w:highlight w:val="none"/>
              </w:rPr>
              <w:t>处的A声级，dB(A)；</w:t>
            </w:r>
          </w:p>
          <w:p w14:paraId="0BFCE28F">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Adiv——几何发散引起的衰减，dB。</w:t>
            </w:r>
          </w:p>
          <w:p w14:paraId="447D60F8">
            <w:pPr>
              <w:rPr>
                <w:rFonts w:hint="eastAsia" w:ascii="Times New Roman" w:hAnsi="Times New Roman" w:eastAsia="宋体" w:cs="Times New Roman"/>
                <w:color w:val="auto"/>
                <w:sz w:val="24"/>
                <w:szCs w:val="24"/>
                <w:highlight w:val="none"/>
              </w:rPr>
            </w:pPr>
          </w:p>
          <w:p w14:paraId="4FF89B1C">
            <w:pPr>
              <w:rPr>
                <w:rFonts w:hint="eastAsia" w:ascii="Times New Roman" w:hAnsi="Times New Roman" w:eastAsia="宋体" w:cs="Times New Roman"/>
                <w:color w:val="auto"/>
                <w:sz w:val="24"/>
                <w:szCs w:val="24"/>
                <w:highlight w:val="none"/>
              </w:rPr>
            </w:pPr>
          </w:p>
          <w:p w14:paraId="30997F46">
            <w:pPr>
              <w:rPr>
                <w:rFonts w:hint="eastAsia" w:ascii="Times New Roman" w:hAnsi="Times New Roman" w:eastAsia="宋体" w:cs="Times New Roman"/>
                <w:color w:val="auto"/>
                <w:sz w:val="24"/>
                <w:szCs w:val="24"/>
                <w:highlight w:val="none"/>
              </w:rPr>
            </w:pPr>
          </w:p>
          <w:p w14:paraId="5A2CF45B">
            <w:pPr>
              <w:rPr>
                <w:rFonts w:hint="eastAsia" w:ascii="Times New Roman" w:hAnsi="Times New Roman" w:eastAsia="宋体" w:cs="Times New Roman"/>
                <w:color w:val="auto"/>
                <w:sz w:val="24"/>
                <w:szCs w:val="24"/>
                <w:highlight w:val="none"/>
              </w:rPr>
            </w:pPr>
          </w:p>
          <w:p w14:paraId="6B4A71C6">
            <w:pPr>
              <w:rPr>
                <w:rFonts w:hint="eastAsia" w:ascii="Times New Roman" w:hAnsi="Times New Roman" w:eastAsia="宋体" w:cs="Times New Roman"/>
                <w:color w:val="auto"/>
                <w:sz w:val="24"/>
                <w:szCs w:val="24"/>
                <w:highlight w:val="none"/>
              </w:rPr>
            </w:pPr>
          </w:p>
          <w:p w14:paraId="18C76BD1">
            <w:pPr>
              <w:rPr>
                <w:rFonts w:hint="eastAsia" w:ascii="Times New Roman" w:hAnsi="Times New Roman" w:eastAsia="宋体" w:cs="Times New Roman"/>
                <w:color w:val="auto"/>
                <w:sz w:val="24"/>
                <w:szCs w:val="24"/>
                <w:highlight w:val="none"/>
              </w:rPr>
            </w:pPr>
          </w:p>
          <w:p w14:paraId="26EED5A8">
            <w:pPr>
              <w:rPr>
                <w:rFonts w:hint="eastAsia" w:ascii="Times New Roman" w:hAnsi="Times New Roman" w:eastAsia="宋体" w:cs="Times New Roman"/>
                <w:color w:val="auto"/>
                <w:sz w:val="24"/>
                <w:szCs w:val="24"/>
                <w:highlight w:val="none"/>
              </w:rPr>
            </w:pPr>
          </w:p>
          <w:p w14:paraId="7B14376D">
            <w:pPr>
              <w:rPr>
                <w:rFonts w:hint="eastAsia" w:ascii="Times New Roman" w:hAnsi="Times New Roman" w:eastAsia="宋体" w:cs="Times New Roman"/>
                <w:color w:val="auto"/>
                <w:sz w:val="24"/>
                <w:szCs w:val="24"/>
                <w:highlight w:val="none"/>
              </w:rPr>
            </w:pPr>
          </w:p>
          <w:p w14:paraId="42C9577B">
            <w:pPr>
              <w:rPr>
                <w:rFonts w:hint="eastAsia" w:ascii="Times New Roman" w:hAnsi="Times New Roman" w:eastAsia="宋体" w:cs="Times New Roman"/>
                <w:color w:val="auto"/>
                <w:sz w:val="24"/>
                <w:szCs w:val="24"/>
                <w:highlight w:val="none"/>
              </w:rPr>
            </w:pPr>
          </w:p>
          <w:p w14:paraId="1C36AC29">
            <w:pPr>
              <w:rPr>
                <w:rFonts w:hint="eastAsia" w:ascii="Times New Roman" w:hAnsi="Times New Roman" w:eastAsia="宋体" w:cs="Times New Roman"/>
                <w:color w:val="auto"/>
                <w:sz w:val="24"/>
                <w:szCs w:val="24"/>
                <w:highlight w:val="none"/>
              </w:rPr>
            </w:pPr>
          </w:p>
          <w:p w14:paraId="1F97DA81">
            <w:pPr>
              <w:ind w:left="0" w:leftChars="0" w:firstLine="0" w:firstLineChars="0"/>
              <w:rPr>
                <w:rFonts w:hint="eastAsia" w:ascii="Times New Roman" w:hAnsi="Times New Roman" w:eastAsia="宋体" w:cs="Times New Roman"/>
                <w:color w:val="auto"/>
                <w:sz w:val="24"/>
                <w:szCs w:val="24"/>
                <w:highlight w:val="none"/>
                <w:lang w:val="en-US" w:eastAsia="zh-CN"/>
              </w:rPr>
            </w:pPr>
          </w:p>
        </w:tc>
      </w:tr>
    </w:tbl>
    <w:p w14:paraId="0EB07D18">
      <w:pPr>
        <w:keepNext w:val="0"/>
        <w:keepLines w:val="0"/>
        <w:pageBreakBefore w:val="0"/>
        <w:kinsoku/>
        <w:wordWrap/>
        <w:overflowPunct/>
        <w:autoSpaceDE/>
        <w:autoSpaceDN/>
        <w:bidi w:val="0"/>
        <w:spacing w:line="240" w:lineRule="auto"/>
        <w:ind w:firstLine="0" w:firstLineChars="0"/>
        <w:jc w:val="both"/>
        <w:rPr>
          <w:color w:val="auto"/>
          <w:highlight w:val="none"/>
        </w:rPr>
        <w:sectPr>
          <w:pgSz w:w="11907" w:h="16840"/>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p>
    <w:tbl>
      <w:tblPr>
        <w:tblStyle w:val="16"/>
        <w:tblW w:w="1377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07"/>
        <w:gridCol w:w="13469"/>
      </w:tblGrid>
      <w:tr w14:paraId="2E84CB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16" w:hRule="atLeast"/>
          <w:jc w:val="center"/>
        </w:trPr>
        <w:tc>
          <w:tcPr>
            <w:tcW w:w="307" w:type="dxa"/>
            <w:tcMar>
              <w:left w:w="28" w:type="dxa"/>
              <w:right w:w="28" w:type="dxa"/>
            </w:tcMar>
            <w:vAlign w:val="center"/>
          </w:tcPr>
          <w:p w14:paraId="7D1C2711">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运营</w:t>
            </w:r>
          </w:p>
          <w:p w14:paraId="3C13B4AE">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期环</w:t>
            </w:r>
          </w:p>
          <w:p w14:paraId="5B075AA4">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境影</w:t>
            </w:r>
          </w:p>
          <w:p w14:paraId="442D20D7">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响和</w:t>
            </w:r>
          </w:p>
          <w:p w14:paraId="1251BB17">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保护</w:t>
            </w:r>
          </w:p>
          <w:p w14:paraId="648312CE">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Cs/>
                <w:color w:val="auto"/>
                <w:szCs w:val="21"/>
                <w:highlight w:val="none"/>
              </w:rPr>
            </w:pPr>
            <w:r>
              <w:rPr>
                <w:rFonts w:hint="eastAsia" w:ascii="宋体" w:hAnsi="宋体" w:cs="宋体"/>
                <w:b/>
                <w:bCs w:val="0"/>
                <w:color w:val="auto"/>
                <w:szCs w:val="21"/>
                <w:highlight w:val="none"/>
              </w:rPr>
              <w:t>措施</w:t>
            </w:r>
          </w:p>
        </w:tc>
        <w:tc>
          <w:tcPr>
            <w:tcW w:w="13469" w:type="dxa"/>
          </w:tcPr>
          <w:p w14:paraId="1375648C">
            <w:pPr>
              <w:pStyle w:val="25"/>
              <w:bidi w:val="0"/>
              <w:rPr>
                <w:color w:val="auto"/>
                <w:highlight w:val="none"/>
              </w:rPr>
            </w:pPr>
            <w:r>
              <w:rPr>
                <w:rFonts w:hint="eastAsia"/>
                <w:color w:val="auto"/>
                <w:highlight w:val="none"/>
              </w:rPr>
              <w:t>工业企业噪声源强调查清单</w:t>
            </w:r>
          </w:p>
          <w:tbl>
            <w:tblPr>
              <w:tblStyle w:val="16"/>
              <w:tblW w:w="4995"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20"/>
              <w:gridCol w:w="1198"/>
              <w:gridCol w:w="912"/>
              <w:gridCol w:w="904"/>
              <w:gridCol w:w="893"/>
              <w:gridCol w:w="1882"/>
              <w:gridCol w:w="3474"/>
              <w:gridCol w:w="2422"/>
              <w:gridCol w:w="1235"/>
            </w:tblGrid>
            <w:tr w14:paraId="403667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1" w:type="pct"/>
                  <w:vMerge w:val="restart"/>
                  <w:tcBorders>
                    <w:tl2br w:val="nil"/>
                    <w:tr2bl w:val="nil"/>
                  </w:tcBorders>
                  <w:vAlign w:val="center"/>
                </w:tcPr>
                <w:p w14:paraId="199EFE11">
                  <w:pPr>
                    <w:pStyle w:val="27"/>
                    <w:spacing w:line="240" w:lineRule="auto"/>
                    <w:rPr>
                      <w:rFonts w:hint="default"/>
                      <w:color w:val="auto"/>
                      <w:highlight w:val="none"/>
                    </w:rPr>
                  </w:pPr>
                  <w:r>
                    <w:rPr>
                      <w:rFonts w:eastAsia="宋体"/>
                      <w:b/>
                      <w:color w:val="auto"/>
                      <w:sz w:val="21"/>
                      <w:highlight w:val="none"/>
                    </w:rPr>
                    <w:t>序号</w:t>
                  </w:r>
                </w:p>
              </w:tc>
              <w:tc>
                <w:tcPr>
                  <w:tcW w:w="452" w:type="pct"/>
                  <w:vMerge w:val="restart"/>
                  <w:tcBorders>
                    <w:tl2br w:val="nil"/>
                    <w:tr2bl w:val="nil"/>
                  </w:tcBorders>
                  <w:vAlign w:val="center"/>
                </w:tcPr>
                <w:p w14:paraId="0385964A">
                  <w:pPr>
                    <w:pStyle w:val="27"/>
                    <w:spacing w:line="240" w:lineRule="auto"/>
                    <w:rPr>
                      <w:rFonts w:hint="default"/>
                      <w:color w:val="auto"/>
                      <w:highlight w:val="none"/>
                    </w:rPr>
                  </w:pPr>
                  <w:r>
                    <w:rPr>
                      <w:rFonts w:eastAsia="宋体"/>
                      <w:b/>
                      <w:color w:val="auto"/>
                      <w:sz w:val="21"/>
                      <w:highlight w:val="none"/>
                    </w:rPr>
                    <w:t>声源名称</w:t>
                  </w:r>
                </w:p>
              </w:tc>
              <w:tc>
                <w:tcPr>
                  <w:tcW w:w="1022" w:type="pct"/>
                  <w:gridSpan w:val="3"/>
                  <w:tcBorders>
                    <w:tl2br w:val="nil"/>
                    <w:tr2bl w:val="nil"/>
                  </w:tcBorders>
                  <w:vAlign w:val="center"/>
                </w:tcPr>
                <w:p w14:paraId="48FF9BB9">
                  <w:pPr>
                    <w:pStyle w:val="27"/>
                    <w:spacing w:line="240" w:lineRule="auto"/>
                    <w:rPr>
                      <w:rFonts w:hint="default"/>
                      <w:color w:val="auto"/>
                      <w:highlight w:val="none"/>
                    </w:rPr>
                  </w:pPr>
                  <w:r>
                    <w:rPr>
                      <w:rFonts w:eastAsia="宋体"/>
                      <w:b/>
                      <w:color w:val="auto"/>
                      <w:sz w:val="21"/>
                      <w:highlight w:val="none"/>
                    </w:rPr>
                    <w:t>空间相对位置/m</w:t>
                  </w:r>
                </w:p>
              </w:tc>
              <w:tc>
                <w:tcPr>
                  <w:tcW w:w="710" w:type="pct"/>
                  <w:tcBorders>
                    <w:tl2br w:val="nil"/>
                    <w:tr2bl w:val="nil"/>
                  </w:tcBorders>
                  <w:vAlign w:val="center"/>
                </w:tcPr>
                <w:p w14:paraId="1105DCE1">
                  <w:pPr>
                    <w:pStyle w:val="27"/>
                    <w:spacing w:line="240" w:lineRule="auto"/>
                    <w:rPr>
                      <w:rFonts w:hint="default"/>
                      <w:color w:val="auto"/>
                      <w:highlight w:val="none"/>
                    </w:rPr>
                  </w:pPr>
                  <w:r>
                    <w:rPr>
                      <w:rFonts w:eastAsia="宋体"/>
                      <w:b/>
                      <w:color w:val="auto"/>
                      <w:sz w:val="21"/>
                      <w:highlight w:val="none"/>
                    </w:rPr>
                    <w:t>声源源强</w:t>
                  </w:r>
                </w:p>
              </w:tc>
              <w:tc>
                <w:tcPr>
                  <w:tcW w:w="1311" w:type="pct"/>
                  <w:vMerge w:val="restart"/>
                  <w:tcBorders>
                    <w:tl2br w:val="nil"/>
                    <w:tr2bl w:val="nil"/>
                  </w:tcBorders>
                  <w:vAlign w:val="center"/>
                </w:tcPr>
                <w:p w14:paraId="28F760F5">
                  <w:pPr>
                    <w:pStyle w:val="27"/>
                    <w:spacing w:line="240" w:lineRule="auto"/>
                    <w:rPr>
                      <w:rFonts w:hint="default"/>
                      <w:color w:val="auto"/>
                      <w:highlight w:val="none"/>
                    </w:rPr>
                  </w:pPr>
                  <w:r>
                    <w:rPr>
                      <w:rFonts w:eastAsia="宋体"/>
                      <w:b/>
                      <w:color w:val="auto"/>
                      <w:sz w:val="21"/>
                      <w:highlight w:val="none"/>
                    </w:rPr>
                    <w:t>声源控制措施</w:t>
                  </w:r>
                </w:p>
              </w:tc>
              <w:tc>
                <w:tcPr>
                  <w:tcW w:w="914" w:type="pct"/>
                  <w:tcBorders>
                    <w:tl2br w:val="nil"/>
                    <w:tr2bl w:val="nil"/>
                  </w:tcBorders>
                  <w:vAlign w:val="center"/>
                </w:tcPr>
                <w:p w14:paraId="448CEABD">
                  <w:pPr>
                    <w:pStyle w:val="27"/>
                    <w:spacing w:line="240" w:lineRule="auto"/>
                    <w:rPr>
                      <w:rFonts w:eastAsia="宋体"/>
                      <w:b/>
                      <w:color w:val="auto"/>
                      <w:sz w:val="21"/>
                      <w:highlight w:val="none"/>
                    </w:rPr>
                  </w:pPr>
                  <w:r>
                    <w:rPr>
                      <w:rFonts w:hint="default" w:ascii="Times New Roman" w:hAnsi="Times New Roman" w:eastAsia="宋体" w:cs="Times New Roman"/>
                      <w:b/>
                      <w:bCs/>
                      <w:color w:val="auto"/>
                      <w:highlight w:val="none"/>
                      <w:lang w:val="en-US" w:eastAsia="zh-CN"/>
                    </w:rPr>
                    <w:t>采取措施后噪声源强</w:t>
                  </w:r>
                </w:p>
              </w:tc>
              <w:tc>
                <w:tcPr>
                  <w:tcW w:w="466" w:type="pct"/>
                  <w:vMerge w:val="restart"/>
                  <w:tcBorders>
                    <w:tl2br w:val="nil"/>
                    <w:tr2bl w:val="nil"/>
                  </w:tcBorders>
                  <w:vAlign w:val="center"/>
                </w:tcPr>
                <w:p w14:paraId="354F59D7">
                  <w:pPr>
                    <w:pStyle w:val="27"/>
                    <w:spacing w:line="240" w:lineRule="auto"/>
                    <w:rPr>
                      <w:rFonts w:hint="default"/>
                      <w:color w:val="auto"/>
                      <w:highlight w:val="none"/>
                    </w:rPr>
                  </w:pPr>
                  <w:r>
                    <w:rPr>
                      <w:rFonts w:eastAsia="宋体"/>
                      <w:b/>
                      <w:color w:val="auto"/>
                      <w:sz w:val="21"/>
                      <w:highlight w:val="none"/>
                    </w:rPr>
                    <w:t>运行时段</w:t>
                  </w:r>
                </w:p>
              </w:tc>
            </w:tr>
            <w:tr w14:paraId="63BBA5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1" w:type="pct"/>
                  <w:vMerge w:val="continue"/>
                  <w:tcBorders>
                    <w:tl2br w:val="nil"/>
                    <w:tr2bl w:val="nil"/>
                  </w:tcBorders>
                  <w:vAlign w:val="center"/>
                </w:tcPr>
                <w:p w14:paraId="023AA20A">
                  <w:pPr>
                    <w:pStyle w:val="24"/>
                    <w:spacing w:line="240" w:lineRule="auto"/>
                    <w:rPr>
                      <w:color w:val="auto"/>
                      <w:highlight w:val="none"/>
                    </w:rPr>
                  </w:pPr>
                </w:p>
              </w:tc>
              <w:tc>
                <w:tcPr>
                  <w:tcW w:w="452" w:type="pct"/>
                  <w:vMerge w:val="continue"/>
                  <w:tcBorders>
                    <w:tl2br w:val="nil"/>
                    <w:tr2bl w:val="nil"/>
                  </w:tcBorders>
                  <w:vAlign w:val="center"/>
                </w:tcPr>
                <w:p w14:paraId="1E670192">
                  <w:pPr>
                    <w:pStyle w:val="24"/>
                    <w:spacing w:line="240" w:lineRule="auto"/>
                    <w:rPr>
                      <w:color w:val="auto"/>
                      <w:highlight w:val="none"/>
                    </w:rPr>
                  </w:pPr>
                </w:p>
              </w:tc>
              <w:tc>
                <w:tcPr>
                  <w:tcW w:w="344" w:type="pct"/>
                  <w:tcBorders>
                    <w:tl2br w:val="nil"/>
                    <w:tr2bl w:val="nil"/>
                  </w:tcBorders>
                  <w:vAlign w:val="center"/>
                </w:tcPr>
                <w:p w14:paraId="46F3E7B3">
                  <w:pPr>
                    <w:pStyle w:val="27"/>
                    <w:spacing w:line="240" w:lineRule="auto"/>
                    <w:rPr>
                      <w:rFonts w:hint="default"/>
                      <w:color w:val="auto"/>
                      <w:highlight w:val="none"/>
                    </w:rPr>
                  </w:pPr>
                  <w:r>
                    <w:rPr>
                      <w:rFonts w:eastAsia="宋体"/>
                      <w:b/>
                      <w:color w:val="auto"/>
                      <w:sz w:val="21"/>
                      <w:highlight w:val="none"/>
                    </w:rPr>
                    <w:t>X</w:t>
                  </w:r>
                </w:p>
              </w:tc>
              <w:tc>
                <w:tcPr>
                  <w:tcW w:w="341" w:type="pct"/>
                  <w:tcBorders>
                    <w:tl2br w:val="nil"/>
                    <w:tr2bl w:val="nil"/>
                  </w:tcBorders>
                  <w:vAlign w:val="center"/>
                </w:tcPr>
                <w:p w14:paraId="160C965F">
                  <w:pPr>
                    <w:pStyle w:val="27"/>
                    <w:spacing w:line="240" w:lineRule="auto"/>
                    <w:rPr>
                      <w:rFonts w:hint="default"/>
                      <w:color w:val="auto"/>
                      <w:highlight w:val="none"/>
                    </w:rPr>
                  </w:pPr>
                  <w:r>
                    <w:rPr>
                      <w:rFonts w:eastAsia="宋体"/>
                      <w:b/>
                      <w:color w:val="auto"/>
                      <w:sz w:val="21"/>
                      <w:highlight w:val="none"/>
                    </w:rPr>
                    <w:t>Y</w:t>
                  </w:r>
                </w:p>
              </w:tc>
              <w:tc>
                <w:tcPr>
                  <w:tcW w:w="336" w:type="pct"/>
                  <w:tcBorders>
                    <w:tl2br w:val="nil"/>
                    <w:tr2bl w:val="nil"/>
                  </w:tcBorders>
                  <w:vAlign w:val="center"/>
                </w:tcPr>
                <w:p w14:paraId="7BF173E7">
                  <w:pPr>
                    <w:pStyle w:val="27"/>
                    <w:spacing w:line="240" w:lineRule="auto"/>
                    <w:rPr>
                      <w:rFonts w:hint="default"/>
                      <w:color w:val="auto"/>
                      <w:highlight w:val="none"/>
                    </w:rPr>
                  </w:pPr>
                  <w:r>
                    <w:rPr>
                      <w:rFonts w:eastAsia="宋体"/>
                      <w:b/>
                      <w:color w:val="auto"/>
                      <w:sz w:val="21"/>
                      <w:highlight w:val="none"/>
                    </w:rPr>
                    <w:t>Z</w:t>
                  </w:r>
                </w:p>
              </w:tc>
              <w:tc>
                <w:tcPr>
                  <w:tcW w:w="710" w:type="pct"/>
                  <w:tcBorders>
                    <w:tl2br w:val="nil"/>
                    <w:tr2bl w:val="nil"/>
                  </w:tcBorders>
                  <w:vAlign w:val="center"/>
                </w:tcPr>
                <w:p w14:paraId="78F86A5D">
                  <w:pPr>
                    <w:pStyle w:val="27"/>
                    <w:spacing w:line="240" w:lineRule="auto"/>
                    <w:rPr>
                      <w:rFonts w:hint="default"/>
                      <w:color w:val="auto"/>
                      <w:highlight w:val="none"/>
                    </w:rPr>
                  </w:pPr>
                  <w:r>
                    <w:rPr>
                      <w:rFonts w:eastAsia="宋体"/>
                      <w:b/>
                      <w:color w:val="auto"/>
                      <w:sz w:val="21"/>
                      <w:highlight w:val="none"/>
                    </w:rPr>
                    <w:t>声功率级/dB(A)</w:t>
                  </w:r>
                </w:p>
              </w:tc>
              <w:tc>
                <w:tcPr>
                  <w:tcW w:w="1311" w:type="pct"/>
                  <w:vMerge w:val="continue"/>
                  <w:tcBorders>
                    <w:tl2br w:val="nil"/>
                    <w:tr2bl w:val="nil"/>
                  </w:tcBorders>
                  <w:vAlign w:val="center"/>
                </w:tcPr>
                <w:p w14:paraId="6D155EF4">
                  <w:pPr>
                    <w:pStyle w:val="24"/>
                    <w:spacing w:line="240" w:lineRule="auto"/>
                    <w:rPr>
                      <w:color w:val="auto"/>
                      <w:highlight w:val="none"/>
                    </w:rPr>
                  </w:pPr>
                </w:p>
              </w:tc>
              <w:tc>
                <w:tcPr>
                  <w:tcW w:w="914" w:type="pct"/>
                  <w:tcBorders>
                    <w:tl2br w:val="nil"/>
                    <w:tr2bl w:val="nil"/>
                  </w:tcBorders>
                  <w:vAlign w:val="center"/>
                </w:tcPr>
                <w:p w14:paraId="2152C4ED">
                  <w:pPr>
                    <w:pStyle w:val="24"/>
                    <w:spacing w:line="240" w:lineRule="auto"/>
                    <w:rPr>
                      <w:color w:val="auto"/>
                      <w:highlight w:val="none"/>
                    </w:rPr>
                  </w:pPr>
                  <w:r>
                    <w:rPr>
                      <w:rFonts w:eastAsia="宋体"/>
                      <w:b/>
                      <w:color w:val="auto"/>
                      <w:sz w:val="21"/>
                      <w:highlight w:val="none"/>
                    </w:rPr>
                    <w:t>声功率级/dB(A)</w:t>
                  </w:r>
                </w:p>
              </w:tc>
              <w:tc>
                <w:tcPr>
                  <w:tcW w:w="466" w:type="pct"/>
                  <w:vMerge w:val="continue"/>
                  <w:tcBorders>
                    <w:tl2br w:val="nil"/>
                    <w:tr2bl w:val="nil"/>
                  </w:tcBorders>
                  <w:vAlign w:val="center"/>
                </w:tcPr>
                <w:p w14:paraId="5EA2B183">
                  <w:pPr>
                    <w:pStyle w:val="24"/>
                    <w:spacing w:line="240" w:lineRule="auto"/>
                    <w:rPr>
                      <w:color w:val="auto"/>
                      <w:highlight w:val="none"/>
                    </w:rPr>
                  </w:pPr>
                </w:p>
              </w:tc>
            </w:tr>
            <w:tr w14:paraId="13F963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1" w:type="pct"/>
                  <w:tcBorders>
                    <w:tl2br w:val="nil"/>
                    <w:tr2bl w:val="nil"/>
                  </w:tcBorders>
                  <w:vAlign w:val="center"/>
                </w:tcPr>
                <w:p w14:paraId="7099BD03">
                  <w:pPr>
                    <w:pStyle w:val="24"/>
                    <w:spacing w:line="240" w:lineRule="auto"/>
                    <w:rPr>
                      <w:rFonts w:hint="eastAsia" w:eastAsiaTheme="minorEastAsia"/>
                      <w:color w:val="auto"/>
                      <w:highlight w:val="none"/>
                      <w:lang w:eastAsia="zh-CN"/>
                    </w:rPr>
                  </w:pPr>
                  <w:r>
                    <w:rPr>
                      <w:rFonts w:hint="eastAsia"/>
                      <w:color w:val="auto"/>
                      <w:highlight w:val="none"/>
                      <w:lang w:val="en-US" w:eastAsia="zh-CN"/>
                    </w:rPr>
                    <w:t>1</w:t>
                  </w:r>
                </w:p>
              </w:tc>
              <w:tc>
                <w:tcPr>
                  <w:tcW w:w="452" w:type="pct"/>
                  <w:tcBorders>
                    <w:tl2br w:val="nil"/>
                    <w:tr2bl w:val="nil"/>
                  </w:tcBorders>
                  <w:vAlign w:val="center"/>
                </w:tcPr>
                <w:p w14:paraId="54F4FEEB">
                  <w:pPr>
                    <w:pStyle w:val="24"/>
                    <w:spacing w:line="240" w:lineRule="auto"/>
                    <w:rPr>
                      <w:rFonts w:hint="eastAsia" w:eastAsiaTheme="minorEastAsia"/>
                      <w:color w:val="auto"/>
                      <w:highlight w:val="none"/>
                      <w:lang w:eastAsia="zh-CN"/>
                    </w:rPr>
                  </w:pPr>
                  <w:r>
                    <w:rPr>
                      <w:rFonts w:hint="eastAsia"/>
                      <w:color w:val="auto"/>
                      <w:highlight w:val="none"/>
                      <w:lang w:eastAsia="zh-CN"/>
                    </w:rPr>
                    <w:t>排气扇</w:t>
                  </w:r>
                </w:p>
              </w:tc>
              <w:tc>
                <w:tcPr>
                  <w:tcW w:w="344" w:type="pct"/>
                  <w:tcBorders>
                    <w:tl2br w:val="nil"/>
                    <w:tr2bl w:val="nil"/>
                  </w:tcBorders>
                  <w:vAlign w:val="center"/>
                </w:tcPr>
                <w:p w14:paraId="3750DD7E">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3</w:t>
                  </w:r>
                </w:p>
              </w:tc>
              <w:tc>
                <w:tcPr>
                  <w:tcW w:w="341" w:type="pct"/>
                  <w:tcBorders>
                    <w:tl2br w:val="nil"/>
                    <w:tr2bl w:val="nil"/>
                  </w:tcBorders>
                  <w:vAlign w:val="center"/>
                </w:tcPr>
                <w:p w14:paraId="344DFB79">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3</w:t>
                  </w:r>
                </w:p>
              </w:tc>
              <w:tc>
                <w:tcPr>
                  <w:tcW w:w="336" w:type="pct"/>
                  <w:tcBorders>
                    <w:tl2br w:val="nil"/>
                    <w:tr2bl w:val="nil"/>
                  </w:tcBorders>
                  <w:vAlign w:val="center"/>
                </w:tcPr>
                <w:p w14:paraId="2EB51C7C">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3</w:t>
                  </w:r>
                </w:p>
              </w:tc>
              <w:tc>
                <w:tcPr>
                  <w:tcW w:w="710" w:type="pct"/>
                  <w:tcBorders>
                    <w:tl2br w:val="nil"/>
                    <w:tr2bl w:val="nil"/>
                  </w:tcBorders>
                  <w:vAlign w:val="center"/>
                </w:tcPr>
                <w:p w14:paraId="75129E7B">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65</w:t>
                  </w:r>
                </w:p>
              </w:tc>
              <w:tc>
                <w:tcPr>
                  <w:tcW w:w="1311" w:type="pct"/>
                  <w:tcBorders>
                    <w:tl2br w:val="nil"/>
                    <w:tr2bl w:val="nil"/>
                  </w:tcBorders>
                  <w:vAlign w:val="center"/>
                </w:tcPr>
                <w:p w14:paraId="6656C1ED">
                  <w:pPr>
                    <w:pStyle w:val="24"/>
                    <w:spacing w:line="240" w:lineRule="auto"/>
                    <w:rPr>
                      <w:rFonts w:hint="eastAsia" w:eastAsiaTheme="minorEastAsia"/>
                      <w:color w:val="auto"/>
                      <w:highlight w:val="none"/>
                      <w:lang w:eastAsia="zh-CN"/>
                    </w:rPr>
                  </w:pPr>
                  <w:r>
                    <w:rPr>
                      <w:rFonts w:hint="eastAsia"/>
                      <w:color w:val="auto"/>
                      <w:highlight w:val="none"/>
                    </w:rPr>
                    <w:t>低噪声设备、基础减振</w:t>
                  </w:r>
                  <w:r>
                    <w:rPr>
                      <w:rFonts w:hint="eastAsia"/>
                      <w:color w:val="auto"/>
                      <w:highlight w:val="none"/>
                      <w:lang w:eastAsia="zh-CN"/>
                    </w:rPr>
                    <w:t>、软连接</w:t>
                  </w:r>
                </w:p>
              </w:tc>
              <w:tc>
                <w:tcPr>
                  <w:tcW w:w="914" w:type="pct"/>
                  <w:tcBorders>
                    <w:tl2br w:val="nil"/>
                    <w:tr2bl w:val="nil"/>
                  </w:tcBorders>
                  <w:vAlign w:val="center"/>
                </w:tcPr>
                <w:p w14:paraId="390D6A4B">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43</w:t>
                  </w:r>
                </w:p>
              </w:tc>
              <w:tc>
                <w:tcPr>
                  <w:tcW w:w="466" w:type="pct"/>
                  <w:tcBorders>
                    <w:tl2br w:val="nil"/>
                    <w:tr2bl w:val="nil"/>
                  </w:tcBorders>
                  <w:vAlign w:val="center"/>
                </w:tcPr>
                <w:p w14:paraId="295A9B02">
                  <w:pPr>
                    <w:pStyle w:val="24"/>
                    <w:spacing w:line="240" w:lineRule="auto"/>
                    <w:rPr>
                      <w:color w:val="auto"/>
                      <w:highlight w:val="none"/>
                    </w:rPr>
                  </w:pPr>
                  <w:r>
                    <w:rPr>
                      <w:rFonts w:hint="eastAsia"/>
                      <w:color w:val="auto"/>
                      <w:highlight w:val="none"/>
                    </w:rPr>
                    <w:t>昼夜</w:t>
                  </w:r>
                </w:p>
              </w:tc>
            </w:tr>
          </w:tbl>
          <w:p w14:paraId="08CEA7DB">
            <w:pPr>
              <w:pStyle w:val="25"/>
              <w:bidi w:val="0"/>
              <w:rPr>
                <w:color w:val="auto"/>
                <w:highlight w:val="none"/>
              </w:rPr>
            </w:pPr>
            <w:r>
              <w:rPr>
                <w:color w:val="auto"/>
                <w:highlight w:val="none"/>
              </w:rPr>
              <w:t>噪声</w:t>
            </w:r>
            <w:r>
              <w:rPr>
                <w:rFonts w:hint="eastAsia"/>
                <w:color w:val="auto"/>
                <w:highlight w:val="none"/>
              </w:rPr>
              <w:t>达标分析表</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5"/>
              <w:gridCol w:w="1306"/>
              <w:gridCol w:w="1309"/>
              <w:gridCol w:w="1306"/>
              <w:gridCol w:w="1452"/>
              <w:gridCol w:w="1425"/>
              <w:gridCol w:w="1171"/>
              <w:gridCol w:w="1094"/>
              <w:gridCol w:w="1256"/>
              <w:gridCol w:w="1266"/>
            </w:tblGrid>
            <w:tr w14:paraId="73E9C5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5" w:type="pct"/>
                  <w:vMerge w:val="restart"/>
                  <w:tcBorders>
                    <w:tl2br w:val="nil"/>
                    <w:tr2bl w:val="nil"/>
                  </w:tcBorders>
                  <w:vAlign w:val="center"/>
                </w:tcPr>
                <w:p w14:paraId="7B0A36A0">
                  <w:pPr>
                    <w:pStyle w:val="27"/>
                    <w:spacing w:line="240" w:lineRule="auto"/>
                    <w:rPr>
                      <w:rFonts w:hint="default"/>
                      <w:color w:val="auto"/>
                      <w:highlight w:val="none"/>
                    </w:rPr>
                  </w:pPr>
                  <w:r>
                    <w:rPr>
                      <w:rFonts w:hint="default" w:eastAsia="宋体"/>
                      <w:b/>
                      <w:color w:val="auto"/>
                      <w:sz w:val="21"/>
                      <w:highlight w:val="none"/>
                    </w:rPr>
                    <w:t>位置</w:t>
                  </w:r>
                </w:p>
              </w:tc>
              <w:tc>
                <w:tcPr>
                  <w:tcW w:w="987" w:type="pct"/>
                  <w:gridSpan w:val="2"/>
                  <w:tcBorders>
                    <w:tl2br w:val="nil"/>
                    <w:tr2bl w:val="nil"/>
                  </w:tcBorders>
                  <w:vAlign w:val="center"/>
                </w:tcPr>
                <w:p w14:paraId="51DE8F8F">
                  <w:pPr>
                    <w:pStyle w:val="27"/>
                    <w:spacing w:line="240" w:lineRule="auto"/>
                    <w:rPr>
                      <w:rFonts w:hint="default"/>
                      <w:color w:val="auto"/>
                      <w:highlight w:val="none"/>
                    </w:rPr>
                  </w:pPr>
                  <w:r>
                    <w:rPr>
                      <w:rFonts w:eastAsia="宋体"/>
                      <w:b/>
                      <w:color w:val="auto"/>
                      <w:sz w:val="21"/>
                      <w:highlight w:val="none"/>
                    </w:rPr>
                    <w:t>背景值</w:t>
                  </w:r>
                </w:p>
              </w:tc>
              <w:tc>
                <w:tcPr>
                  <w:tcW w:w="493" w:type="pct"/>
                  <w:vMerge w:val="restart"/>
                  <w:tcBorders>
                    <w:tl2br w:val="nil"/>
                    <w:tr2bl w:val="nil"/>
                  </w:tcBorders>
                  <w:vAlign w:val="center"/>
                </w:tcPr>
                <w:p w14:paraId="62364F77">
                  <w:pPr>
                    <w:pStyle w:val="27"/>
                    <w:spacing w:line="240" w:lineRule="auto"/>
                    <w:rPr>
                      <w:rFonts w:hint="default"/>
                      <w:color w:val="auto"/>
                      <w:highlight w:val="none"/>
                    </w:rPr>
                  </w:pPr>
                  <w:r>
                    <w:rPr>
                      <w:rFonts w:eastAsia="宋体"/>
                      <w:b/>
                      <w:color w:val="auto"/>
                      <w:sz w:val="21"/>
                      <w:highlight w:val="none"/>
                    </w:rPr>
                    <w:t>本项目噪声贡献值</w:t>
                  </w:r>
                </w:p>
              </w:tc>
              <w:tc>
                <w:tcPr>
                  <w:tcW w:w="1086" w:type="pct"/>
                  <w:gridSpan w:val="2"/>
                  <w:tcBorders>
                    <w:tl2br w:val="nil"/>
                    <w:tr2bl w:val="nil"/>
                  </w:tcBorders>
                  <w:vAlign w:val="center"/>
                </w:tcPr>
                <w:p w14:paraId="5893855C">
                  <w:pPr>
                    <w:pStyle w:val="27"/>
                    <w:spacing w:line="240" w:lineRule="auto"/>
                    <w:rPr>
                      <w:rFonts w:hint="default"/>
                      <w:color w:val="auto"/>
                      <w:highlight w:val="none"/>
                    </w:rPr>
                  </w:pPr>
                  <w:r>
                    <w:rPr>
                      <w:rFonts w:eastAsia="宋体"/>
                      <w:b/>
                      <w:color w:val="auto"/>
                      <w:sz w:val="21"/>
                      <w:highlight w:val="none"/>
                    </w:rPr>
                    <w:t>叠加后全厂厂界噪声值</w:t>
                  </w:r>
                </w:p>
              </w:tc>
              <w:tc>
                <w:tcPr>
                  <w:tcW w:w="855" w:type="pct"/>
                  <w:gridSpan w:val="2"/>
                  <w:tcBorders>
                    <w:tl2br w:val="nil"/>
                    <w:tr2bl w:val="nil"/>
                  </w:tcBorders>
                  <w:vAlign w:val="center"/>
                </w:tcPr>
                <w:p w14:paraId="2E70014D">
                  <w:pPr>
                    <w:pStyle w:val="27"/>
                    <w:spacing w:line="240" w:lineRule="auto"/>
                    <w:rPr>
                      <w:rFonts w:hint="default"/>
                      <w:color w:val="auto"/>
                      <w:highlight w:val="none"/>
                    </w:rPr>
                  </w:pPr>
                  <w:r>
                    <w:rPr>
                      <w:rFonts w:eastAsia="宋体"/>
                      <w:b/>
                      <w:color w:val="auto"/>
                      <w:sz w:val="21"/>
                      <w:highlight w:val="none"/>
                    </w:rPr>
                    <w:t>标准值</w:t>
                  </w:r>
                </w:p>
              </w:tc>
              <w:tc>
                <w:tcPr>
                  <w:tcW w:w="952" w:type="pct"/>
                  <w:gridSpan w:val="2"/>
                  <w:tcBorders>
                    <w:tl2br w:val="nil"/>
                    <w:tr2bl w:val="nil"/>
                  </w:tcBorders>
                  <w:vAlign w:val="center"/>
                </w:tcPr>
                <w:p w14:paraId="19EEA983">
                  <w:pPr>
                    <w:pStyle w:val="27"/>
                    <w:spacing w:line="240" w:lineRule="auto"/>
                    <w:rPr>
                      <w:rFonts w:hint="default"/>
                      <w:color w:val="auto"/>
                      <w:highlight w:val="none"/>
                    </w:rPr>
                  </w:pPr>
                  <w:r>
                    <w:rPr>
                      <w:rFonts w:eastAsia="宋体"/>
                      <w:b/>
                      <w:color w:val="auto"/>
                      <w:sz w:val="21"/>
                      <w:highlight w:val="none"/>
                    </w:rPr>
                    <w:t>达标情况</w:t>
                  </w:r>
                </w:p>
              </w:tc>
            </w:tr>
            <w:tr w14:paraId="310652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5" w:type="pct"/>
                  <w:vMerge w:val="continue"/>
                  <w:tcBorders>
                    <w:tl2br w:val="nil"/>
                    <w:tr2bl w:val="nil"/>
                  </w:tcBorders>
                  <w:vAlign w:val="center"/>
                </w:tcPr>
                <w:p w14:paraId="6A48DC30">
                  <w:pPr>
                    <w:pStyle w:val="27"/>
                    <w:spacing w:line="240" w:lineRule="auto"/>
                    <w:rPr>
                      <w:rFonts w:hint="default"/>
                      <w:color w:val="auto"/>
                      <w:highlight w:val="none"/>
                    </w:rPr>
                  </w:pPr>
                </w:p>
              </w:tc>
              <w:tc>
                <w:tcPr>
                  <w:tcW w:w="493" w:type="pct"/>
                  <w:tcBorders>
                    <w:tl2br w:val="nil"/>
                    <w:tr2bl w:val="nil"/>
                  </w:tcBorders>
                  <w:vAlign w:val="center"/>
                </w:tcPr>
                <w:p w14:paraId="083410C2">
                  <w:pPr>
                    <w:pStyle w:val="27"/>
                    <w:spacing w:line="240" w:lineRule="auto"/>
                    <w:rPr>
                      <w:rFonts w:hint="default"/>
                      <w:color w:val="auto"/>
                      <w:highlight w:val="none"/>
                    </w:rPr>
                  </w:pPr>
                  <w:r>
                    <w:rPr>
                      <w:rFonts w:eastAsia="宋体"/>
                      <w:b/>
                      <w:color w:val="auto"/>
                      <w:sz w:val="21"/>
                      <w:highlight w:val="none"/>
                    </w:rPr>
                    <w:t>昼间</w:t>
                  </w:r>
                </w:p>
              </w:tc>
              <w:tc>
                <w:tcPr>
                  <w:tcW w:w="494" w:type="pct"/>
                  <w:tcBorders>
                    <w:tl2br w:val="nil"/>
                    <w:tr2bl w:val="nil"/>
                  </w:tcBorders>
                  <w:vAlign w:val="center"/>
                </w:tcPr>
                <w:p w14:paraId="5073847E">
                  <w:pPr>
                    <w:pStyle w:val="27"/>
                    <w:spacing w:line="240" w:lineRule="auto"/>
                    <w:rPr>
                      <w:rFonts w:hint="default"/>
                      <w:color w:val="auto"/>
                      <w:highlight w:val="none"/>
                    </w:rPr>
                  </w:pPr>
                  <w:r>
                    <w:rPr>
                      <w:rFonts w:eastAsia="宋体"/>
                      <w:b/>
                      <w:color w:val="auto"/>
                      <w:sz w:val="21"/>
                      <w:highlight w:val="none"/>
                    </w:rPr>
                    <w:t>夜间</w:t>
                  </w:r>
                </w:p>
              </w:tc>
              <w:tc>
                <w:tcPr>
                  <w:tcW w:w="493" w:type="pct"/>
                  <w:vMerge w:val="continue"/>
                  <w:tcBorders>
                    <w:tl2br w:val="nil"/>
                    <w:tr2bl w:val="nil"/>
                  </w:tcBorders>
                  <w:vAlign w:val="center"/>
                </w:tcPr>
                <w:p w14:paraId="7AAEC171">
                  <w:pPr>
                    <w:pStyle w:val="27"/>
                    <w:spacing w:line="240" w:lineRule="auto"/>
                    <w:rPr>
                      <w:rFonts w:hint="default"/>
                      <w:color w:val="auto"/>
                      <w:highlight w:val="none"/>
                    </w:rPr>
                  </w:pPr>
                </w:p>
              </w:tc>
              <w:tc>
                <w:tcPr>
                  <w:tcW w:w="548" w:type="pct"/>
                  <w:tcBorders>
                    <w:tl2br w:val="nil"/>
                    <w:tr2bl w:val="nil"/>
                  </w:tcBorders>
                  <w:vAlign w:val="center"/>
                </w:tcPr>
                <w:p w14:paraId="3D3CCA1F">
                  <w:pPr>
                    <w:pStyle w:val="27"/>
                    <w:spacing w:line="240" w:lineRule="auto"/>
                    <w:rPr>
                      <w:rFonts w:hint="default"/>
                      <w:color w:val="auto"/>
                      <w:highlight w:val="none"/>
                    </w:rPr>
                  </w:pPr>
                  <w:r>
                    <w:rPr>
                      <w:rFonts w:eastAsia="宋体"/>
                      <w:b/>
                      <w:color w:val="auto"/>
                      <w:sz w:val="21"/>
                      <w:highlight w:val="none"/>
                    </w:rPr>
                    <w:t>昼间</w:t>
                  </w:r>
                </w:p>
              </w:tc>
              <w:tc>
                <w:tcPr>
                  <w:tcW w:w="538" w:type="pct"/>
                  <w:tcBorders>
                    <w:tl2br w:val="nil"/>
                    <w:tr2bl w:val="nil"/>
                  </w:tcBorders>
                  <w:vAlign w:val="center"/>
                </w:tcPr>
                <w:p w14:paraId="6022E1EC">
                  <w:pPr>
                    <w:pStyle w:val="27"/>
                    <w:spacing w:line="240" w:lineRule="auto"/>
                    <w:rPr>
                      <w:rFonts w:hint="default"/>
                      <w:color w:val="auto"/>
                      <w:highlight w:val="none"/>
                    </w:rPr>
                  </w:pPr>
                  <w:r>
                    <w:rPr>
                      <w:rFonts w:eastAsia="宋体"/>
                      <w:b/>
                      <w:color w:val="auto"/>
                      <w:sz w:val="21"/>
                      <w:highlight w:val="none"/>
                    </w:rPr>
                    <w:t>夜间</w:t>
                  </w:r>
                </w:p>
              </w:tc>
              <w:tc>
                <w:tcPr>
                  <w:tcW w:w="442" w:type="pct"/>
                  <w:tcBorders>
                    <w:tl2br w:val="nil"/>
                    <w:tr2bl w:val="nil"/>
                  </w:tcBorders>
                  <w:vAlign w:val="center"/>
                </w:tcPr>
                <w:p w14:paraId="354212B2">
                  <w:pPr>
                    <w:pStyle w:val="27"/>
                    <w:spacing w:line="240" w:lineRule="auto"/>
                    <w:rPr>
                      <w:rFonts w:hint="default"/>
                      <w:color w:val="auto"/>
                      <w:highlight w:val="none"/>
                    </w:rPr>
                  </w:pPr>
                  <w:r>
                    <w:rPr>
                      <w:rFonts w:hint="default" w:eastAsia="宋体"/>
                      <w:b/>
                      <w:color w:val="auto"/>
                      <w:sz w:val="21"/>
                      <w:highlight w:val="none"/>
                    </w:rPr>
                    <w:t>昼间</w:t>
                  </w:r>
                </w:p>
              </w:tc>
              <w:tc>
                <w:tcPr>
                  <w:tcW w:w="413" w:type="pct"/>
                  <w:tcBorders>
                    <w:tl2br w:val="nil"/>
                    <w:tr2bl w:val="nil"/>
                  </w:tcBorders>
                  <w:vAlign w:val="center"/>
                </w:tcPr>
                <w:p w14:paraId="42D40916">
                  <w:pPr>
                    <w:pStyle w:val="27"/>
                    <w:spacing w:line="240" w:lineRule="auto"/>
                    <w:rPr>
                      <w:rFonts w:hint="default"/>
                      <w:color w:val="auto"/>
                      <w:highlight w:val="none"/>
                    </w:rPr>
                  </w:pPr>
                  <w:r>
                    <w:rPr>
                      <w:rFonts w:eastAsia="宋体"/>
                      <w:b/>
                      <w:color w:val="auto"/>
                      <w:sz w:val="21"/>
                      <w:highlight w:val="none"/>
                    </w:rPr>
                    <w:t>夜间</w:t>
                  </w:r>
                </w:p>
              </w:tc>
              <w:tc>
                <w:tcPr>
                  <w:tcW w:w="474" w:type="pct"/>
                  <w:tcBorders>
                    <w:tl2br w:val="nil"/>
                    <w:tr2bl w:val="nil"/>
                  </w:tcBorders>
                  <w:vAlign w:val="center"/>
                </w:tcPr>
                <w:p w14:paraId="5B6D6356">
                  <w:pPr>
                    <w:pStyle w:val="27"/>
                    <w:spacing w:line="240" w:lineRule="auto"/>
                    <w:rPr>
                      <w:rFonts w:hint="default"/>
                      <w:color w:val="auto"/>
                      <w:highlight w:val="none"/>
                    </w:rPr>
                  </w:pPr>
                  <w:r>
                    <w:rPr>
                      <w:rFonts w:hint="default" w:eastAsia="宋体"/>
                      <w:b/>
                      <w:color w:val="auto"/>
                      <w:sz w:val="21"/>
                      <w:highlight w:val="none"/>
                    </w:rPr>
                    <w:t>昼间</w:t>
                  </w:r>
                </w:p>
              </w:tc>
              <w:tc>
                <w:tcPr>
                  <w:tcW w:w="478" w:type="pct"/>
                  <w:tcBorders>
                    <w:tl2br w:val="nil"/>
                    <w:tr2bl w:val="nil"/>
                  </w:tcBorders>
                  <w:vAlign w:val="center"/>
                </w:tcPr>
                <w:p w14:paraId="0E88CBFD">
                  <w:pPr>
                    <w:pStyle w:val="27"/>
                    <w:spacing w:line="240" w:lineRule="auto"/>
                    <w:rPr>
                      <w:rFonts w:hint="default"/>
                      <w:color w:val="auto"/>
                      <w:highlight w:val="none"/>
                    </w:rPr>
                  </w:pPr>
                  <w:r>
                    <w:rPr>
                      <w:rFonts w:eastAsia="宋体"/>
                      <w:b/>
                      <w:color w:val="auto"/>
                      <w:sz w:val="21"/>
                      <w:highlight w:val="none"/>
                    </w:rPr>
                    <w:t>夜间</w:t>
                  </w:r>
                </w:p>
              </w:tc>
            </w:tr>
            <w:tr w14:paraId="51F752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5" w:type="pct"/>
                  <w:tcBorders>
                    <w:tl2br w:val="nil"/>
                    <w:tr2bl w:val="nil"/>
                  </w:tcBorders>
                  <w:vAlign w:val="center"/>
                </w:tcPr>
                <w:p w14:paraId="5A8665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color w:val="auto"/>
                      <w:highlight w:val="none"/>
                    </w:rPr>
                  </w:pPr>
                  <w:r>
                    <w:rPr>
                      <w:rFonts w:hint="default" w:ascii="Times New Roman" w:hAnsi="Times New Roman" w:eastAsia="宋体" w:cs="Times New Roman"/>
                      <w:color w:val="auto"/>
                      <w:sz w:val="21"/>
                      <w:szCs w:val="21"/>
                      <w:highlight w:val="none"/>
                      <w:lang w:val="en-US" w:eastAsia="zh-CN"/>
                    </w:rPr>
                    <w:t>厂界东侧</w:t>
                  </w:r>
                </w:p>
              </w:tc>
              <w:tc>
                <w:tcPr>
                  <w:tcW w:w="493" w:type="pct"/>
                  <w:tcBorders>
                    <w:tl2br w:val="nil"/>
                    <w:tr2bl w:val="nil"/>
                  </w:tcBorders>
                  <w:vAlign w:val="center"/>
                </w:tcPr>
                <w:p w14:paraId="70F018B1">
                  <w:pPr>
                    <w:pStyle w:val="10"/>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rFonts w:hint="eastAsia" w:ascii="Times New Roman" w:hAnsi="Times New Roman" w:eastAsia="宋体" w:cs="Times New Roman"/>
                      <w:color w:val="auto"/>
                      <w:sz w:val="21"/>
                      <w:szCs w:val="21"/>
                      <w:highlight w:val="none"/>
                      <w:lang w:val="en-US" w:eastAsia="zh-CN"/>
                    </w:rPr>
                    <w:t>53</w:t>
                  </w:r>
                </w:p>
              </w:tc>
              <w:tc>
                <w:tcPr>
                  <w:tcW w:w="494" w:type="pct"/>
                  <w:tcBorders>
                    <w:tl2br w:val="nil"/>
                    <w:tr2bl w:val="nil"/>
                  </w:tcBorders>
                  <w:vAlign w:val="center"/>
                </w:tcPr>
                <w:p w14:paraId="45F0258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rFonts w:hint="eastAsia" w:ascii="Times New Roman" w:hAnsi="Times New Roman" w:eastAsia="宋体" w:cs="Times New Roman"/>
                      <w:color w:val="auto"/>
                      <w:sz w:val="21"/>
                      <w:szCs w:val="21"/>
                      <w:highlight w:val="none"/>
                      <w:lang w:val="en-US" w:eastAsia="zh-CN"/>
                    </w:rPr>
                    <w:t>45</w:t>
                  </w:r>
                </w:p>
              </w:tc>
              <w:tc>
                <w:tcPr>
                  <w:tcW w:w="493" w:type="pct"/>
                  <w:tcBorders>
                    <w:tl2br w:val="nil"/>
                    <w:tr2bl w:val="nil"/>
                  </w:tcBorders>
                  <w:vAlign w:val="center"/>
                </w:tcPr>
                <w:p w14:paraId="28DD77C1">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1</w:t>
                  </w:r>
                </w:p>
              </w:tc>
              <w:tc>
                <w:tcPr>
                  <w:tcW w:w="1452" w:type="dxa"/>
                  <w:tcBorders>
                    <w:tl2br w:val="nil"/>
                    <w:tr2bl w:val="nil"/>
                  </w:tcBorders>
                  <w:vAlign w:val="center"/>
                </w:tcPr>
                <w:p w14:paraId="074EBC62">
                  <w:pPr>
                    <w:pStyle w:val="10"/>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53</w:t>
                  </w:r>
                </w:p>
              </w:tc>
              <w:tc>
                <w:tcPr>
                  <w:tcW w:w="1425" w:type="dxa"/>
                  <w:tcBorders>
                    <w:tl2br w:val="nil"/>
                    <w:tr2bl w:val="nil"/>
                  </w:tcBorders>
                  <w:vAlign w:val="center"/>
                </w:tcPr>
                <w:p w14:paraId="729DB78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w:t>
                  </w:r>
                </w:p>
              </w:tc>
              <w:tc>
                <w:tcPr>
                  <w:tcW w:w="442" w:type="pct"/>
                  <w:vMerge w:val="restart"/>
                  <w:tcBorders>
                    <w:tl2br w:val="nil"/>
                    <w:tr2bl w:val="nil"/>
                  </w:tcBorders>
                  <w:vAlign w:val="center"/>
                </w:tcPr>
                <w:p w14:paraId="27973553">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60</w:t>
                  </w:r>
                </w:p>
              </w:tc>
              <w:tc>
                <w:tcPr>
                  <w:tcW w:w="413" w:type="pct"/>
                  <w:vMerge w:val="restart"/>
                  <w:tcBorders>
                    <w:tl2br w:val="nil"/>
                    <w:tr2bl w:val="nil"/>
                  </w:tcBorders>
                  <w:vAlign w:val="center"/>
                </w:tcPr>
                <w:p w14:paraId="6EE5854B">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50</w:t>
                  </w:r>
                </w:p>
              </w:tc>
              <w:tc>
                <w:tcPr>
                  <w:tcW w:w="474" w:type="pct"/>
                  <w:tcBorders>
                    <w:tl2br w:val="nil"/>
                    <w:tr2bl w:val="nil"/>
                  </w:tcBorders>
                  <w:vAlign w:val="center"/>
                </w:tcPr>
                <w:p w14:paraId="76378DC5">
                  <w:pPr>
                    <w:pStyle w:val="24"/>
                    <w:spacing w:line="240" w:lineRule="auto"/>
                    <w:rPr>
                      <w:color w:val="auto"/>
                      <w:highlight w:val="none"/>
                    </w:rPr>
                  </w:pPr>
                  <w:r>
                    <w:rPr>
                      <w:rFonts w:hint="eastAsia"/>
                      <w:color w:val="auto"/>
                      <w:highlight w:val="none"/>
                    </w:rPr>
                    <w:t>达标</w:t>
                  </w:r>
                </w:p>
              </w:tc>
              <w:tc>
                <w:tcPr>
                  <w:tcW w:w="478" w:type="pct"/>
                  <w:tcBorders>
                    <w:tl2br w:val="nil"/>
                    <w:tr2bl w:val="nil"/>
                  </w:tcBorders>
                  <w:vAlign w:val="center"/>
                </w:tcPr>
                <w:p w14:paraId="4C46C4C3">
                  <w:pPr>
                    <w:pStyle w:val="24"/>
                    <w:spacing w:line="240" w:lineRule="auto"/>
                    <w:rPr>
                      <w:color w:val="auto"/>
                      <w:highlight w:val="none"/>
                    </w:rPr>
                  </w:pPr>
                  <w:r>
                    <w:rPr>
                      <w:rFonts w:hint="eastAsia"/>
                      <w:color w:val="auto"/>
                      <w:highlight w:val="none"/>
                    </w:rPr>
                    <w:t>达标</w:t>
                  </w:r>
                </w:p>
              </w:tc>
            </w:tr>
            <w:tr w14:paraId="1E947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5" w:type="pct"/>
                  <w:tcBorders>
                    <w:tl2br w:val="nil"/>
                    <w:tr2bl w:val="nil"/>
                  </w:tcBorders>
                  <w:vAlign w:val="center"/>
                </w:tcPr>
                <w:p w14:paraId="1836BD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color w:val="auto"/>
                      <w:highlight w:val="none"/>
                    </w:rPr>
                  </w:pPr>
                  <w:r>
                    <w:rPr>
                      <w:rFonts w:hint="default" w:ascii="Times New Roman" w:hAnsi="Times New Roman" w:eastAsia="宋体" w:cs="Times New Roman"/>
                      <w:color w:val="auto"/>
                      <w:sz w:val="21"/>
                      <w:szCs w:val="21"/>
                      <w:highlight w:val="none"/>
                      <w:lang w:val="en-US" w:eastAsia="zh-CN"/>
                    </w:rPr>
                    <w:t>厂界南侧</w:t>
                  </w:r>
                </w:p>
              </w:tc>
              <w:tc>
                <w:tcPr>
                  <w:tcW w:w="493" w:type="pct"/>
                  <w:tcBorders>
                    <w:tl2br w:val="nil"/>
                    <w:tr2bl w:val="nil"/>
                  </w:tcBorders>
                  <w:vAlign w:val="center"/>
                </w:tcPr>
                <w:p w14:paraId="0717579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rFonts w:hint="eastAsia" w:ascii="Times New Roman" w:hAnsi="Times New Roman" w:eastAsia="宋体" w:cs="Times New Roman"/>
                      <w:color w:val="auto"/>
                      <w:sz w:val="21"/>
                      <w:szCs w:val="21"/>
                      <w:highlight w:val="none"/>
                      <w:lang w:val="en-US" w:eastAsia="zh-CN"/>
                    </w:rPr>
                    <w:t>45</w:t>
                  </w:r>
                </w:p>
              </w:tc>
              <w:tc>
                <w:tcPr>
                  <w:tcW w:w="494" w:type="pct"/>
                  <w:tcBorders>
                    <w:tl2br w:val="nil"/>
                    <w:tr2bl w:val="nil"/>
                  </w:tcBorders>
                  <w:vAlign w:val="center"/>
                </w:tcPr>
                <w:p w14:paraId="2586EE4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rFonts w:hint="eastAsia" w:ascii="Times New Roman" w:hAnsi="Times New Roman" w:eastAsia="宋体" w:cs="Times New Roman"/>
                      <w:color w:val="auto"/>
                      <w:kern w:val="2"/>
                      <w:sz w:val="21"/>
                      <w:szCs w:val="21"/>
                      <w:highlight w:val="none"/>
                      <w:lang w:val="en-US" w:eastAsia="zh-CN" w:bidi="ar-SA"/>
                    </w:rPr>
                    <w:t>44</w:t>
                  </w:r>
                </w:p>
              </w:tc>
              <w:tc>
                <w:tcPr>
                  <w:tcW w:w="493" w:type="pct"/>
                  <w:tcBorders>
                    <w:tl2br w:val="nil"/>
                    <w:tr2bl w:val="nil"/>
                  </w:tcBorders>
                  <w:vAlign w:val="center"/>
                </w:tcPr>
                <w:p w14:paraId="446EFD45">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6</w:t>
                  </w:r>
                </w:p>
              </w:tc>
              <w:tc>
                <w:tcPr>
                  <w:tcW w:w="548" w:type="pct"/>
                  <w:tcBorders>
                    <w:tl2br w:val="nil"/>
                    <w:tr2bl w:val="nil"/>
                  </w:tcBorders>
                  <w:vAlign w:val="center"/>
                </w:tcPr>
                <w:p w14:paraId="5017689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45</w:t>
                  </w:r>
                </w:p>
              </w:tc>
              <w:tc>
                <w:tcPr>
                  <w:tcW w:w="538" w:type="pct"/>
                  <w:tcBorders>
                    <w:tl2br w:val="nil"/>
                    <w:tr2bl w:val="nil"/>
                  </w:tcBorders>
                  <w:vAlign w:val="center"/>
                </w:tcPr>
                <w:p w14:paraId="2D13732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44</w:t>
                  </w:r>
                </w:p>
              </w:tc>
              <w:tc>
                <w:tcPr>
                  <w:tcW w:w="442" w:type="pct"/>
                  <w:vMerge w:val="continue"/>
                  <w:tcBorders>
                    <w:tl2br w:val="nil"/>
                    <w:tr2bl w:val="nil"/>
                  </w:tcBorders>
                  <w:vAlign w:val="center"/>
                </w:tcPr>
                <w:p w14:paraId="5E351E91">
                  <w:pPr>
                    <w:pStyle w:val="24"/>
                    <w:spacing w:line="240" w:lineRule="auto"/>
                    <w:rPr>
                      <w:color w:val="auto"/>
                      <w:highlight w:val="none"/>
                    </w:rPr>
                  </w:pPr>
                </w:p>
              </w:tc>
              <w:tc>
                <w:tcPr>
                  <w:tcW w:w="413" w:type="pct"/>
                  <w:vMerge w:val="continue"/>
                  <w:tcBorders>
                    <w:tl2br w:val="nil"/>
                    <w:tr2bl w:val="nil"/>
                  </w:tcBorders>
                  <w:vAlign w:val="center"/>
                </w:tcPr>
                <w:p w14:paraId="36E28F7F">
                  <w:pPr>
                    <w:pStyle w:val="24"/>
                    <w:spacing w:line="240" w:lineRule="auto"/>
                    <w:rPr>
                      <w:rFonts w:hint="default"/>
                      <w:color w:val="auto"/>
                      <w:highlight w:val="none"/>
                      <w:lang w:val="en-US"/>
                    </w:rPr>
                  </w:pPr>
                </w:p>
              </w:tc>
              <w:tc>
                <w:tcPr>
                  <w:tcW w:w="474" w:type="pct"/>
                  <w:tcBorders>
                    <w:tl2br w:val="nil"/>
                    <w:tr2bl w:val="nil"/>
                  </w:tcBorders>
                  <w:vAlign w:val="center"/>
                </w:tcPr>
                <w:p w14:paraId="2CA7C76A">
                  <w:pPr>
                    <w:pStyle w:val="24"/>
                    <w:spacing w:line="240" w:lineRule="auto"/>
                    <w:rPr>
                      <w:color w:val="auto"/>
                      <w:highlight w:val="none"/>
                    </w:rPr>
                  </w:pPr>
                  <w:r>
                    <w:rPr>
                      <w:rFonts w:hint="eastAsia"/>
                      <w:color w:val="auto"/>
                      <w:highlight w:val="none"/>
                    </w:rPr>
                    <w:t>达标</w:t>
                  </w:r>
                </w:p>
              </w:tc>
              <w:tc>
                <w:tcPr>
                  <w:tcW w:w="478" w:type="pct"/>
                  <w:tcBorders>
                    <w:tl2br w:val="nil"/>
                    <w:tr2bl w:val="nil"/>
                  </w:tcBorders>
                  <w:vAlign w:val="center"/>
                </w:tcPr>
                <w:p w14:paraId="3B9A03E7">
                  <w:pPr>
                    <w:pStyle w:val="24"/>
                    <w:spacing w:line="240" w:lineRule="auto"/>
                    <w:rPr>
                      <w:color w:val="auto"/>
                      <w:highlight w:val="none"/>
                    </w:rPr>
                  </w:pPr>
                  <w:r>
                    <w:rPr>
                      <w:rFonts w:hint="eastAsia"/>
                      <w:color w:val="auto"/>
                      <w:highlight w:val="none"/>
                    </w:rPr>
                    <w:t>达标</w:t>
                  </w:r>
                </w:p>
              </w:tc>
            </w:tr>
            <w:tr w14:paraId="48C13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5" w:type="pct"/>
                  <w:tcBorders>
                    <w:tl2br w:val="nil"/>
                    <w:tr2bl w:val="nil"/>
                  </w:tcBorders>
                  <w:vAlign w:val="center"/>
                </w:tcPr>
                <w:p w14:paraId="1393EE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color w:val="auto"/>
                      <w:highlight w:val="none"/>
                    </w:rPr>
                  </w:pPr>
                  <w:r>
                    <w:rPr>
                      <w:rFonts w:hint="default" w:ascii="Times New Roman" w:hAnsi="Times New Roman" w:eastAsia="宋体" w:cs="Times New Roman"/>
                      <w:color w:val="auto"/>
                      <w:sz w:val="21"/>
                      <w:szCs w:val="21"/>
                      <w:highlight w:val="none"/>
                      <w:lang w:val="en-US" w:eastAsia="zh-CN"/>
                    </w:rPr>
                    <w:t>厂界西侧</w:t>
                  </w:r>
                </w:p>
              </w:tc>
              <w:tc>
                <w:tcPr>
                  <w:tcW w:w="493" w:type="pct"/>
                  <w:tcBorders>
                    <w:tl2br w:val="nil"/>
                    <w:tr2bl w:val="nil"/>
                  </w:tcBorders>
                  <w:vAlign w:val="center"/>
                </w:tcPr>
                <w:p w14:paraId="187162D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rFonts w:hint="eastAsia" w:ascii="Times New Roman" w:hAnsi="Times New Roman" w:eastAsia="宋体" w:cs="Times New Roman"/>
                      <w:color w:val="auto"/>
                      <w:sz w:val="21"/>
                      <w:szCs w:val="21"/>
                      <w:highlight w:val="none"/>
                      <w:lang w:val="en-US" w:eastAsia="zh-CN"/>
                    </w:rPr>
                    <w:t>58</w:t>
                  </w:r>
                </w:p>
              </w:tc>
              <w:tc>
                <w:tcPr>
                  <w:tcW w:w="494" w:type="pct"/>
                  <w:tcBorders>
                    <w:tl2br w:val="nil"/>
                    <w:tr2bl w:val="nil"/>
                  </w:tcBorders>
                  <w:vAlign w:val="center"/>
                </w:tcPr>
                <w:p w14:paraId="3DFC570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rFonts w:hint="eastAsia" w:ascii="Times New Roman" w:hAnsi="Times New Roman" w:eastAsia="宋体" w:cs="Times New Roman"/>
                      <w:color w:val="auto"/>
                      <w:sz w:val="21"/>
                      <w:szCs w:val="21"/>
                      <w:highlight w:val="none"/>
                      <w:lang w:val="en-US" w:eastAsia="zh-CN"/>
                    </w:rPr>
                    <w:t>48</w:t>
                  </w:r>
                </w:p>
              </w:tc>
              <w:tc>
                <w:tcPr>
                  <w:tcW w:w="493" w:type="pct"/>
                  <w:tcBorders>
                    <w:tl2br w:val="nil"/>
                    <w:tr2bl w:val="nil"/>
                  </w:tcBorders>
                  <w:vAlign w:val="center"/>
                </w:tcPr>
                <w:p w14:paraId="2C9D6BF4">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1</w:t>
                  </w:r>
                </w:p>
              </w:tc>
              <w:tc>
                <w:tcPr>
                  <w:tcW w:w="1452" w:type="dxa"/>
                  <w:tcBorders>
                    <w:tl2br w:val="nil"/>
                    <w:tr2bl w:val="nil"/>
                  </w:tcBorders>
                  <w:vAlign w:val="center"/>
                </w:tcPr>
                <w:p w14:paraId="08C37C1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eastAsiaTheme="minorEastAsia"/>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58</w:t>
                  </w:r>
                </w:p>
              </w:tc>
              <w:tc>
                <w:tcPr>
                  <w:tcW w:w="1425" w:type="dxa"/>
                  <w:tcBorders>
                    <w:tl2br w:val="nil"/>
                    <w:tr2bl w:val="nil"/>
                  </w:tcBorders>
                  <w:vAlign w:val="center"/>
                </w:tcPr>
                <w:p w14:paraId="040A353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eastAsiaTheme="minorEastAsia"/>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w:t>
                  </w:r>
                </w:p>
              </w:tc>
              <w:tc>
                <w:tcPr>
                  <w:tcW w:w="442" w:type="pct"/>
                  <w:vMerge w:val="continue"/>
                  <w:tcBorders>
                    <w:tl2br w:val="nil"/>
                    <w:tr2bl w:val="nil"/>
                  </w:tcBorders>
                  <w:vAlign w:val="center"/>
                </w:tcPr>
                <w:p w14:paraId="7C457208">
                  <w:pPr>
                    <w:pStyle w:val="24"/>
                    <w:spacing w:line="240" w:lineRule="auto"/>
                    <w:rPr>
                      <w:color w:val="auto"/>
                      <w:highlight w:val="none"/>
                    </w:rPr>
                  </w:pPr>
                </w:p>
              </w:tc>
              <w:tc>
                <w:tcPr>
                  <w:tcW w:w="413" w:type="pct"/>
                  <w:vMerge w:val="continue"/>
                  <w:tcBorders>
                    <w:tl2br w:val="nil"/>
                    <w:tr2bl w:val="nil"/>
                  </w:tcBorders>
                  <w:vAlign w:val="center"/>
                </w:tcPr>
                <w:p w14:paraId="17571E92">
                  <w:pPr>
                    <w:pStyle w:val="24"/>
                    <w:spacing w:line="240" w:lineRule="auto"/>
                    <w:rPr>
                      <w:color w:val="auto"/>
                      <w:highlight w:val="none"/>
                    </w:rPr>
                  </w:pPr>
                </w:p>
              </w:tc>
              <w:tc>
                <w:tcPr>
                  <w:tcW w:w="474" w:type="pct"/>
                  <w:tcBorders>
                    <w:tl2br w:val="nil"/>
                    <w:tr2bl w:val="nil"/>
                  </w:tcBorders>
                  <w:vAlign w:val="center"/>
                </w:tcPr>
                <w:p w14:paraId="50913141">
                  <w:pPr>
                    <w:pStyle w:val="24"/>
                    <w:spacing w:line="240" w:lineRule="auto"/>
                    <w:ind w:firstLine="0" w:firstLineChars="0"/>
                    <w:rPr>
                      <w:rFonts w:hint="eastAsia"/>
                      <w:color w:val="auto"/>
                      <w:highlight w:val="none"/>
                    </w:rPr>
                  </w:pPr>
                  <w:r>
                    <w:rPr>
                      <w:rFonts w:hint="eastAsia"/>
                      <w:color w:val="auto"/>
                      <w:highlight w:val="none"/>
                    </w:rPr>
                    <w:t>达标</w:t>
                  </w:r>
                </w:p>
              </w:tc>
              <w:tc>
                <w:tcPr>
                  <w:tcW w:w="478" w:type="pct"/>
                  <w:tcBorders>
                    <w:tl2br w:val="nil"/>
                    <w:tr2bl w:val="nil"/>
                  </w:tcBorders>
                  <w:vAlign w:val="center"/>
                </w:tcPr>
                <w:p w14:paraId="7E3FCAF6">
                  <w:pPr>
                    <w:pStyle w:val="24"/>
                    <w:spacing w:line="240" w:lineRule="auto"/>
                    <w:ind w:firstLine="0" w:firstLineChars="0"/>
                    <w:rPr>
                      <w:rFonts w:hint="eastAsia"/>
                      <w:color w:val="auto"/>
                      <w:highlight w:val="none"/>
                    </w:rPr>
                  </w:pPr>
                  <w:r>
                    <w:rPr>
                      <w:rFonts w:hint="eastAsia"/>
                      <w:color w:val="auto"/>
                      <w:highlight w:val="none"/>
                    </w:rPr>
                    <w:t>达标</w:t>
                  </w:r>
                </w:p>
              </w:tc>
            </w:tr>
            <w:tr w14:paraId="1E6DB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5" w:type="pct"/>
                  <w:tcBorders>
                    <w:tl2br w:val="nil"/>
                    <w:tr2bl w:val="nil"/>
                  </w:tcBorders>
                  <w:vAlign w:val="center"/>
                </w:tcPr>
                <w:p w14:paraId="2C935C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color w:val="auto"/>
                      <w:highlight w:val="none"/>
                    </w:rPr>
                  </w:pPr>
                  <w:r>
                    <w:rPr>
                      <w:rFonts w:hint="default" w:ascii="Times New Roman" w:hAnsi="Times New Roman" w:eastAsia="宋体" w:cs="Times New Roman"/>
                      <w:color w:val="auto"/>
                      <w:sz w:val="21"/>
                      <w:szCs w:val="21"/>
                      <w:highlight w:val="none"/>
                      <w:lang w:val="en-US" w:eastAsia="zh-CN"/>
                    </w:rPr>
                    <w:t>厂界北侧</w:t>
                  </w:r>
                </w:p>
              </w:tc>
              <w:tc>
                <w:tcPr>
                  <w:tcW w:w="493" w:type="pct"/>
                  <w:tcBorders>
                    <w:tl2br w:val="nil"/>
                    <w:tr2bl w:val="nil"/>
                  </w:tcBorders>
                  <w:vAlign w:val="center"/>
                </w:tcPr>
                <w:p w14:paraId="54E0287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rFonts w:hint="eastAsia" w:ascii="Times New Roman" w:hAnsi="Times New Roman" w:eastAsia="宋体" w:cs="Times New Roman"/>
                      <w:color w:val="auto"/>
                      <w:sz w:val="21"/>
                      <w:szCs w:val="21"/>
                      <w:highlight w:val="none"/>
                      <w:lang w:val="en-US" w:eastAsia="zh-CN"/>
                    </w:rPr>
                    <w:t>53</w:t>
                  </w:r>
                </w:p>
              </w:tc>
              <w:tc>
                <w:tcPr>
                  <w:tcW w:w="494" w:type="pct"/>
                  <w:tcBorders>
                    <w:tl2br w:val="nil"/>
                    <w:tr2bl w:val="nil"/>
                  </w:tcBorders>
                  <w:vAlign w:val="center"/>
                </w:tcPr>
                <w:p w14:paraId="431CBB0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color w:val="auto"/>
                      <w:highlight w:val="none"/>
                    </w:rPr>
                  </w:pPr>
                  <w:r>
                    <w:rPr>
                      <w:rFonts w:hint="eastAsia" w:ascii="Times New Roman" w:hAnsi="Times New Roman" w:eastAsia="宋体" w:cs="Times New Roman"/>
                      <w:color w:val="auto"/>
                      <w:sz w:val="21"/>
                      <w:szCs w:val="21"/>
                      <w:highlight w:val="none"/>
                      <w:lang w:val="en-US" w:eastAsia="zh-CN"/>
                    </w:rPr>
                    <w:t>46</w:t>
                  </w:r>
                </w:p>
              </w:tc>
              <w:tc>
                <w:tcPr>
                  <w:tcW w:w="493" w:type="pct"/>
                  <w:tcBorders>
                    <w:tl2br w:val="nil"/>
                    <w:tr2bl w:val="nil"/>
                  </w:tcBorders>
                  <w:vAlign w:val="center"/>
                </w:tcPr>
                <w:p w14:paraId="7169072E">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1</w:t>
                  </w:r>
                </w:p>
              </w:tc>
              <w:tc>
                <w:tcPr>
                  <w:tcW w:w="1452" w:type="dxa"/>
                  <w:tcBorders>
                    <w:tl2br w:val="nil"/>
                    <w:tr2bl w:val="nil"/>
                  </w:tcBorders>
                  <w:vAlign w:val="center"/>
                </w:tcPr>
                <w:p w14:paraId="1D0E682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53</w:t>
                  </w:r>
                </w:p>
              </w:tc>
              <w:tc>
                <w:tcPr>
                  <w:tcW w:w="1425" w:type="dxa"/>
                  <w:tcBorders>
                    <w:tl2br w:val="nil"/>
                    <w:tr2bl w:val="nil"/>
                  </w:tcBorders>
                  <w:vAlign w:val="center"/>
                </w:tcPr>
                <w:p w14:paraId="75421F6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46</w:t>
                  </w:r>
                </w:p>
              </w:tc>
              <w:tc>
                <w:tcPr>
                  <w:tcW w:w="442" w:type="pct"/>
                  <w:vMerge w:val="continue"/>
                  <w:tcBorders>
                    <w:tl2br w:val="nil"/>
                    <w:tr2bl w:val="nil"/>
                  </w:tcBorders>
                  <w:vAlign w:val="center"/>
                </w:tcPr>
                <w:p w14:paraId="701688AA">
                  <w:pPr>
                    <w:pStyle w:val="24"/>
                    <w:spacing w:line="240" w:lineRule="auto"/>
                    <w:rPr>
                      <w:color w:val="auto"/>
                      <w:highlight w:val="none"/>
                    </w:rPr>
                  </w:pPr>
                </w:p>
              </w:tc>
              <w:tc>
                <w:tcPr>
                  <w:tcW w:w="413" w:type="pct"/>
                  <w:vMerge w:val="continue"/>
                  <w:tcBorders>
                    <w:tl2br w:val="nil"/>
                    <w:tr2bl w:val="nil"/>
                  </w:tcBorders>
                  <w:vAlign w:val="center"/>
                </w:tcPr>
                <w:p w14:paraId="36396534">
                  <w:pPr>
                    <w:pStyle w:val="24"/>
                    <w:spacing w:line="240" w:lineRule="auto"/>
                    <w:rPr>
                      <w:color w:val="auto"/>
                      <w:highlight w:val="none"/>
                    </w:rPr>
                  </w:pPr>
                </w:p>
              </w:tc>
              <w:tc>
                <w:tcPr>
                  <w:tcW w:w="474" w:type="pct"/>
                  <w:tcBorders>
                    <w:tl2br w:val="nil"/>
                    <w:tr2bl w:val="nil"/>
                  </w:tcBorders>
                  <w:vAlign w:val="center"/>
                </w:tcPr>
                <w:p w14:paraId="2ADA32BD">
                  <w:pPr>
                    <w:pStyle w:val="24"/>
                    <w:spacing w:line="240" w:lineRule="auto"/>
                    <w:ind w:firstLine="0" w:firstLineChars="0"/>
                    <w:rPr>
                      <w:rFonts w:hint="eastAsia"/>
                      <w:color w:val="auto"/>
                      <w:highlight w:val="none"/>
                    </w:rPr>
                  </w:pPr>
                  <w:r>
                    <w:rPr>
                      <w:rFonts w:hint="eastAsia"/>
                      <w:color w:val="auto"/>
                      <w:highlight w:val="none"/>
                    </w:rPr>
                    <w:t>达标</w:t>
                  </w:r>
                </w:p>
              </w:tc>
              <w:tc>
                <w:tcPr>
                  <w:tcW w:w="478" w:type="pct"/>
                  <w:tcBorders>
                    <w:tl2br w:val="nil"/>
                    <w:tr2bl w:val="nil"/>
                  </w:tcBorders>
                  <w:vAlign w:val="center"/>
                </w:tcPr>
                <w:p w14:paraId="2C5DD87F">
                  <w:pPr>
                    <w:pStyle w:val="24"/>
                    <w:spacing w:line="240" w:lineRule="auto"/>
                    <w:ind w:firstLine="0" w:firstLineChars="0"/>
                    <w:rPr>
                      <w:rFonts w:hint="eastAsia"/>
                      <w:color w:val="auto"/>
                      <w:highlight w:val="none"/>
                    </w:rPr>
                  </w:pPr>
                  <w:r>
                    <w:rPr>
                      <w:rFonts w:hint="eastAsia"/>
                      <w:color w:val="auto"/>
                      <w:highlight w:val="none"/>
                    </w:rPr>
                    <w:t>达标</w:t>
                  </w:r>
                </w:p>
              </w:tc>
            </w:tr>
            <w:tr w14:paraId="269958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5" w:type="pct"/>
                  <w:tcBorders>
                    <w:tl2br w:val="nil"/>
                    <w:tr2bl w:val="nil"/>
                  </w:tcBorders>
                  <w:vAlign w:val="center"/>
                </w:tcPr>
                <w:p w14:paraId="3EBA89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银河小区</w:t>
                  </w:r>
                </w:p>
              </w:tc>
              <w:tc>
                <w:tcPr>
                  <w:tcW w:w="493" w:type="pct"/>
                  <w:tcBorders>
                    <w:tl2br w:val="nil"/>
                    <w:tr2bl w:val="nil"/>
                  </w:tcBorders>
                  <w:vAlign w:val="center"/>
                </w:tcPr>
                <w:p w14:paraId="203EEBA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48</w:t>
                  </w:r>
                </w:p>
              </w:tc>
              <w:tc>
                <w:tcPr>
                  <w:tcW w:w="494" w:type="pct"/>
                  <w:tcBorders>
                    <w:tl2br w:val="nil"/>
                    <w:tr2bl w:val="nil"/>
                  </w:tcBorders>
                  <w:vAlign w:val="center"/>
                </w:tcPr>
                <w:p w14:paraId="3459C11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43</w:t>
                  </w:r>
                </w:p>
              </w:tc>
              <w:tc>
                <w:tcPr>
                  <w:tcW w:w="493" w:type="pct"/>
                  <w:tcBorders>
                    <w:tl2br w:val="nil"/>
                    <w:tr2bl w:val="nil"/>
                  </w:tcBorders>
                  <w:vAlign w:val="center"/>
                </w:tcPr>
                <w:p w14:paraId="23F007AC">
                  <w:pPr>
                    <w:pStyle w:val="24"/>
                    <w:spacing w:line="240" w:lineRule="auto"/>
                    <w:rPr>
                      <w:rFonts w:hint="eastAsia"/>
                      <w:color w:val="auto"/>
                      <w:highlight w:val="none"/>
                      <w:lang w:val="en-US" w:eastAsia="zh-CN"/>
                    </w:rPr>
                  </w:pPr>
                  <w:r>
                    <w:rPr>
                      <w:rFonts w:hint="eastAsia"/>
                      <w:color w:val="auto"/>
                      <w:highlight w:val="none"/>
                      <w:lang w:val="en-US" w:eastAsia="zh-CN"/>
                    </w:rPr>
                    <w:t>16.5</w:t>
                  </w:r>
                </w:p>
              </w:tc>
              <w:tc>
                <w:tcPr>
                  <w:tcW w:w="548" w:type="pct"/>
                  <w:tcBorders>
                    <w:tl2br w:val="nil"/>
                    <w:tr2bl w:val="nil"/>
                  </w:tcBorders>
                  <w:vAlign w:val="center"/>
                </w:tcPr>
                <w:p w14:paraId="2C2C04B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48</w:t>
                  </w:r>
                </w:p>
              </w:tc>
              <w:tc>
                <w:tcPr>
                  <w:tcW w:w="538" w:type="pct"/>
                  <w:tcBorders>
                    <w:tl2br w:val="nil"/>
                    <w:tr2bl w:val="nil"/>
                  </w:tcBorders>
                  <w:vAlign w:val="center"/>
                </w:tcPr>
                <w:p w14:paraId="671EDF5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43</w:t>
                  </w:r>
                </w:p>
              </w:tc>
              <w:tc>
                <w:tcPr>
                  <w:tcW w:w="442" w:type="pct"/>
                  <w:vMerge w:val="continue"/>
                  <w:tcBorders>
                    <w:tl2br w:val="nil"/>
                    <w:tr2bl w:val="nil"/>
                  </w:tcBorders>
                  <w:vAlign w:val="center"/>
                </w:tcPr>
                <w:p w14:paraId="15C476A3">
                  <w:pPr>
                    <w:pStyle w:val="24"/>
                    <w:spacing w:line="240" w:lineRule="auto"/>
                    <w:rPr>
                      <w:color w:val="auto"/>
                      <w:highlight w:val="none"/>
                    </w:rPr>
                  </w:pPr>
                </w:p>
              </w:tc>
              <w:tc>
                <w:tcPr>
                  <w:tcW w:w="413" w:type="pct"/>
                  <w:vMerge w:val="continue"/>
                  <w:tcBorders>
                    <w:tl2br w:val="nil"/>
                    <w:tr2bl w:val="nil"/>
                  </w:tcBorders>
                  <w:vAlign w:val="center"/>
                </w:tcPr>
                <w:p w14:paraId="725B6437">
                  <w:pPr>
                    <w:pStyle w:val="24"/>
                    <w:spacing w:line="240" w:lineRule="auto"/>
                    <w:rPr>
                      <w:color w:val="auto"/>
                      <w:highlight w:val="none"/>
                    </w:rPr>
                  </w:pPr>
                </w:p>
              </w:tc>
              <w:tc>
                <w:tcPr>
                  <w:tcW w:w="1256" w:type="dxa"/>
                  <w:tcBorders>
                    <w:tl2br w:val="nil"/>
                    <w:tr2bl w:val="nil"/>
                  </w:tcBorders>
                  <w:vAlign w:val="center"/>
                </w:tcPr>
                <w:p w14:paraId="5BB10171">
                  <w:pPr>
                    <w:pStyle w:val="24"/>
                    <w:spacing w:line="240" w:lineRule="auto"/>
                    <w:ind w:firstLine="0" w:firstLineChars="0"/>
                    <w:rPr>
                      <w:rFonts w:hint="eastAsia"/>
                      <w:color w:val="auto"/>
                      <w:highlight w:val="none"/>
                    </w:rPr>
                  </w:pPr>
                  <w:r>
                    <w:rPr>
                      <w:rFonts w:hint="eastAsia"/>
                      <w:color w:val="auto"/>
                      <w:highlight w:val="none"/>
                    </w:rPr>
                    <w:t>达标</w:t>
                  </w:r>
                </w:p>
              </w:tc>
              <w:tc>
                <w:tcPr>
                  <w:tcW w:w="1266" w:type="dxa"/>
                  <w:tcBorders>
                    <w:tl2br w:val="nil"/>
                    <w:tr2bl w:val="nil"/>
                  </w:tcBorders>
                  <w:vAlign w:val="center"/>
                </w:tcPr>
                <w:p w14:paraId="2D92C6DA">
                  <w:pPr>
                    <w:pStyle w:val="24"/>
                    <w:spacing w:line="240" w:lineRule="auto"/>
                    <w:ind w:firstLine="0" w:firstLineChars="0"/>
                    <w:rPr>
                      <w:rFonts w:hint="eastAsia"/>
                      <w:color w:val="auto"/>
                      <w:highlight w:val="none"/>
                    </w:rPr>
                  </w:pPr>
                  <w:r>
                    <w:rPr>
                      <w:rFonts w:hint="eastAsia"/>
                      <w:color w:val="auto"/>
                      <w:highlight w:val="none"/>
                    </w:rPr>
                    <w:t>达标</w:t>
                  </w:r>
                </w:p>
              </w:tc>
            </w:tr>
          </w:tbl>
          <w:p w14:paraId="409BA7E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t>由上表可见</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经过厂区距离衰减</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采取</w:t>
            </w:r>
            <w:r>
              <w:rPr>
                <w:rFonts w:hint="eastAsia" w:ascii="Times New Roman" w:hAnsi="Times New Roman" w:eastAsia="Times New Roman" w:cs="Times New Roman"/>
                <w:color w:val="auto"/>
                <w:sz w:val="24"/>
                <w:szCs w:val="24"/>
                <w:highlight w:val="none"/>
              </w:rPr>
              <w:t>选用低噪声设备、基础减振</w:t>
            </w:r>
            <w:r>
              <w:rPr>
                <w:rFonts w:ascii="Times New Roman" w:hAnsi="Times New Roman" w:eastAsia="Times New Roman" w:cs="Times New Roman"/>
                <w:color w:val="auto"/>
                <w:sz w:val="24"/>
                <w:szCs w:val="24"/>
                <w:highlight w:val="none"/>
              </w:rPr>
              <w:t>等措施后</w:t>
            </w:r>
            <w:r>
              <w:rPr>
                <w:rFonts w:hint="eastAsia" w:ascii="Times New Roman" w:hAnsi="Times New Roman" w:eastAsia="Times New Roman" w:cs="Times New Roman"/>
                <w:color w:val="auto"/>
                <w:sz w:val="24"/>
                <w:szCs w:val="24"/>
                <w:highlight w:val="none"/>
              </w:rPr>
              <w:t>，本项目东、西、南、北</w:t>
            </w:r>
            <w:r>
              <w:rPr>
                <w:rFonts w:ascii="Times New Roman" w:hAnsi="Times New Roman" w:eastAsia="Times New Roman" w:cs="Times New Roman"/>
                <w:color w:val="auto"/>
                <w:sz w:val="24"/>
                <w:szCs w:val="24"/>
                <w:highlight w:val="none"/>
              </w:rPr>
              <w:t>厂界噪声</w:t>
            </w:r>
            <w:r>
              <w:rPr>
                <w:rFonts w:hint="eastAsia" w:ascii="Times New Roman" w:hAnsi="Times New Roman" w:eastAsia="Times New Roman" w:cs="Times New Roman"/>
                <w:color w:val="auto"/>
                <w:sz w:val="24"/>
                <w:szCs w:val="24"/>
                <w:highlight w:val="none"/>
              </w:rPr>
              <w:t>贡献值符合《工业企业厂界环境噪声排放标准》（GB12348-2008）中</w:t>
            </w:r>
            <w:r>
              <w:rPr>
                <w:rFonts w:hint="eastAsia" w:eastAsia="Times New Roman" w:cs="Times New Roman"/>
                <w:color w:val="auto"/>
                <w:sz w:val="24"/>
                <w:szCs w:val="24"/>
                <w:highlight w:val="none"/>
                <w:lang w:val="en-US" w:eastAsia="zh-CN"/>
              </w:rPr>
              <w:t>2</w:t>
            </w:r>
            <w:r>
              <w:rPr>
                <w:rFonts w:hint="eastAsia" w:ascii="Times New Roman" w:hAnsi="Times New Roman" w:eastAsia="Times New Roman" w:cs="Times New Roman"/>
                <w:color w:val="auto"/>
                <w:sz w:val="24"/>
                <w:szCs w:val="24"/>
                <w:highlight w:val="none"/>
              </w:rPr>
              <w:t>类标准[昼间</w:t>
            </w:r>
            <w:r>
              <w:rPr>
                <w:rFonts w:hint="eastAsia" w:cs="Times New Roman"/>
                <w:color w:val="auto"/>
                <w:sz w:val="24"/>
                <w:szCs w:val="24"/>
                <w:highlight w:val="none"/>
                <w:lang w:val="en-US" w:eastAsia="zh-CN"/>
              </w:rPr>
              <w:t>60</w:t>
            </w:r>
            <w:r>
              <w:rPr>
                <w:rFonts w:hint="eastAsia" w:ascii="Times New Roman" w:hAnsi="Times New Roman" w:eastAsia="Times New Roman" w:cs="Times New Roman"/>
                <w:color w:val="auto"/>
                <w:sz w:val="24"/>
                <w:szCs w:val="24"/>
                <w:highlight w:val="none"/>
              </w:rPr>
              <w:t>dB(A)、夜间</w:t>
            </w:r>
            <w:r>
              <w:rPr>
                <w:rFonts w:hint="eastAsia" w:eastAsia="Times New Roman" w:cs="Times New Roman"/>
                <w:color w:val="auto"/>
                <w:sz w:val="24"/>
                <w:szCs w:val="24"/>
                <w:highlight w:val="none"/>
                <w:lang w:val="en-US" w:eastAsia="zh-CN"/>
              </w:rPr>
              <w:t>50</w:t>
            </w:r>
            <w:r>
              <w:rPr>
                <w:rFonts w:hint="eastAsia" w:ascii="Times New Roman" w:hAnsi="Times New Roman" w:eastAsia="Times New Roman" w:cs="Times New Roman"/>
                <w:color w:val="auto"/>
                <w:sz w:val="24"/>
                <w:szCs w:val="24"/>
                <w:highlight w:val="none"/>
              </w:rPr>
              <w:t>dB(A)]，叠加后全厂噪声符合《工业企业厂界环境噪声排放标准》（GB12348-2008）中</w:t>
            </w:r>
            <w:r>
              <w:rPr>
                <w:rFonts w:hint="eastAsia" w:eastAsia="Times New Roman" w:cs="Times New Roman"/>
                <w:color w:val="auto"/>
                <w:sz w:val="24"/>
                <w:szCs w:val="24"/>
                <w:highlight w:val="none"/>
                <w:lang w:val="en-US" w:eastAsia="zh-CN"/>
              </w:rPr>
              <w:t>2</w:t>
            </w:r>
            <w:r>
              <w:rPr>
                <w:rFonts w:hint="eastAsia" w:ascii="Times New Roman" w:hAnsi="Times New Roman" w:eastAsia="Times New Roman" w:cs="Times New Roman"/>
                <w:color w:val="auto"/>
                <w:sz w:val="24"/>
                <w:szCs w:val="24"/>
                <w:highlight w:val="none"/>
              </w:rPr>
              <w:t>类标准[昼间</w:t>
            </w:r>
            <w:r>
              <w:rPr>
                <w:rFonts w:hint="eastAsia" w:eastAsia="Times New Roman" w:cs="Times New Roman"/>
                <w:color w:val="auto"/>
                <w:sz w:val="24"/>
                <w:szCs w:val="24"/>
                <w:highlight w:val="none"/>
                <w:lang w:val="en-US" w:eastAsia="zh-CN"/>
              </w:rPr>
              <w:t>60</w:t>
            </w:r>
            <w:r>
              <w:rPr>
                <w:rFonts w:hint="eastAsia" w:ascii="Times New Roman" w:hAnsi="Times New Roman" w:eastAsia="Times New Roman" w:cs="Times New Roman"/>
                <w:color w:val="auto"/>
                <w:sz w:val="24"/>
                <w:szCs w:val="24"/>
                <w:highlight w:val="none"/>
              </w:rPr>
              <w:t>dB(A)、夜间</w:t>
            </w:r>
            <w:r>
              <w:rPr>
                <w:rFonts w:hint="eastAsia" w:eastAsia="宋体" w:cs="Times New Roman"/>
                <w:color w:val="auto"/>
                <w:sz w:val="24"/>
                <w:szCs w:val="24"/>
                <w:highlight w:val="none"/>
                <w:lang w:val="en-US" w:eastAsia="zh-CN"/>
              </w:rPr>
              <w:t>50</w:t>
            </w:r>
            <w:r>
              <w:rPr>
                <w:rFonts w:hint="eastAsia" w:eastAsia="Times New Roman" w:cs="Times New Roman"/>
                <w:color w:val="auto"/>
                <w:sz w:val="24"/>
                <w:szCs w:val="24"/>
                <w:highlight w:val="none"/>
                <w:lang w:val="en-US" w:eastAsia="zh-CN"/>
              </w:rPr>
              <w:t>d</w:t>
            </w:r>
            <w:r>
              <w:rPr>
                <w:rFonts w:hint="eastAsia" w:ascii="Times New Roman" w:hAnsi="Times New Roman" w:eastAsia="Times New Roman" w:cs="Times New Roman"/>
                <w:color w:val="auto"/>
                <w:sz w:val="24"/>
                <w:szCs w:val="24"/>
                <w:highlight w:val="none"/>
              </w:rPr>
              <w:t>B(A)]。本</w:t>
            </w:r>
            <w:r>
              <w:rPr>
                <w:rFonts w:ascii="Times New Roman" w:hAnsi="Times New Roman" w:eastAsia="Times New Roman" w:cs="Times New Roman"/>
                <w:color w:val="auto"/>
                <w:sz w:val="24"/>
                <w:szCs w:val="24"/>
                <w:highlight w:val="none"/>
              </w:rPr>
              <w:t>项目建设对周围声环境影响较小</w:t>
            </w:r>
            <w:r>
              <w:rPr>
                <w:rFonts w:hint="eastAsia" w:ascii="Times New Roman" w:hAnsi="Times New Roman" w:eastAsia="Times New Roman" w:cs="Times New Roman"/>
                <w:color w:val="auto"/>
                <w:sz w:val="24"/>
                <w:szCs w:val="24"/>
                <w:highlight w:val="none"/>
              </w:rPr>
              <w:t>。</w:t>
            </w:r>
          </w:p>
          <w:p w14:paraId="732B6320">
            <w:pPr>
              <w:rPr>
                <w:rFonts w:hint="eastAsia"/>
                <w:color w:val="auto"/>
                <w:highlight w:val="none"/>
              </w:rPr>
            </w:pPr>
          </w:p>
          <w:p w14:paraId="082C1656">
            <w:pPr>
              <w:rPr>
                <w:rFonts w:hint="eastAsia"/>
                <w:color w:val="auto"/>
                <w:highlight w:val="none"/>
              </w:rPr>
            </w:pPr>
          </w:p>
          <w:p w14:paraId="22D49AD9">
            <w:pPr>
              <w:ind w:left="0" w:leftChars="0" w:firstLine="0" w:firstLineChars="0"/>
              <w:rPr>
                <w:rFonts w:hint="eastAsia"/>
                <w:color w:val="auto"/>
                <w:highlight w:val="none"/>
              </w:rPr>
            </w:pPr>
          </w:p>
        </w:tc>
      </w:tr>
    </w:tbl>
    <w:p w14:paraId="28A0D937">
      <w:pPr>
        <w:keepNext w:val="0"/>
        <w:keepLines w:val="0"/>
        <w:pageBreakBefore w:val="0"/>
        <w:kinsoku/>
        <w:wordWrap/>
        <w:overflowPunct/>
        <w:autoSpaceDE/>
        <w:autoSpaceDN/>
        <w:bidi w:val="0"/>
        <w:spacing w:line="240" w:lineRule="auto"/>
        <w:ind w:firstLine="0" w:firstLineChars="0"/>
        <w:jc w:val="both"/>
        <w:rPr>
          <w:color w:val="auto"/>
          <w:highlight w:val="none"/>
        </w:rPr>
        <w:sectPr>
          <w:pgSz w:w="16840" w:h="11907" w:orient="landscape"/>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p>
    <w:tbl>
      <w:tblPr>
        <w:tblStyle w:val="16"/>
        <w:tblW w:w="88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97"/>
        <w:gridCol w:w="8547"/>
      </w:tblGrid>
      <w:tr w14:paraId="5299C7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43" w:hRule="atLeast"/>
          <w:jc w:val="center"/>
        </w:trPr>
        <w:tc>
          <w:tcPr>
            <w:tcW w:w="297" w:type="dxa"/>
            <w:tcMar>
              <w:left w:w="28" w:type="dxa"/>
              <w:right w:w="28" w:type="dxa"/>
            </w:tcMar>
            <w:vAlign w:val="center"/>
          </w:tcPr>
          <w:p w14:paraId="1EFAA9EB">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运营</w:t>
            </w:r>
          </w:p>
          <w:p w14:paraId="11555E63">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期环</w:t>
            </w:r>
          </w:p>
          <w:p w14:paraId="1312B06B">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境影</w:t>
            </w:r>
          </w:p>
          <w:p w14:paraId="4F06B20A">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响和</w:t>
            </w:r>
          </w:p>
          <w:p w14:paraId="4EE91A2D">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
                <w:bCs w:val="0"/>
                <w:color w:val="auto"/>
                <w:szCs w:val="21"/>
                <w:highlight w:val="none"/>
              </w:rPr>
            </w:pPr>
            <w:r>
              <w:rPr>
                <w:rFonts w:hint="eastAsia" w:ascii="宋体" w:hAnsi="宋体" w:cs="宋体"/>
                <w:b/>
                <w:bCs w:val="0"/>
                <w:color w:val="auto"/>
                <w:szCs w:val="21"/>
                <w:highlight w:val="none"/>
              </w:rPr>
              <w:t>保护</w:t>
            </w:r>
          </w:p>
          <w:p w14:paraId="5F9E0371">
            <w:pPr>
              <w:keepNext w:val="0"/>
              <w:keepLines w:val="0"/>
              <w:pageBreakBefore w:val="0"/>
              <w:kinsoku/>
              <w:wordWrap/>
              <w:overflowPunct/>
              <w:autoSpaceDE/>
              <w:autoSpaceDN/>
              <w:bidi w:val="0"/>
              <w:adjustRightInd w:val="0"/>
              <w:snapToGrid w:val="0"/>
              <w:spacing w:line="240" w:lineRule="auto"/>
              <w:ind w:firstLine="0" w:firstLineChars="0"/>
              <w:jc w:val="both"/>
              <w:rPr>
                <w:rFonts w:hint="eastAsia" w:ascii="宋体" w:hAnsi="宋体" w:cs="宋体"/>
                <w:bCs/>
                <w:color w:val="auto"/>
                <w:szCs w:val="21"/>
                <w:highlight w:val="none"/>
              </w:rPr>
            </w:pPr>
            <w:r>
              <w:rPr>
                <w:rFonts w:hint="eastAsia" w:ascii="宋体" w:hAnsi="宋体" w:cs="宋体"/>
                <w:b/>
                <w:bCs w:val="0"/>
                <w:color w:val="auto"/>
                <w:szCs w:val="21"/>
                <w:highlight w:val="none"/>
              </w:rPr>
              <w:t>措施</w:t>
            </w:r>
          </w:p>
        </w:tc>
        <w:tc>
          <w:tcPr>
            <w:tcW w:w="8684" w:type="dxa"/>
            <w:vAlign w:val="center"/>
          </w:tcPr>
          <w:p w14:paraId="4BF6F0C0">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3.</w:t>
            </w:r>
            <w:r>
              <w:rPr>
                <w:rFonts w:hint="eastAsia" w:eastAsia="宋体" w:cs="Times New Roman"/>
                <w:b/>
                <w:bCs/>
                <w:color w:val="auto"/>
                <w:sz w:val="24"/>
                <w:szCs w:val="24"/>
                <w:highlight w:val="none"/>
                <w:lang w:val="en-US" w:eastAsia="zh-CN"/>
              </w:rPr>
              <w:t>4</w:t>
            </w:r>
            <w:r>
              <w:rPr>
                <w:rFonts w:ascii="Times New Roman" w:hAnsi="Times New Roman" w:eastAsia="Times New Roman" w:cs="Times New Roman"/>
                <w:b/>
                <w:bCs/>
                <w:color w:val="auto"/>
                <w:sz w:val="24"/>
                <w:szCs w:val="24"/>
                <w:highlight w:val="none"/>
              </w:rPr>
              <w:t>监测</w:t>
            </w:r>
            <w:r>
              <w:rPr>
                <w:rFonts w:hint="eastAsia" w:ascii="Times New Roman" w:hAnsi="Times New Roman" w:eastAsia="Times New Roman" w:cs="Times New Roman"/>
                <w:b/>
                <w:bCs/>
                <w:color w:val="auto"/>
                <w:sz w:val="24"/>
                <w:szCs w:val="24"/>
                <w:highlight w:val="none"/>
              </w:rPr>
              <w:t>计划</w:t>
            </w:r>
          </w:p>
          <w:p w14:paraId="5B7EC266">
            <w:pPr>
              <w:bidi w:val="0"/>
              <w:rPr>
                <w:color w:val="auto"/>
                <w:highlight w:val="none"/>
              </w:rPr>
            </w:pPr>
            <w:r>
              <w:rPr>
                <w:rFonts w:hint="eastAsia"/>
                <w:color w:val="auto"/>
                <w:highlight w:val="none"/>
              </w:rPr>
              <w:t>参照《排污单位自行监测技术指南</w:t>
            </w:r>
            <w:r>
              <w:rPr>
                <w:rFonts w:hint="eastAsia"/>
                <w:color w:val="auto"/>
                <w:highlight w:val="none"/>
                <w:lang w:val="en-US" w:eastAsia="zh-CN"/>
              </w:rPr>
              <w:t xml:space="preserve"> </w:t>
            </w:r>
            <w:r>
              <w:rPr>
                <w:rFonts w:hint="eastAsia"/>
                <w:color w:val="auto"/>
                <w:highlight w:val="none"/>
              </w:rPr>
              <w:t>总则》（HJ819-2017）的要求，</w:t>
            </w:r>
            <w:r>
              <w:rPr>
                <w:color w:val="auto"/>
                <w:highlight w:val="none"/>
              </w:rPr>
              <w:t>企业可参照下表制定监测计划。</w:t>
            </w:r>
          </w:p>
          <w:p w14:paraId="28F4BC4A">
            <w:pPr>
              <w:pStyle w:val="25"/>
              <w:bidi w:val="0"/>
              <w:rPr>
                <w:color w:val="auto"/>
                <w:highlight w:val="none"/>
              </w:rPr>
            </w:pPr>
            <w:r>
              <w:rPr>
                <w:color w:val="auto"/>
                <w:highlight w:val="none"/>
              </w:rPr>
              <w:t>污染源监测计划</w:t>
            </w:r>
          </w:p>
          <w:tbl>
            <w:tblPr>
              <w:tblStyle w:val="16"/>
              <w:tblW w:w="4995"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04"/>
              <w:gridCol w:w="1261"/>
              <w:gridCol w:w="1304"/>
              <w:gridCol w:w="1350"/>
              <w:gridCol w:w="3304"/>
            </w:tblGrid>
            <w:tr w14:paraId="5D1FEB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3" w:type="pct"/>
                  <w:vAlign w:val="center"/>
                </w:tcPr>
                <w:p w14:paraId="4FE838AD">
                  <w:pPr>
                    <w:pStyle w:val="27"/>
                    <w:spacing w:line="240" w:lineRule="auto"/>
                    <w:rPr>
                      <w:rFonts w:hint="default"/>
                      <w:color w:val="auto"/>
                      <w:highlight w:val="none"/>
                    </w:rPr>
                  </w:pPr>
                  <w:r>
                    <w:rPr>
                      <w:rFonts w:hint="default" w:eastAsia="宋体"/>
                      <w:b/>
                      <w:color w:val="auto"/>
                      <w:sz w:val="21"/>
                      <w:highlight w:val="none"/>
                    </w:rPr>
                    <w:t>监测要素</w:t>
                  </w:r>
                </w:p>
              </w:tc>
              <w:tc>
                <w:tcPr>
                  <w:tcW w:w="757" w:type="pct"/>
                  <w:vAlign w:val="center"/>
                </w:tcPr>
                <w:p w14:paraId="1AD31DDD">
                  <w:pPr>
                    <w:pStyle w:val="27"/>
                    <w:spacing w:line="240" w:lineRule="auto"/>
                    <w:rPr>
                      <w:rFonts w:hint="default"/>
                      <w:color w:val="auto"/>
                      <w:highlight w:val="none"/>
                    </w:rPr>
                  </w:pPr>
                  <w:r>
                    <w:rPr>
                      <w:rFonts w:hint="default" w:eastAsia="宋体"/>
                      <w:b/>
                      <w:color w:val="auto"/>
                      <w:sz w:val="21"/>
                      <w:highlight w:val="none"/>
                    </w:rPr>
                    <w:t>监测点位</w:t>
                  </w:r>
                </w:p>
              </w:tc>
              <w:tc>
                <w:tcPr>
                  <w:tcW w:w="783" w:type="pct"/>
                  <w:vAlign w:val="center"/>
                </w:tcPr>
                <w:p w14:paraId="302D7909">
                  <w:pPr>
                    <w:pStyle w:val="27"/>
                    <w:spacing w:line="240" w:lineRule="auto"/>
                    <w:rPr>
                      <w:rFonts w:hint="default"/>
                      <w:color w:val="auto"/>
                      <w:highlight w:val="none"/>
                    </w:rPr>
                  </w:pPr>
                  <w:r>
                    <w:rPr>
                      <w:rFonts w:hint="default" w:eastAsia="宋体"/>
                      <w:b/>
                      <w:color w:val="auto"/>
                      <w:sz w:val="21"/>
                      <w:highlight w:val="none"/>
                    </w:rPr>
                    <w:t>监测项目</w:t>
                  </w:r>
                </w:p>
              </w:tc>
              <w:tc>
                <w:tcPr>
                  <w:tcW w:w="811" w:type="pct"/>
                  <w:vAlign w:val="center"/>
                </w:tcPr>
                <w:p w14:paraId="5B890843">
                  <w:pPr>
                    <w:pStyle w:val="27"/>
                    <w:spacing w:line="240" w:lineRule="auto"/>
                    <w:rPr>
                      <w:rFonts w:hint="default"/>
                      <w:color w:val="auto"/>
                      <w:highlight w:val="none"/>
                    </w:rPr>
                  </w:pPr>
                  <w:r>
                    <w:rPr>
                      <w:rFonts w:hint="default" w:eastAsia="宋体"/>
                      <w:b/>
                      <w:color w:val="auto"/>
                      <w:sz w:val="21"/>
                      <w:highlight w:val="none"/>
                    </w:rPr>
                    <w:t>监测频次</w:t>
                  </w:r>
                </w:p>
              </w:tc>
              <w:tc>
                <w:tcPr>
                  <w:tcW w:w="1984" w:type="pct"/>
                  <w:vAlign w:val="center"/>
                </w:tcPr>
                <w:p w14:paraId="330EE2CF">
                  <w:pPr>
                    <w:pStyle w:val="27"/>
                    <w:spacing w:line="240" w:lineRule="auto"/>
                    <w:rPr>
                      <w:rFonts w:hint="default"/>
                      <w:color w:val="auto"/>
                      <w:highlight w:val="none"/>
                    </w:rPr>
                  </w:pPr>
                  <w:r>
                    <w:rPr>
                      <w:rFonts w:hint="default" w:eastAsia="宋体"/>
                      <w:b/>
                      <w:color w:val="auto"/>
                      <w:sz w:val="21"/>
                      <w:highlight w:val="none"/>
                    </w:rPr>
                    <w:t>备注</w:t>
                  </w:r>
                </w:p>
              </w:tc>
            </w:tr>
            <w:tr w14:paraId="1CA734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3" w:type="pct"/>
                  <w:vAlign w:val="center"/>
                </w:tcPr>
                <w:p w14:paraId="2C93BDF9">
                  <w:pPr>
                    <w:pStyle w:val="24"/>
                    <w:spacing w:line="240" w:lineRule="auto"/>
                    <w:rPr>
                      <w:color w:val="auto"/>
                      <w:highlight w:val="none"/>
                    </w:rPr>
                  </w:pPr>
                  <w:r>
                    <w:rPr>
                      <w:color w:val="auto"/>
                      <w:highlight w:val="none"/>
                    </w:rPr>
                    <w:t>噪声</w:t>
                  </w:r>
                </w:p>
              </w:tc>
              <w:tc>
                <w:tcPr>
                  <w:tcW w:w="757" w:type="pct"/>
                  <w:vAlign w:val="center"/>
                </w:tcPr>
                <w:p w14:paraId="3AEBC5BC">
                  <w:pPr>
                    <w:pStyle w:val="24"/>
                    <w:spacing w:line="240" w:lineRule="auto"/>
                    <w:rPr>
                      <w:color w:val="auto"/>
                      <w:highlight w:val="none"/>
                    </w:rPr>
                  </w:pPr>
                  <w:r>
                    <w:rPr>
                      <w:color w:val="auto"/>
                      <w:highlight w:val="none"/>
                    </w:rPr>
                    <w:t>四周厂界外1米</w:t>
                  </w:r>
                </w:p>
              </w:tc>
              <w:tc>
                <w:tcPr>
                  <w:tcW w:w="783" w:type="pct"/>
                  <w:vAlign w:val="center"/>
                </w:tcPr>
                <w:p w14:paraId="020D93B1">
                  <w:pPr>
                    <w:pStyle w:val="24"/>
                    <w:spacing w:line="240" w:lineRule="auto"/>
                    <w:rPr>
                      <w:color w:val="auto"/>
                      <w:highlight w:val="none"/>
                    </w:rPr>
                  </w:pPr>
                  <w:r>
                    <w:rPr>
                      <w:color w:val="auto"/>
                      <w:highlight w:val="none"/>
                    </w:rPr>
                    <w:t>等效连续A声级</w:t>
                  </w:r>
                </w:p>
              </w:tc>
              <w:tc>
                <w:tcPr>
                  <w:tcW w:w="811" w:type="pct"/>
                  <w:vAlign w:val="center"/>
                </w:tcPr>
                <w:p w14:paraId="5DE7B156">
                  <w:pPr>
                    <w:pStyle w:val="24"/>
                    <w:spacing w:line="240" w:lineRule="auto"/>
                    <w:rPr>
                      <w:color w:val="auto"/>
                      <w:highlight w:val="none"/>
                    </w:rPr>
                  </w:pPr>
                  <w:r>
                    <w:rPr>
                      <w:color w:val="auto"/>
                      <w:highlight w:val="none"/>
                    </w:rPr>
                    <w:t>1次/季</w:t>
                  </w:r>
                </w:p>
              </w:tc>
              <w:tc>
                <w:tcPr>
                  <w:tcW w:w="1984" w:type="pct"/>
                  <w:vAlign w:val="center"/>
                </w:tcPr>
                <w:p w14:paraId="1C8B0763">
                  <w:pPr>
                    <w:pStyle w:val="24"/>
                    <w:spacing w:line="240" w:lineRule="auto"/>
                    <w:rPr>
                      <w:color w:val="auto"/>
                      <w:highlight w:val="none"/>
                    </w:rPr>
                  </w:pPr>
                  <w:r>
                    <w:rPr>
                      <w:color w:val="auto"/>
                      <w:highlight w:val="none"/>
                    </w:rPr>
                    <w:t>监测频率参照</w:t>
                  </w:r>
                  <w:r>
                    <w:rPr>
                      <w:rFonts w:hint="eastAsia"/>
                      <w:color w:val="auto"/>
                      <w:highlight w:val="none"/>
                    </w:rPr>
                    <w:t>《排污单位自行监测技术指南</w:t>
                  </w:r>
                  <w:r>
                    <w:rPr>
                      <w:rFonts w:hint="eastAsia"/>
                      <w:color w:val="auto"/>
                      <w:highlight w:val="none"/>
                      <w:lang w:val="en-US" w:eastAsia="zh-CN"/>
                    </w:rPr>
                    <w:t xml:space="preserve"> </w:t>
                  </w:r>
                  <w:r>
                    <w:rPr>
                      <w:rFonts w:hint="eastAsia"/>
                      <w:color w:val="auto"/>
                      <w:highlight w:val="none"/>
                    </w:rPr>
                    <w:t>总则》（HJ819-2017）</w:t>
                  </w:r>
                </w:p>
              </w:tc>
            </w:tr>
          </w:tbl>
          <w:p w14:paraId="55A78C98">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3.</w:t>
            </w:r>
            <w:r>
              <w:rPr>
                <w:rFonts w:hint="eastAsia" w:eastAsia="宋体" w:cs="Times New Roman"/>
                <w:b/>
                <w:bCs/>
                <w:color w:val="auto"/>
                <w:sz w:val="24"/>
                <w:szCs w:val="24"/>
                <w:highlight w:val="none"/>
                <w:lang w:val="en-US" w:eastAsia="zh-CN"/>
              </w:rPr>
              <w:t>5</w:t>
            </w:r>
            <w:r>
              <w:rPr>
                <w:rFonts w:hint="eastAsia" w:ascii="Times New Roman" w:hAnsi="Times New Roman" w:eastAsia="Times New Roman" w:cs="Times New Roman"/>
                <w:b/>
                <w:bCs/>
                <w:color w:val="auto"/>
                <w:sz w:val="24"/>
                <w:szCs w:val="24"/>
                <w:highlight w:val="none"/>
              </w:rPr>
              <w:t>小结</w:t>
            </w:r>
          </w:p>
          <w:p w14:paraId="17C98B26">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t>本项目营运期主要噪声源运营后厂界噪声达标排放</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对所在区域声环境质量影响较小。</w:t>
            </w:r>
          </w:p>
          <w:p w14:paraId="29EBE1CF">
            <w:pPr>
              <w:bidi w:val="0"/>
              <w:rPr>
                <w:rFonts w:hint="default"/>
                <w:b/>
                <w:bCs/>
                <w:color w:val="auto"/>
                <w:highlight w:val="none"/>
              </w:rPr>
            </w:pPr>
            <w:r>
              <w:rPr>
                <w:rFonts w:hint="default"/>
                <w:b/>
                <w:bCs/>
                <w:color w:val="auto"/>
                <w:highlight w:val="none"/>
              </w:rPr>
              <w:t>4固体废物</w:t>
            </w:r>
          </w:p>
          <w:p w14:paraId="140DF437">
            <w:pPr>
              <w:bidi w:val="0"/>
              <w:rPr>
                <w:rFonts w:hint="default"/>
                <w:color w:val="auto"/>
                <w:highlight w:val="none"/>
              </w:rPr>
            </w:pPr>
            <w:r>
              <w:rPr>
                <w:rFonts w:hint="eastAsia"/>
                <w:color w:val="auto"/>
                <w:highlight w:val="none"/>
                <w:lang w:eastAsia="zh-CN"/>
              </w:rPr>
              <w:t>本项目所产生的固体废物为</w:t>
            </w:r>
            <w:r>
              <w:rPr>
                <w:rFonts w:hint="default"/>
                <w:color w:val="auto"/>
                <w:highlight w:val="none"/>
              </w:rPr>
              <w:t>危险废物收集贮存运行过程中产生的废劳保用品。根据《国家危险废物名录》（2025年版）（环境保护部令第36号），判定危险废物：废劳保用品。</w:t>
            </w:r>
          </w:p>
          <w:p w14:paraId="3F227082">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4.1危险废物产生情况</w:t>
            </w:r>
          </w:p>
          <w:p w14:paraId="5506E24D">
            <w:pPr>
              <w:pStyle w:val="13"/>
              <w:ind w:firstLine="480"/>
              <w:rPr>
                <w:b/>
                <w:bCs/>
                <w:color w:val="auto"/>
                <w:highlight w:val="none"/>
              </w:rPr>
            </w:pPr>
            <w:r>
              <w:rPr>
                <w:rFonts w:hint="eastAsia"/>
                <w:b/>
                <w:bCs/>
                <w:color w:val="auto"/>
                <w:highlight w:val="none"/>
              </w:rPr>
              <w:t>（1）废劳保用品</w:t>
            </w:r>
          </w:p>
          <w:p w14:paraId="04248BC1">
            <w:pPr>
              <w:pStyle w:val="13"/>
              <w:ind w:firstLine="480"/>
              <w:rPr>
                <w:color w:val="auto"/>
                <w:highlight w:val="none"/>
              </w:rPr>
            </w:pPr>
            <w:r>
              <w:rPr>
                <w:rFonts w:hint="default"/>
                <w:color w:val="auto"/>
                <w:highlight w:val="none"/>
              </w:rPr>
              <w:t>危险废物收集贮存运行过程中</w:t>
            </w:r>
            <w:r>
              <w:rPr>
                <w:rFonts w:hint="eastAsia"/>
                <w:color w:val="auto"/>
                <w:highlight w:val="none"/>
                <w:lang w:eastAsia="zh-CN"/>
              </w:rPr>
              <w:t>，使</w:t>
            </w:r>
            <w:r>
              <w:rPr>
                <w:rFonts w:hint="eastAsia"/>
                <w:color w:val="auto"/>
                <w:highlight w:val="none"/>
              </w:rPr>
              <w:t>用</w:t>
            </w:r>
            <w:r>
              <w:rPr>
                <w:rFonts w:hint="eastAsia"/>
                <w:color w:val="auto"/>
                <w:highlight w:val="none"/>
                <w:lang w:eastAsia="zh-CN"/>
              </w:rPr>
              <w:t>手套等劳保用品</w:t>
            </w:r>
            <w:r>
              <w:rPr>
                <w:rFonts w:hint="eastAsia"/>
                <w:color w:val="auto"/>
                <w:highlight w:val="none"/>
              </w:rPr>
              <w:t>进行收集，</w:t>
            </w:r>
            <w:r>
              <w:rPr>
                <w:rFonts w:hint="eastAsia"/>
                <w:color w:val="auto"/>
                <w:highlight w:val="none"/>
                <w:lang w:eastAsia="zh-CN"/>
              </w:rPr>
              <w:t>根据企业实际生产经验，</w:t>
            </w:r>
            <w:r>
              <w:rPr>
                <w:rFonts w:hint="eastAsia"/>
                <w:color w:val="auto"/>
                <w:highlight w:val="none"/>
              </w:rPr>
              <w:t>产生废劳保用品年产生量约为0.02t/a。</w:t>
            </w:r>
          </w:p>
          <w:p w14:paraId="09120E2F">
            <w:pPr>
              <w:pStyle w:val="13"/>
              <w:ind w:firstLine="480"/>
              <w:rPr>
                <w:color w:val="auto"/>
                <w:highlight w:val="none"/>
              </w:rPr>
            </w:pPr>
            <w:r>
              <w:rPr>
                <w:rFonts w:hint="eastAsia"/>
                <w:color w:val="auto"/>
                <w:highlight w:val="none"/>
              </w:rPr>
              <w:t>根据《国家危险废物名录》（2025年版）（环境保护部令第36号），判定属“含有或沾染毒性、感染性危险废物的废弃包装物、容器、过滤吸附介质”，废物类别HW49其他废物，废物代码900-041-49。产生后定期委托有资质单位进行处置。</w:t>
            </w:r>
          </w:p>
          <w:p w14:paraId="14B6D4DA">
            <w:pPr>
              <w:pStyle w:val="25"/>
              <w:bidi w:val="0"/>
              <w:rPr>
                <w:color w:val="auto"/>
                <w:highlight w:val="none"/>
              </w:rPr>
            </w:pPr>
            <w:r>
              <w:rPr>
                <w:rFonts w:hint="eastAsia"/>
                <w:color w:val="auto"/>
                <w:highlight w:val="none"/>
              </w:rPr>
              <w:t>本项目固废产生及处理处置情况一览表</w:t>
            </w:r>
          </w:p>
          <w:tbl>
            <w:tblPr>
              <w:tblStyle w:val="16"/>
              <w:tblW w:w="499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23"/>
              <w:gridCol w:w="1042"/>
              <w:gridCol w:w="923"/>
              <w:gridCol w:w="456"/>
              <w:gridCol w:w="1059"/>
              <w:gridCol w:w="1184"/>
              <w:gridCol w:w="836"/>
              <w:gridCol w:w="1169"/>
              <w:gridCol w:w="1126"/>
            </w:tblGrid>
            <w:tr w14:paraId="399740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4" w:type="pct"/>
                  <w:tcBorders>
                    <w:tl2br w:val="nil"/>
                    <w:tr2bl w:val="nil"/>
                  </w:tcBorders>
                  <w:tcMar>
                    <w:top w:w="0" w:type="dxa"/>
                    <w:left w:w="57" w:type="dxa"/>
                    <w:bottom w:w="0" w:type="dxa"/>
                    <w:right w:w="57" w:type="dxa"/>
                  </w:tcMar>
                  <w:vAlign w:val="center"/>
                </w:tcPr>
                <w:p w14:paraId="45107661">
                  <w:pPr>
                    <w:pStyle w:val="27"/>
                    <w:spacing w:line="240" w:lineRule="auto"/>
                    <w:rPr>
                      <w:rFonts w:hint="default"/>
                      <w:color w:val="auto"/>
                      <w:highlight w:val="none"/>
                    </w:rPr>
                  </w:pPr>
                  <w:r>
                    <w:rPr>
                      <w:color w:val="auto"/>
                      <w:highlight w:val="none"/>
                    </w:rPr>
                    <w:t>序号</w:t>
                  </w:r>
                </w:p>
              </w:tc>
              <w:tc>
                <w:tcPr>
                  <w:tcW w:w="626" w:type="pct"/>
                  <w:tcBorders>
                    <w:tl2br w:val="nil"/>
                    <w:tr2bl w:val="nil"/>
                  </w:tcBorders>
                  <w:tcMar>
                    <w:top w:w="0" w:type="dxa"/>
                    <w:left w:w="57" w:type="dxa"/>
                    <w:bottom w:w="0" w:type="dxa"/>
                    <w:right w:w="57" w:type="dxa"/>
                  </w:tcMar>
                  <w:vAlign w:val="center"/>
                </w:tcPr>
                <w:p w14:paraId="239A3025">
                  <w:pPr>
                    <w:pStyle w:val="27"/>
                    <w:spacing w:line="240" w:lineRule="auto"/>
                    <w:rPr>
                      <w:rFonts w:hint="default"/>
                      <w:color w:val="auto"/>
                      <w:highlight w:val="none"/>
                    </w:rPr>
                  </w:pPr>
                  <w:r>
                    <w:rPr>
                      <w:color w:val="auto"/>
                      <w:highlight w:val="none"/>
                    </w:rPr>
                    <w:t>固废名称</w:t>
                  </w:r>
                </w:p>
              </w:tc>
              <w:tc>
                <w:tcPr>
                  <w:tcW w:w="554" w:type="pct"/>
                  <w:tcBorders>
                    <w:tl2br w:val="nil"/>
                    <w:tr2bl w:val="nil"/>
                  </w:tcBorders>
                  <w:tcMar>
                    <w:top w:w="0" w:type="dxa"/>
                    <w:left w:w="57" w:type="dxa"/>
                    <w:bottom w:w="0" w:type="dxa"/>
                    <w:right w:w="57" w:type="dxa"/>
                  </w:tcMar>
                  <w:vAlign w:val="center"/>
                </w:tcPr>
                <w:p w14:paraId="6D35CB2A">
                  <w:pPr>
                    <w:pStyle w:val="27"/>
                    <w:spacing w:line="240" w:lineRule="auto"/>
                    <w:rPr>
                      <w:rFonts w:hint="default"/>
                      <w:color w:val="auto"/>
                      <w:highlight w:val="none"/>
                    </w:rPr>
                  </w:pPr>
                  <w:r>
                    <w:rPr>
                      <w:color w:val="auto"/>
                      <w:highlight w:val="none"/>
                    </w:rPr>
                    <w:t>产生工序</w:t>
                  </w:r>
                </w:p>
              </w:tc>
              <w:tc>
                <w:tcPr>
                  <w:tcW w:w="274" w:type="pct"/>
                  <w:tcBorders>
                    <w:tl2br w:val="nil"/>
                    <w:tr2bl w:val="nil"/>
                  </w:tcBorders>
                  <w:tcMar>
                    <w:top w:w="0" w:type="dxa"/>
                    <w:left w:w="57" w:type="dxa"/>
                    <w:bottom w:w="0" w:type="dxa"/>
                    <w:right w:w="57" w:type="dxa"/>
                  </w:tcMar>
                  <w:vAlign w:val="center"/>
                </w:tcPr>
                <w:p w14:paraId="43BFEE4A">
                  <w:pPr>
                    <w:pStyle w:val="27"/>
                    <w:spacing w:line="240" w:lineRule="auto"/>
                    <w:rPr>
                      <w:rFonts w:hint="default"/>
                      <w:color w:val="auto"/>
                      <w:highlight w:val="none"/>
                    </w:rPr>
                  </w:pPr>
                  <w:r>
                    <w:rPr>
                      <w:color w:val="auto"/>
                      <w:highlight w:val="none"/>
                    </w:rPr>
                    <w:t>形态</w:t>
                  </w:r>
                </w:p>
              </w:tc>
              <w:tc>
                <w:tcPr>
                  <w:tcW w:w="636" w:type="pct"/>
                  <w:tcBorders>
                    <w:tl2br w:val="nil"/>
                    <w:tr2bl w:val="nil"/>
                  </w:tcBorders>
                  <w:tcMar>
                    <w:top w:w="0" w:type="dxa"/>
                    <w:left w:w="28" w:type="dxa"/>
                    <w:bottom w:w="0" w:type="dxa"/>
                    <w:right w:w="28" w:type="dxa"/>
                  </w:tcMar>
                  <w:vAlign w:val="center"/>
                </w:tcPr>
                <w:p w14:paraId="3525533E">
                  <w:pPr>
                    <w:pStyle w:val="27"/>
                    <w:spacing w:line="240" w:lineRule="auto"/>
                    <w:rPr>
                      <w:rFonts w:hint="default"/>
                      <w:color w:val="auto"/>
                      <w:highlight w:val="none"/>
                    </w:rPr>
                  </w:pPr>
                  <w:r>
                    <w:rPr>
                      <w:color w:val="auto"/>
                      <w:highlight w:val="none"/>
                    </w:rPr>
                    <w:t>产生量（t/a）</w:t>
                  </w:r>
                </w:p>
              </w:tc>
              <w:tc>
                <w:tcPr>
                  <w:tcW w:w="711" w:type="pct"/>
                  <w:tcBorders>
                    <w:tl2br w:val="nil"/>
                    <w:tr2bl w:val="nil"/>
                  </w:tcBorders>
                  <w:tcMar>
                    <w:top w:w="0" w:type="dxa"/>
                    <w:left w:w="57" w:type="dxa"/>
                    <w:bottom w:w="0" w:type="dxa"/>
                    <w:right w:w="57" w:type="dxa"/>
                  </w:tcMar>
                  <w:vAlign w:val="center"/>
                </w:tcPr>
                <w:p w14:paraId="73F73A80">
                  <w:pPr>
                    <w:pStyle w:val="27"/>
                    <w:spacing w:line="240" w:lineRule="auto"/>
                    <w:rPr>
                      <w:rFonts w:hint="default"/>
                      <w:color w:val="auto"/>
                      <w:highlight w:val="none"/>
                    </w:rPr>
                  </w:pPr>
                  <w:r>
                    <w:rPr>
                      <w:color w:val="auto"/>
                      <w:highlight w:val="none"/>
                    </w:rPr>
                    <w:t>利用量（t/a）</w:t>
                  </w:r>
                </w:p>
              </w:tc>
              <w:tc>
                <w:tcPr>
                  <w:tcW w:w="502" w:type="pct"/>
                  <w:tcBorders>
                    <w:tl2br w:val="nil"/>
                    <w:tr2bl w:val="nil"/>
                  </w:tcBorders>
                  <w:tcMar>
                    <w:top w:w="0" w:type="dxa"/>
                    <w:left w:w="57" w:type="dxa"/>
                    <w:bottom w:w="0" w:type="dxa"/>
                    <w:right w:w="57" w:type="dxa"/>
                  </w:tcMar>
                  <w:vAlign w:val="center"/>
                </w:tcPr>
                <w:p w14:paraId="6E8C3D8E">
                  <w:pPr>
                    <w:pStyle w:val="27"/>
                    <w:spacing w:line="240" w:lineRule="auto"/>
                    <w:rPr>
                      <w:rFonts w:hint="default"/>
                      <w:color w:val="auto"/>
                      <w:highlight w:val="none"/>
                    </w:rPr>
                  </w:pPr>
                  <w:r>
                    <w:rPr>
                      <w:color w:val="auto"/>
                      <w:highlight w:val="none"/>
                    </w:rPr>
                    <w:t>处置量（t/a）</w:t>
                  </w:r>
                </w:p>
              </w:tc>
              <w:tc>
                <w:tcPr>
                  <w:tcW w:w="702" w:type="pct"/>
                  <w:tcBorders>
                    <w:tl2br w:val="nil"/>
                    <w:tr2bl w:val="nil"/>
                  </w:tcBorders>
                  <w:tcMar>
                    <w:top w:w="0" w:type="dxa"/>
                    <w:left w:w="57" w:type="dxa"/>
                    <w:bottom w:w="0" w:type="dxa"/>
                    <w:right w:w="57" w:type="dxa"/>
                  </w:tcMar>
                  <w:vAlign w:val="center"/>
                </w:tcPr>
                <w:p w14:paraId="15225092">
                  <w:pPr>
                    <w:pStyle w:val="27"/>
                    <w:spacing w:line="240" w:lineRule="auto"/>
                    <w:rPr>
                      <w:rFonts w:hint="default"/>
                      <w:color w:val="auto"/>
                      <w:highlight w:val="none"/>
                    </w:rPr>
                  </w:pPr>
                  <w:r>
                    <w:rPr>
                      <w:color w:val="auto"/>
                      <w:highlight w:val="none"/>
                    </w:rPr>
                    <w:t>处置方式</w:t>
                  </w:r>
                </w:p>
              </w:tc>
              <w:tc>
                <w:tcPr>
                  <w:tcW w:w="676" w:type="pct"/>
                  <w:tcBorders>
                    <w:tl2br w:val="nil"/>
                    <w:tr2bl w:val="nil"/>
                  </w:tcBorders>
                  <w:tcMar>
                    <w:top w:w="0" w:type="dxa"/>
                    <w:left w:w="57" w:type="dxa"/>
                    <w:bottom w:w="0" w:type="dxa"/>
                    <w:right w:w="57" w:type="dxa"/>
                  </w:tcMar>
                  <w:vAlign w:val="center"/>
                </w:tcPr>
                <w:p w14:paraId="6079BEBD">
                  <w:pPr>
                    <w:pStyle w:val="27"/>
                    <w:spacing w:line="240" w:lineRule="auto"/>
                    <w:rPr>
                      <w:rFonts w:hint="default"/>
                      <w:color w:val="auto"/>
                      <w:highlight w:val="none"/>
                    </w:rPr>
                  </w:pPr>
                  <w:r>
                    <w:rPr>
                      <w:color w:val="auto"/>
                      <w:highlight w:val="none"/>
                    </w:rPr>
                    <w:t>储存设施</w:t>
                  </w:r>
                </w:p>
              </w:tc>
            </w:tr>
            <w:tr w14:paraId="66D12D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4" w:type="pct"/>
                  <w:tcBorders>
                    <w:tl2br w:val="nil"/>
                    <w:tr2bl w:val="nil"/>
                  </w:tcBorders>
                  <w:tcMar>
                    <w:top w:w="0" w:type="dxa"/>
                    <w:left w:w="57" w:type="dxa"/>
                    <w:bottom w:w="0" w:type="dxa"/>
                    <w:right w:w="57" w:type="dxa"/>
                  </w:tcMar>
                  <w:vAlign w:val="center"/>
                </w:tcPr>
                <w:p w14:paraId="7A8CF23E">
                  <w:pPr>
                    <w:pStyle w:val="24"/>
                    <w:spacing w:line="240" w:lineRule="auto"/>
                    <w:rPr>
                      <w:color w:val="auto"/>
                      <w:highlight w:val="none"/>
                    </w:rPr>
                  </w:pPr>
                  <w:r>
                    <w:rPr>
                      <w:rFonts w:hint="eastAsia"/>
                      <w:color w:val="auto"/>
                      <w:highlight w:val="none"/>
                    </w:rPr>
                    <w:t>1</w:t>
                  </w:r>
                </w:p>
              </w:tc>
              <w:tc>
                <w:tcPr>
                  <w:tcW w:w="626" w:type="pct"/>
                  <w:tcBorders>
                    <w:tl2br w:val="nil"/>
                    <w:tr2bl w:val="nil"/>
                  </w:tcBorders>
                  <w:shd w:val="clear" w:color="auto" w:fill="auto"/>
                  <w:tcMar>
                    <w:top w:w="0" w:type="dxa"/>
                    <w:left w:w="57" w:type="dxa"/>
                    <w:bottom w:w="0" w:type="dxa"/>
                    <w:right w:w="57" w:type="dxa"/>
                  </w:tcMar>
                  <w:vAlign w:val="center"/>
                </w:tcPr>
                <w:p w14:paraId="0C363926">
                  <w:pPr>
                    <w:pStyle w:val="24"/>
                    <w:spacing w:line="240" w:lineRule="auto"/>
                    <w:rPr>
                      <w:color w:val="auto"/>
                      <w:highlight w:val="none"/>
                    </w:rPr>
                  </w:pPr>
                  <w:r>
                    <w:rPr>
                      <w:rFonts w:hint="eastAsia"/>
                      <w:color w:val="auto"/>
                      <w:highlight w:val="none"/>
                    </w:rPr>
                    <w:t>废劳保用品</w:t>
                  </w:r>
                </w:p>
              </w:tc>
              <w:tc>
                <w:tcPr>
                  <w:tcW w:w="554" w:type="pct"/>
                  <w:tcBorders>
                    <w:tl2br w:val="nil"/>
                    <w:tr2bl w:val="nil"/>
                  </w:tcBorders>
                  <w:shd w:val="clear" w:color="auto" w:fill="auto"/>
                  <w:tcMar>
                    <w:top w:w="0" w:type="dxa"/>
                    <w:left w:w="57" w:type="dxa"/>
                    <w:bottom w:w="0" w:type="dxa"/>
                    <w:right w:w="57" w:type="dxa"/>
                  </w:tcMar>
                  <w:vAlign w:val="center"/>
                </w:tcPr>
                <w:p w14:paraId="173B2DC4">
                  <w:pPr>
                    <w:pStyle w:val="24"/>
                    <w:spacing w:line="240" w:lineRule="auto"/>
                    <w:rPr>
                      <w:color w:val="auto"/>
                      <w:highlight w:val="none"/>
                    </w:rPr>
                  </w:pPr>
                  <w:r>
                    <w:rPr>
                      <w:rFonts w:hint="eastAsia"/>
                      <w:color w:val="auto"/>
                      <w:highlight w:val="none"/>
                    </w:rPr>
                    <w:t>危险废物收集</w:t>
                  </w:r>
                </w:p>
              </w:tc>
              <w:tc>
                <w:tcPr>
                  <w:tcW w:w="274" w:type="pct"/>
                  <w:tcBorders>
                    <w:tl2br w:val="nil"/>
                    <w:tr2bl w:val="nil"/>
                  </w:tcBorders>
                  <w:shd w:val="clear" w:color="auto" w:fill="auto"/>
                  <w:tcMar>
                    <w:top w:w="0" w:type="dxa"/>
                    <w:left w:w="57" w:type="dxa"/>
                    <w:bottom w:w="0" w:type="dxa"/>
                    <w:right w:w="57" w:type="dxa"/>
                  </w:tcMar>
                  <w:vAlign w:val="center"/>
                </w:tcPr>
                <w:p w14:paraId="54576C34">
                  <w:pPr>
                    <w:pStyle w:val="24"/>
                    <w:spacing w:line="240" w:lineRule="auto"/>
                    <w:rPr>
                      <w:color w:val="auto"/>
                      <w:highlight w:val="none"/>
                    </w:rPr>
                  </w:pPr>
                  <w:r>
                    <w:rPr>
                      <w:rFonts w:hint="eastAsia"/>
                      <w:color w:val="auto"/>
                      <w:highlight w:val="none"/>
                    </w:rPr>
                    <w:t>固态</w:t>
                  </w:r>
                </w:p>
              </w:tc>
              <w:tc>
                <w:tcPr>
                  <w:tcW w:w="636" w:type="pct"/>
                  <w:tcBorders>
                    <w:tl2br w:val="nil"/>
                    <w:tr2bl w:val="nil"/>
                  </w:tcBorders>
                  <w:shd w:val="clear" w:color="auto" w:fill="auto"/>
                  <w:tcMar>
                    <w:top w:w="0" w:type="dxa"/>
                    <w:left w:w="57" w:type="dxa"/>
                    <w:bottom w:w="0" w:type="dxa"/>
                    <w:right w:w="57" w:type="dxa"/>
                  </w:tcMar>
                  <w:vAlign w:val="center"/>
                </w:tcPr>
                <w:p w14:paraId="38DEE2FA">
                  <w:pPr>
                    <w:pStyle w:val="24"/>
                    <w:spacing w:line="240" w:lineRule="auto"/>
                    <w:rPr>
                      <w:color w:val="auto"/>
                      <w:highlight w:val="none"/>
                    </w:rPr>
                  </w:pPr>
                  <w:r>
                    <w:rPr>
                      <w:rFonts w:hint="eastAsia"/>
                      <w:color w:val="auto"/>
                      <w:highlight w:val="none"/>
                    </w:rPr>
                    <w:t>0.02</w:t>
                  </w:r>
                </w:p>
              </w:tc>
              <w:tc>
                <w:tcPr>
                  <w:tcW w:w="711" w:type="pct"/>
                  <w:tcBorders>
                    <w:tl2br w:val="nil"/>
                    <w:tr2bl w:val="nil"/>
                  </w:tcBorders>
                  <w:shd w:val="clear" w:color="auto" w:fill="auto"/>
                  <w:tcMar>
                    <w:top w:w="0" w:type="dxa"/>
                    <w:left w:w="57" w:type="dxa"/>
                    <w:bottom w:w="0" w:type="dxa"/>
                    <w:right w:w="57" w:type="dxa"/>
                  </w:tcMar>
                  <w:vAlign w:val="center"/>
                </w:tcPr>
                <w:p w14:paraId="59B673B9">
                  <w:pPr>
                    <w:pStyle w:val="24"/>
                    <w:spacing w:line="240" w:lineRule="auto"/>
                    <w:rPr>
                      <w:color w:val="auto"/>
                      <w:highlight w:val="none"/>
                    </w:rPr>
                  </w:pPr>
                  <w:r>
                    <w:rPr>
                      <w:rFonts w:hint="eastAsia"/>
                      <w:color w:val="auto"/>
                      <w:highlight w:val="none"/>
                    </w:rPr>
                    <w:t>0</w:t>
                  </w:r>
                </w:p>
              </w:tc>
              <w:tc>
                <w:tcPr>
                  <w:tcW w:w="502" w:type="pct"/>
                  <w:tcBorders>
                    <w:tl2br w:val="nil"/>
                    <w:tr2bl w:val="nil"/>
                  </w:tcBorders>
                  <w:shd w:val="clear" w:color="auto" w:fill="auto"/>
                  <w:tcMar>
                    <w:top w:w="0" w:type="dxa"/>
                    <w:left w:w="57" w:type="dxa"/>
                    <w:bottom w:w="0" w:type="dxa"/>
                    <w:right w:w="57" w:type="dxa"/>
                  </w:tcMar>
                  <w:vAlign w:val="center"/>
                </w:tcPr>
                <w:p w14:paraId="4782776B">
                  <w:pPr>
                    <w:pStyle w:val="24"/>
                    <w:spacing w:line="240" w:lineRule="auto"/>
                    <w:rPr>
                      <w:color w:val="auto"/>
                      <w:highlight w:val="none"/>
                    </w:rPr>
                  </w:pPr>
                  <w:r>
                    <w:rPr>
                      <w:rFonts w:hint="eastAsia"/>
                      <w:color w:val="auto"/>
                      <w:highlight w:val="none"/>
                    </w:rPr>
                    <w:t>0.02</w:t>
                  </w:r>
                </w:p>
              </w:tc>
              <w:tc>
                <w:tcPr>
                  <w:tcW w:w="702" w:type="pct"/>
                  <w:tcBorders>
                    <w:tl2br w:val="nil"/>
                    <w:tr2bl w:val="nil"/>
                  </w:tcBorders>
                  <w:tcMar>
                    <w:top w:w="0" w:type="dxa"/>
                    <w:left w:w="57" w:type="dxa"/>
                    <w:bottom w:w="0" w:type="dxa"/>
                    <w:right w:w="57" w:type="dxa"/>
                  </w:tcMar>
                  <w:vAlign w:val="center"/>
                </w:tcPr>
                <w:p w14:paraId="732C1D55">
                  <w:pPr>
                    <w:pStyle w:val="24"/>
                    <w:spacing w:line="240" w:lineRule="auto"/>
                    <w:rPr>
                      <w:color w:val="auto"/>
                      <w:highlight w:val="none"/>
                    </w:rPr>
                  </w:pPr>
                  <w:r>
                    <w:rPr>
                      <w:rFonts w:hint="eastAsia"/>
                      <w:color w:val="auto"/>
                      <w:highlight w:val="none"/>
                    </w:rPr>
                    <w:t>委托有资质单位处置</w:t>
                  </w:r>
                </w:p>
              </w:tc>
              <w:tc>
                <w:tcPr>
                  <w:tcW w:w="676" w:type="pct"/>
                  <w:tcBorders>
                    <w:tl2br w:val="nil"/>
                    <w:tr2bl w:val="nil"/>
                  </w:tcBorders>
                  <w:tcMar>
                    <w:top w:w="0" w:type="dxa"/>
                    <w:left w:w="57" w:type="dxa"/>
                    <w:bottom w:w="0" w:type="dxa"/>
                    <w:right w:w="57" w:type="dxa"/>
                  </w:tcMar>
                  <w:vAlign w:val="center"/>
                </w:tcPr>
                <w:p w14:paraId="7E6E416F">
                  <w:pPr>
                    <w:pStyle w:val="24"/>
                    <w:spacing w:line="240" w:lineRule="auto"/>
                    <w:rPr>
                      <w:color w:val="auto"/>
                      <w:highlight w:val="none"/>
                    </w:rPr>
                  </w:pPr>
                  <w:r>
                    <w:rPr>
                      <w:rFonts w:hint="eastAsia"/>
                      <w:color w:val="auto"/>
                      <w:highlight w:val="none"/>
                    </w:rPr>
                    <w:t>危险废物贮存点</w:t>
                  </w:r>
                </w:p>
              </w:tc>
            </w:tr>
          </w:tbl>
          <w:p w14:paraId="6043263B">
            <w:pPr>
              <w:bidi w:val="0"/>
              <w:rPr>
                <w:rFonts w:hint="eastAsia"/>
                <w:color w:val="auto"/>
                <w:highlight w:val="none"/>
              </w:rPr>
            </w:pPr>
            <w:r>
              <w:rPr>
                <w:rFonts w:hint="eastAsia"/>
                <w:color w:val="auto"/>
                <w:highlight w:val="none"/>
              </w:rPr>
              <w:t>根据《国家危险废物名录》（2025年版）（环境保护部令第36号），判定固体废物是否属于危险废物，具体判定结果见下表。</w:t>
            </w:r>
          </w:p>
          <w:p w14:paraId="3B358250">
            <w:pPr>
              <w:bidi w:val="0"/>
              <w:rPr>
                <w:rFonts w:hint="eastAsia"/>
                <w:color w:val="auto"/>
                <w:highlight w:val="none"/>
              </w:rPr>
            </w:pPr>
          </w:p>
          <w:p w14:paraId="1EFA5A65">
            <w:pPr>
              <w:bidi w:val="0"/>
              <w:rPr>
                <w:rFonts w:hint="eastAsia"/>
                <w:color w:val="auto"/>
                <w:highlight w:val="none"/>
              </w:rPr>
            </w:pPr>
          </w:p>
          <w:p w14:paraId="5631DF33">
            <w:pPr>
              <w:pStyle w:val="25"/>
              <w:bidi w:val="0"/>
              <w:rPr>
                <w:color w:val="auto"/>
                <w:highlight w:val="none"/>
              </w:rPr>
            </w:pPr>
            <w:r>
              <w:rPr>
                <w:rFonts w:hint="eastAsia"/>
                <w:color w:val="auto"/>
                <w:highlight w:val="none"/>
              </w:rPr>
              <w:t>本项目固废产生及处理处置情况一览表</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9"/>
              <w:gridCol w:w="1844"/>
              <w:gridCol w:w="1860"/>
              <w:gridCol w:w="1954"/>
              <w:gridCol w:w="1576"/>
            </w:tblGrid>
            <w:tr w14:paraId="4A4D58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4" w:type="pct"/>
                  <w:tcBorders>
                    <w:tl2br w:val="nil"/>
                    <w:tr2bl w:val="nil"/>
                  </w:tcBorders>
                  <w:tcMar>
                    <w:top w:w="0" w:type="dxa"/>
                    <w:left w:w="57" w:type="dxa"/>
                    <w:bottom w:w="0" w:type="dxa"/>
                    <w:right w:w="57" w:type="dxa"/>
                  </w:tcMar>
                  <w:vAlign w:val="center"/>
                </w:tcPr>
                <w:p w14:paraId="524C8A0F">
                  <w:pPr>
                    <w:pStyle w:val="27"/>
                    <w:spacing w:line="240" w:lineRule="auto"/>
                    <w:rPr>
                      <w:rFonts w:hint="default"/>
                      <w:color w:val="auto"/>
                      <w:highlight w:val="none"/>
                    </w:rPr>
                  </w:pPr>
                  <w:r>
                    <w:rPr>
                      <w:color w:val="auto"/>
                      <w:highlight w:val="none"/>
                    </w:rPr>
                    <w:t>序号</w:t>
                  </w:r>
                </w:p>
              </w:tc>
              <w:tc>
                <w:tcPr>
                  <w:tcW w:w="1107" w:type="pct"/>
                  <w:tcBorders>
                    <w:tl2br w:val="nil"/>
                    <w:tr2bl w:val="nil"/>
                  </w:tcBorders>
                  <w:tcMar>
                    <w:top w:w="0" w:type="dxa"/>
                    <w:left w:w="57" w:type="dxa"/>
                    <w:bottom w:w="0" w:type="dxa"/>
                    <w:right w:w="57" w:type="dxa"/>
                  </w:tcMar>
                  <w:vAlign w:val="center"/>
                </w:tcPr>
                <w:p w14:paraId="5D594CD2">
                  <w:pPr>
                    <w:pStyle w:val="27"/>
                    <w:spacing w:line="240" w:lineRule="auto"/>
                    <w:rPr>
                      <w:rFonts w:hint="default"/>
                      <w:color w:val="auto"/>
                      <w:highlight w:val="none"/>
                    </w:rPr>
                  </w:pPr>
                  <w:r>
                    <w:rPr>
                      <w:color w:val="auto"/>
                      <w:highlight w:val="none"/>
                    </w:rPr>
                    <w:t>固废名称</w:t>
                  </w:r>
                </w:p>
              </w:tc>
              <w:tc>
                <w:tcPr>
                  <w:tcW w:w="1117" w:type="pct"/>
                  <w:tcBorders>
                    <w:tl2br w:val="nil"/>
                    <w:tr2bl w:val="nil"/>
                  </w:tcBorders>
                  <w:tcMar>
                    <w:top w:w="0" w:type="dxa"/>
                    <w:left w:w="57" w:type="dxa"/>
                    <w:bottom w:w="0" w:type="dxa"/>
                    <w:right w:w="57" w:type="dxa"/>
                  </w:tcMar>
                  <w:vAlign w:val="center"/>
                </w:tcPr>
                <w:p w14:paraId="45E4F94B">
                  <w:pPr>
                    <w:pStyle w:val="27"/>
                    <w:spacing w:line="240" w:lineRule="auto"/>
                    <w:rPr>
                      <w:rFonts w:hint="default"/>
                      <w:color w:val="auto"/>
                      <w:highlight w:val="none"/>
                    </w:rPr>
                  </w:pPr>
                  <w:r>
                    <w:rPr>
                      <w:color w:val="auto"/>
                      <w:highlight w:val="none"/>
                    </w:rPr>
                    <w:t>产生工序</w:t>
                  </w:r>
                </w:p>
              </w:tc>
              <w:tc>
                <w:tcPr>
                  <w:tcW w:w="1173" w:type="pct"/>
                  <w:tcBorders>
                    <w:tl2br w:val="nil"/>
                    <w:tr2bl w:val="nil"/>
                  </w:tcBorders>
                  <w:tcMar>
                    <w:top w:w="0" w:type="dxa"/>
                    <w:left w:w="57" w:type="dxa"/>
                    <w:bottom w:w="0" w:type="dxa"/>
                    <w:right w:w="57" w:type="dxa"/>
                  </w:tcMar>
                  <w:vAlign w:val="center"/>
                </w:tcPr>
                <w:p w14:paraId="7C3C8663">
                  <w:pPr>
                    <w:pStyle w:val="27"/>
                    <w:spacing w:line="240" w:lineRule="auto"/>
                    <w:rPr>
                      <w:rFonts w:hint="default"/>
                      <w:color w:val="auto"/>
                      <w:highlight w:val="none"/>
                    </w:rPr>
                  </w:pPr>
                  <w:r>
                    <w:rPr>
                      <w:color w:val="auto"/>
                      <w:highlight w:val="none"/>
                    </w:rPr>
                    <w:t>是否属于危险废物</w:t>
                  </w:r>
                </w:p>
              </w:tc>
              <w:tc>
                <w:tcPr>
                  <w:tcW w:w="946" w:type="pct"/>
                  <w:tcBorders>
                    <w:tl2br w:val="nil"/>
                    <w:tr2bl w:val="nil"/>
                  </w:tcBorders>
                  <w:tcMar>
                    <w:top w:w="0" w:type="dxa"/>
                    <w:left w:w="28" w:type="dxa"/>
                    <w:bottom w:w="0" w:type="dxa"/>
                    <w:right w:w="28" w:type="dxa"/>
                  </w:tcMar>
                  <w:vAlign w:val="center"/>
                </w:tcPr>
                <w:p w14:paraId="38FC837E">
                  <w:pPr>
                    <w:pStyle w:val="27"/>
                    <w:spacing w:line="240" w:lineRule="auto"/>
                    <w:rPr>
                      <w:rFonts w:hint="default"/>
                      <w:color w:val="auto"/>
                      <w:highlight w:val="none"/>
                    </w:rPr>
                  </w:pPr>
                  <w:r>
                    <w:rPr>
                      <w:color w:val="auto"/>
                      <w:highlight w:val="none"/>
                    </w:rPr>
                    <w:t>废物类别</w:t>
                  </w:r>
                </w:p>
              </w:tc>
            </w:tr>
            <w:tr w14:paraId="3E8CB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4" w:type="pct"/>
                  <w:tcBorders>
                    <w:tl2br w:val="nil"/>
                    <w:tr2bl w:val="nil"/>
                  </w:tcBorders>
                  <w:tcMar>
                    <w:top w:w="0" w:type="dxa"/>
                    <w:left w:w="57" w:type="dxa"/>
                    <w:bottom w:w="0" w:type="dxa"/>
                    <w:right w:w="57" w:type="dxa"/>
                  </w:tcMar>
                  <w:vAlign w:val="center"/>
                </w:tcPr>
                <w:p w14:paraId="144D185D">
                  <w:pPr>
                    <w:pStyle w:val="24"/>
                    <w:spacing w:line="240" w:lineRule="auto"/>
                    <w:rPr>
                      <w:color w:val="auto"/>
                      <w:highlight w:val="none"/>
                    </w:rPr>
                  </w:pPr>
                  <w:r>
                    <w:rPr>
                      <w:rFonts w:hint="eastAsia"/>
                      <w:color w:val="auto"/>
                      <w:highlight w:val="none"/>
                    </w:rPr>
                    <w:t>1</w:t>
                  </w:r>
                </w:p>
              </w:tc>
              <w:tc>
                <w:tcPr>
                  <w:tcW w:w="1107" w:type="pct"/>
                  <w:tcBorders>
                    <w:tl2br w:val="nil"/>
                    <w:tr2bl w:val="nil"/>
                  </w:tcBorders>
                  <w:shd w:val="clear" w:color="auto" w:fill="auto"/>
                  <w:tcMar>
                    <w:top w:w="0" w:type="dxa"/>
                    <w:left w:w="57" w:type="dxa"/>
                    <w:bottom w:w="0" w:type="dxa"/>
                    <w:right w:w="57" w:type="dxa"/>
                  </w:tcMar>
                  <w:vAlign w:val="center"/>
                </w:tcPr>
                <w:p w14:paraId="6CAC6A65">
                  <w:pPr>
                    <w:pStyle w:val="24"/>
                    <w:spacing w:line="240" w:lineRule="auto"/>
                    <w:rPr>
                      <w:color w:val="auto"/>
                      <w:highlight w:val="none"/>
                    </w:rPr>
                  </w:pPr>
                  <w:r>
                    <w:rPr>
                      <w:rFonts w:hint="eastAsia"/>
                      <w:color w:val="auto"/>
                      <w:highlight w:val="none"/>
                    </w:rPr>
                    <w:t>废劳保用品</w:t>
                  </w:r>
                </w:p>
              </w:tc>
              <w:tc>
                <w:tcPr>
                  <w:tcW w:w="1117" w:type="pct"/>
                  <w:tcBorders>
                    <w:tl2br w:val="nil"/>
                    <w:tr2bl w:val="nil"/>
                  </w:tcBorders>
                  <w:shd w:val="clear" w:color="auto" w:fill="auto"/>
                  <w:tcMar>
                    <w:top w:w="0" w:type="dxa"/>
                    <w:left w:w="57" w:type="dxa"/>
                    <w:bottom w:w="0" w:type="dxa"/>
                    <w:right w:w="57" w:type="dxa"/>
                  </w:tcMar>
                  <w:vAlign w:val="center"/>
                </w:tcPr>
                <w:p w14:paraId="2D7A90E4">
                  <w:pPr>
                    <w:pStyle w:val="24"/>
                    <w:spacing w:line="240" w:lineRule="auto"/>
                    <w:rPr>
                      <w:color w:val="auto"/>
                      <w:highlight w:val="none"/>
                    </w:rPr>
                  </w:pPr>
                  <w:r>
                    <w:rPr>
                      <w:rFonts w:hint="eastAsia"/>
                      <w:color w:val="auto"/>
                      <w:highlight w:val="none"/>
                    </w:rPr>
                    <w:t>危险废物收集</w:t>
                  </w:r>
                </w:p>
              </w:tc>
              <w:tc>
                <w:tcPr>
                  <w:tcW w:w="1173" w:type="pct"/>
                  <w:tcBorders>
                    <w:tl2br w:val="nil"/>
                    <w:tr2bl w:val="nil"/>
                  </w:tcBorders>
                  <w:shd w:val="clear" w:color="auto" w:fill="auto"/>
                  <w:tcMar>
                    <w:top w:w="0" w:type="dxa"/>
                    <w:left w:w="57" w:type="dxa"/>
                    <w:bottom w:w="0" w:type="dxa"/>
                    <w:right w:w="57" w:type="dxa"/>
                  </w:tcMar>
                  <w:vAlign w:val="center"/>
                </w:tcPr>
                <w:p w14:paraId="52153964">
                  <w:pPr>
                    <w:pStyle w:val="24"/>
                    <w:spacing w:line="240" w:lineRule="auto"/>
                    <w:rPr>
                      <w:color w:val="auto"/>
                      <w:highlight w:val="none"/>
                    </w:rPr>
                  </w:pPr>
                  <w:r>
                    <w:rPr>
                      <w:rFonts w:hint="eastAsia"/>
                      <w:color w:val="auto"/>
                      <w:highlight w:val="none"/>
                    </w:rPr>
                    <w:t>是</w:t>
                  </w:r>
                </w:p>
              </w:tc>
              <w:tc>
                <w:tcPr>
                  <w:tcW w:w="946" w:type="pct"/>
                  <w:tcBorders>
                    <w:tl2br w:val="nil"/>
                    <w:tr2bl w:val="nil"/>
                  </w:tcBorders>
                  <w:shd w:val="clear" w:color="auto" w:fill="auto"/>
                  <w:tcMar>
                    <w:top w:w="0" w:type="dxa"/>
                    <w:left w:w="57" w:type="dxa"/>
                    <w:bottom w:w="0" w:type="dxa"/>
                    <w:right w:w="57" w:type="dxa"/>
                  </w:tcMar>
                  <w:vAlign w:val="center"/>
                </w:tcPr>
                <w:p w14:paraId="1347A4DF">
                  <w:pPr>
                    <w:pStyle w:val="24"/>
                    <w:spacing w:line="240" w:lineRule="auto"/>
                    <w:rPr>
                      <w:color w:val="auto"/>
                      <w:highlight w:val="none"/>
                    </w:rPr>
                  </w:pPr>
                  <w:r>
                    <w:rPr>
                      <w:color w:val="auto"/>
                      <w:highlight w:val="none"/>
                    </w:rPr>
                    <w:t>HW49</w:t>
                  </w:r>
                </w:p>
              </w:tc>
            </w:tr>
          </w:tbl>
          <w:p w14:paraId="372C7122">
            <w:pPr>
              <w:bidi w:val="0"/>
              <w:rPr>
                <w:color w:val="auto"/>
                <w:highlight w:val="none"/>
              </w:rPr>
            </w:pPr>
            <w:r>
              <w:rPr>
                <w:rFonts w:hint="eastAsia"/>
                <w:color w:val="auto"/>
                <w:highlight w:val="none"/>
              </w:rPr>
              <w:t>根据《建设项目危险废物环境影响评价指南》（环境保护部公告</w:t>
            </w:r>
            <w:r>
              <w:rPr>
                <w:rFonts w:hint="eastAsia"/>
                <w:color w:val="auto"/>
                <w:highlight w:val="none"/>
                <w:lang w:eastAsia="zh-CN"/>
              </w:rPr>
              <w:t>〔2017〕43号</w:t>
            </w:r>
            <w:r>
              <w:rPr>
                <w:rFonts w:hint="eastAsia"/>
                <w:color w:val="auto"/>
                <w:highlight w:val="none"/>
              </w:rPr>
              <w:t>）的要求，本项目危废汇总表见下表。</w:t>
            </w:r>
          </w:p>
          <w:p w14:paraId="3EFD00FD">
            <w:pPr>
              <w:pStyle w:val="25"/>
              <w:bidi w:val="0"/>
              <w:rPr>
                <w:color w:val="auto"/>
                <w:highlight w:val="none"/>
              </w:rPr>
            </w:pPr>
            <w:r>
              <w:rPr>
                <w:rFonts w:hint="eastAsia"/>
                <w:color w:val="auto"/>
                <w:highlight w:val="none"/>
              </w:rPr>
              <w:t>本项目固废产生及处理处置情况一览表</w:t>
            </w:r>
          </w:p>
          <w:tbl>
            <w:tblPr>
              <w:tblStyle w:val="16"/>
              <w:tblW w:w="499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5"/>
              <w:gridCol w:w="630"/>
              <w:gridCol w:w="725"/>
              <w:gridCol w:w="1094"/>
              <w:gridCol w:w="482"/>
              <w:gridCol w:w="452"/>
              <w:gridCol w:w="848"/>
              <w:gridCol w:w="549"/>
              <w:gridCol w:w="534"/>
              <w:gridCol w:w="454"/>
              <w:gridCol w:w="477"/>
              <w:gridCol w:w="1748"/>
            </w:tblGrid>
            <w:tr w14:paraId="49E90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2" w:type="pct"/>
                  <w:tcBorders>
                    <w:tl2br w:val="nil"/>
                    <w:tr2bl w:val="nil"/>
                  </w:tcBorders>
                  <w:tcMar>
                    <w:top w:w="0" w:type="dxa"/>
                    <w:left w:w="57" w:type="dxa"/>
                    <w:bottom w:w="0" w:type="dxa"/>
                    <w:right w:w="57" w:type="dxa"/>
                  </w:tcMar>
                  <w:vAlign w:val="center"/>
                </w:tcPr>
                <w:p w14:paraId="0B1BC95F">
                  <w:pPr>
                    <w:pStyle w:val="27"/>
                    <w:spacing w:line="240" w:lineRule="auto"/>
                    <w:rPr>
                      <w:rFonts w:hint="default"/>
                      <w:color w:val="auto"/>
                      <w:highlight w:val="none"/>
                    </w:rPr>
                  </w:pPr>
                  <w:r>
                    <w:rPr>
                      <w:color w:val="auto"/>
                      <w:highlight w:val="none"/>
                    </w:rPr>
                    <w:t>序号</w:t>
                  </w:r>
                </w:p>
              </w:tc>
              <w:tc>
                <w:tcPr>
                  <w:tcW w:w="409" w:type="pct"/>
                  <w:tcBorders>
                    <w:tl2br w:val="nil"/>
                    <w:tr2bl w:val="nil"/>
                  </w:tcBorders>
                  <w:tcMar>
                    <w:top w:w="0" w:type="dxa"/>
                    <w:left w:w="57" w:type="dxa"/>
                    <w:bottom w:w="0" w:type="dxa"/>
                    <w:right w:w="57" w:type="dxa"/>
                  </w:tcMar>
                  <w:vAlign w:val="center"/>
                </w:tcPr>
                <w:p w14:paraId="440904B9">
                  <w:pPr>
                    <w:pStyle w:val="27"/>
                    <w:spacing w:line="240" w:lineRule="auto"/>
                    <w:rPr>
                      <w:rFonts w:hint="default"/>
                      <w:color w:val="auto"/>
                      <w:highlight w:val="none"/>
                    </w:rPr>
                  </w:pPr>
                  <w:r>
                    <w:rPr>
                      <w:color w:val="auto"/>
                      <w:highlight w:val="none"/>
                    </w:rPr>
                    <w:t>危险废物名称</w:t>
                  </w:r>
                </w:p>
              </w:tc>
              <w:tc>
                <w:tcPr>
                  <w:tcW w:w="466" w:type="pct"/>
                  <w:tcBorders>
                    <w:tl2br w:val="nil"/>
                    <w:tr2bl w:val="nil"/>
                  </w:tcBorders>
                  <w:tcMar>
                    <w:top w:w="0" w:type="dxa"/>
                    <w:left w:w="57" w:type="dxa"/>
                    <w:bottom w:w="0" w:type="dxa"/>
                    <w:right w:w="57" w:type="dxa"/>
                  </w:tcMar>
                  <w:vAlign w:val="center"/>
                </w:tcPr>
                <w:p w14:paraId="2907046D">
                  <w:pPr>
                    <w:pStyle w:val="27"/>
                    <w:spacing w:line="240" w:lineRule="auto"/>
                    <w:rPr>
                      <w:rFonts w:hint="default"/>
                      <w:color w:val="auto"/>
                      <w:highlight w:val="none"/>
                    </w:rPr>
                  </w:pPr>
                  <w:r>
                    <w:rPr>
                      <w:color w:val="auto"/>
                      <w:highlight w:val="none"/>
                    </w:rPr>
                    <w:t>危险废物类别</w:t>
                  </w:r>
                </w:p>
              </w:tc>
              <w:tc>
                <w:tcPr>
                  <w:tcW w:w="385" w:type="pct"/>
                  <w:tcBorders>
                    <w:tl2br w:val="nil"/>
                    <w:tr2bl w:val="nil"/>
                  </w:tcBorders>
                  <w:tcMar>
                    <w:top w:w="0" w:type="dxa"/>
                    <w:left w:w="57" w:type="dxa"/>
                    <w:bottom w:w="0" w:type="dxa"/>
                    <w:right w:w="57" w:type="dxa"/>
                  </w:tcMar>
                  <w:vAlign w:val="center"/>
                </w:tcPr>
                <w:p w14:paraId="0D418D90">
                  <w:pPr>
                    <w:pStyle w:val="27"/>
                    <w:spacing w:line="240" w:lineRule="auto"/>
                    <w:rPr>
                      <w:rFonts w:hint="default"/>
                      <w:color w:val="auto"/>
                      <w:highlight w:val="none"/>
                    </w:rPr>
                  </w:pPr>
                  <w:r>
                    <w:rPr>
                      <w:color w:val="auto"/>
                      <w:highlight w:val="none"/>
                    </w:rPr>
                    <w:t>危险废物代码</w:t>
                  </w:r>
                </w:p>
              </w:tc>
              <w:tc>
                <w:tcPr>
                  <w:tcW w:w="311" w:type="pct"/>
                  <w:tcBorders>
                    <w:tl2br w:val="nil"/>
                    <w:tr2bl w:val="nil"/>
                  </w:tcBorders>
                  <w:tcMar>
                    <w:top w:w="0" w:type="dxa"/>
                    <w:left w:w="28" w:type="dxa"/>
                    <w:bottom w:w="0" w:type="dxa"/>
                    <w:right w:w="28" w:type="dxa"/>
                  </w:tcMar>
                  <w:vAlign w:val="center"/>
                </w:tcPr>
                <w:p w14:paraId="26E07720">
                  <w:pPr>
                    <w:pStyle w:val="27"/>
                    <w:spacing w:line="240" w:lineRule="auto"/>
                    <w:rPr>
                      <w:rFonts w:hint="default"/>
                      <w:color w:val="auto"/>
                      <w:highlight w:val="none"/>
                    </w:rPr>
                  </w:pPr>
                  <w:r>
                    <w:rPr>
                      <w:color w:val="auto"/>
                      <w:highlight w:val="none"/>
                    </w:rPr>
                    <w:t>产生量t/a</w:t>
                  </w:r>
                </w:p>
              </w:tc>
              <w:tc>
                <w:tcPr>
                  <w:tcW w:w="311" w:type="pct"/>
                  <w:tcBorders>
                    <w:tl2br w:val="nil"/>
                    <w:tr2bl w:val="nil"/>
                  </w:tcBorders>
                  <w:tcMar>
                    <w:top w:w="0" w:type="dxa"/>
                    <w:left w:w="28" w:type="dxa"/>
                    <w:bottom w:w="0" w:type="dxa"/>
                    <w:right w:w="28" w:type="dxa"/>
                  </w:tcMar>
                  <w:vAlign w:val="center"/>
                </w:tcPr>
                <w:p w14:paraId="0C46C7BE">
                  <w:pPr>
                    <w:pStyle w:val="27"/>
                    <w:spacing w:line="240" w:lineRule="auto"/>
                    <w:rPr>
                      <w:rFonts w:hint="default"/>
                      <w:color w:val="auto"/>
                      <w:highlight w:val="none"/>
                    </w:rPr>
                  </w:pPr>
                  <w:r>
                    <w:rPr>
                      <w:color w:val="auto"/>
                      <w:highlight w:val="none"/>
                    </w:rPr>
                    <w:t>暂存周期</w:t>
                  </w:r>
                </w:p>
              </w:tc>
              <w:tc>
                <w:tcPr>
                  <w:tcW w:w="540" w:type="pct"/>
                  <w:tcBorders>
                    <w:tl2br w:val="nil"/>
                    <w:tr2bl w:val="nil"/>
                  </w:tcBorders>
                  <w:tcMar>
                    <w:top w:w="0" w:type="dxa"/>
                    <w:left w:w="28" w:type="dxa"/>
                    <w:bottom w:w="0" w:type="dxa"/>
                    <w:right w:w="28" w:type="dxa"/>
                  </w:tcMar>
                  <w:vAlign w:val="center"/>
                </w:tcPr>
                <w:p w14:paraId="12697195">
                  <w:pPr>
                    <w:pStyle w:val="27"/>
                    <w:spacing w:line="240" w:lineRule="auto"/>
                    <w:rPr>
                      <w:rFonts w:hint="default"/>
                      <w:color w:val="auto"/>
                      <w:highlight w:val="none"/>
                    </w:rPr>
                  </w:pPr>
                  <w:r>
                    <w:rPr>
                      <w:color w:val="auto"/>
                      <w:highlight w:val="none"/>
                    </w:rPr>
                    <w:t>产生工序及装置</w:t>
                  </w:r>
                </w:p>
              </w:tc>
              <w:tc>
                <w:tcPr>
                  <w:tcW w:w="360" w:type="pct"/>
                  <w:tcBorders>
                    <w:tl2br w:val="nil"/>
                    <w:tr2bl w:val="nil"/>
                  </w:tcBorders>
                  <w:tcMar>
                    <w:top w:w="0" w:type="dxa"/>
                    <w:left w:w="28" w:type="dxa"/>
                    <w:bottom w:w="0" w:type="dxa"/>
                    <w:right w:w="28" w:type="dxa"/>
                  </w:tcMar>
                  <w:vAlign w:val="center"/>
                </w:tcPr>
                <w:p w14:paraId="72372563">
                  <w:pPr>
                    <w:pStyle w:val="27"/>
                    <w:spacing w:line="240" w:lineRule="auto"/>
                    <w:rPr>
                      <w:rFonts w:hint="default"/>
                      <w:color w:val="auto"/>
                      <w:highlight w:val="none"/>
                    </w:rPr>
                  </w:pPr>
                  <w:r>
                    <w:rPr>
                      <w:color w:val="auto"/>
                      <w:highlight w:val="none"/>
                    </w:rPr>
                    <w:t>形态</w:t>
                  </w:r>
                </w:p>
              </w:tc>
              <w:tc>
                <w:tcPr>
                  <w:tcW w:w="335" w:type="pct"/>
                  <w:tcBorders>
                    <w:tl2br w:val="nil"/>
                    <w:tr2bl w:val="nil"/>
                  </w:tcBorders>
                  <w:tcMar>
                    <w:top w:w="0" w:type="dxa"/>
                    <w:left w:w="28" w:type="dxa"/>
                    <w:bottom w:w="0" w:type="dxa"/>
                    <w:right w:w="28" w:type="dxa"/>
                  </w:tcMar>
                  <w:vAlign w:val="center"/>
                </w:tcPr>
                <w:p w14:paraId="48A23303">
                  <w:pPr>
                    <w:pStyle w:val="27"/>
                    <w:spacing w:line="240" w:lineRule="auto"/>
                    <w:rPr>
                      <w:rFonts w:hint="default"/>
                      <w:color w:val="auto"/>
                      <w:highlight w:val="none"/>
                    </w:rPr>
                  </w:pPr>
                  <w:r>
                    <w:rPr>
                      <w:color w:val="auto"/>
                      <w:highlight w:val="none"/>
                    </w:rPr>
                    <w:t>主要成分</w:t>
                  </w:r>
                </w:p>
              </w:tc>
              <w:tc>
                <w:tcPr>
                  <w:tcW w:w="319" w:type="pct"/>
                  <w:tcBorders>
                    <w:tl2br w:val="nil"/>
                    <w:tr2bl w:val="nil"/>
                  </w:tcBorders>
                  <w:tcMar>
                    <w:top w:w="0" w:type="dxa"/>
                    <w:left w:w="28" w:type="dxa"/>
                    <w:bottom w:w="0" w:type="dxa"/>
                    <w:right w:w="28" w:type="dxa"/>
                  </w:tcMar>
                  <w:vAlign w:val="center"/>
                </w:tcPr>
                <w:p w14:paraId="118BD13C">
                  <w:pPr>
                    <w:pStyle w:val="27"/>
                    <w:spacing w:line="240" w:lineRule="auto"/>
                    <w:rPr>
                      <w:rFonts w:hint="default"/>
                      <w:color w:val="auto"/>
                      <w:highlight w:val="none"/>
                    </w:rPr>
                  </w:pPr>
                  <w:r>
                    <w:rPr>
                      <w:color w:val="auto"/>
                      <w:highlight w:val="none"/>
                    </w:rPr>
                    <w:t>有害成分</w:t>
                  </w:r>
                </w:p>
              </w:tc>
              <w:tc>
                <w:tcPr>
                  <w:tcW w:w="294" w:type="pct"/>
                  <w:tcBorders>
                    <w:tl2br w:val="nil"/>
                    <w:tr2bl w:val="nil"/>
                  </w:tcBorders>
                  <w:tcMar>
                    <w:top w:w="0" w:type="dxa"/>
                    <w:left w:w="28" w:type="dxa"/>
                    <w:bottom w:w="0" w:type="dxa"/>
                    <w:right w:w="28" w:type="dxa"/>
                  </w:tcMar>
                  <w:vAlign w:val="center"/>
                </w:tcPr>
                <w:p w14:paraId="3BE6A7CA">
                  <w:pPr>
                    <w:pStyle w:val="27"/>
                    <w:spacing w:line="240" w:lineRule="auto"/>
                    <w:rPr>
                      <w:rFonts w:hint="default"/>
                      <w:color w:val="auto"/>
                      <w:highlight w:val="none"/>
                    </w:rPr>
                  </w:pPr>
                  <w:r>
                    <w:rPr>
                      <w:color w:val="auto"/>
                      <w:highlight w:val="none"/>
                    </w:rPr>
                    <w:t>危险特性</w:t>
                  </w:r>
                </w:p>
              </w:tc>
              <w:tc>
                <w:tcPr>
                  <w:tcW w:w="1102" w:type="pct"/>
                  <w:tcBorders>
                    <w:tl2br w:val="nil"/>
                    <w:tr2bl w:val="nil"/>
                  </w:tcBorders>
                  <w:tcMar>
                    <w:top w:w="0" w:type="dxa"/>
                    <w:left w:w="28" w:type="dxa"/>
                    <w:bottom w:w="0" w:type="dxa"/>
                    <w:right w:w="28" w:type="dxa"/>
                  </w:tcMar>
                  <w:vAlign w:val="center"/>
                </w:tcPr>
                <w:p w14:paraId="1ABFC4AE">
                  <w:pPr>
                    <w:pStyle w:val="27"/>
                    <w:spacing w:line="240" w:lineRule="auto"/>
                    <w:rPr>
                      <w:rFonts w:hint="default"/>
                      <w:color w:val="auto"/>
                      <w:highlight w:val="none"/>
                    </w:rPr>
                  </w:pPr>
                  <w:r>
                    <w:rPr>
                      <w:color w:val="auto"/>
                      <w:highlight w:val="none"/>
                    </w:rPr>
                    <w:t>污染防治措施</w:t>
                  </w:r>
                </w:p>
              </w:tc>
            </w:tr>
            <w:tr w14:paraId="2149ED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2" w:type="pct"/>
                  <w:tcBorders>
                    <w:tl2br w:val="nil"/>
                    <w:tr2bl w:val="nil"/>
                  </w:tcBorders>
                  <w:tcMar>
                    <w:top w:w="0" w:type="dxa"/>
                    <w:left w:w="57" w:type="dxa"/>
                    <w:bottom w:w="0" w:type="dxa"/>
                    <w:right w:w="57" w:type="dxa"/>
                  </w:tcMar>
                  <w:vAlign w:val="center"/>
                </w:tcPr>
                <w:p w14:paraId="0BE2CCB9">
                  <w:pPr>
                    <w:pStyle w:val="24"/>
                    <w:spacing w:line="240" w:lineRule="auto"/>
                    <w:rPr>
                      <w:color w:val="auto"/>
                      <w:highlight w:val="none"/>
                    </w:rPr>
                  </w:pPr>
                  <w:r>
                    <w:rPr>
                      <w:rFonts w:hint="eastAsia"/>
                      <w:color w:val="auto"/>
                      <w:highlight w:val="none"/>
                    </w:rPr>
                    <w:t>1</w:t>
                  </w:r>
                </w:p>
              </w:tc>
              <w:tc>
                <w:tcPr>
                  <w:tcW w:w="409" w:type="pct"/>
                  <w:tcBorders>
                    <w:tl2br w:val="nil"/>
                    <w:tr2bl w:val="nil"/>
                  </w:tcBorders>
                  <w:shd w:val="clear" w:color="auto" w:fill="auto"/>
                  <w:tcMar>
                    <w:top w:w="0" w:type="dxa"/>
                    <w:left w:w="57" w:type="dxa"/>
                    <w:bottom w:w="0" w:type="dxa"/>
                    <w:right w:w="57" w:type="dxa"/>
                  </w:tcMar>
                  <w:vAlign w:val="center"/>
                </w:tcPr>
                <w:p w14:paraId="16D487B6">
                  <w:pPr>
                    <w:pStyle w:val="24"/>
                    <w:spacing w:line="240" w:lineRule="auto"/>
                    <w:rPr>
                      <w:color w:val="auto"/>
                      <w:highlight w:val="none"/>
                    </w:rPr>
                  </w:pPr>
                  <w:r>
                    <w:rPr>
                      <w:rFonts w:hint="eastAsia"/>
                      <w:color w:val="auto"/>
                      <w:highlight w:val="none"/>
                    </w:rPr>
                    <w:t>废劳保用品</w:t>
                  </w:r>
                </w:p>
              </w:tc>
              <w:tc>
                <w:tcPr>
                  <w:tcW w:w="466" w:type="pct"/>
                  <w:tcBorders>
                    <w:tl2br w:val="nil"/>
                    <w:tr2bl w:val="nil"/>
                  </w:tcBorders>
                  <w:shd w:val="clear" w:color="auto" w:fill="auto"/>
                  <w:tcMar>
                    <w:top w:w="0" w:type="dxa"/>
                    <w:left w:w="57" w:type="dxa"/>
                    <w:bottom w:w="0" w:type="dxa"/>
                    <w:right w:w="57" w:type="dxa"/>
                  </w:tcMar>
                  <w:vAlign w:val="center"/>
                </w:tcPr>
                <w:p w14:paraId="726714ED">
                  <w:pPr>
                    <w:pStyle w:val="24"/>
                    <w:spacing w:line="240" w:lineRule="auto"/>
                    <w:rPr>
                      <w:color w:val="auto"/>
                      <w:highlight w:val="none"/>
                    </w:rPr>
                  </w:pPr>
                  <w:r>
                    <w:rPr>
                      <w:color w:val="auto"/>
                      <w:highlight w:val="none"/>
                    </w:rPr>
                    <w:t>HW49</w:t>
                  </w:r>
                </w:p>
              </w:tc>
              <w:tc>
                <w:tcPr>
                  <w:tcW w:w="385" w:type="pct"/>
                  <w:tcBorders>
                    <w:tl2br w:val="nil"/>
                    <w:tr2bl w:val="nil"/>
                  </w:tcBorders>
                  <w:shd w:val="clear" w:color="auto" w:fill="auto"/>
                  <w:tcMar>
                    <w:top w:w="0" w:type="dxa"/>
                    <w:left w:w="57" w:type="dxa"/>
                    <w:bottom w:w="0" w:type="dxa"/>
                    <w:right w:w="57" w:type="dxa"/>
                  </w:tcMar>
                  <w:vAlign w:val="center"/>
                </w:tcPr>
                <w:p w14:paraId="779AB0B2">
                  <w:pPr>
                    <w:pStyle w:val="24"/>
                    <w:spacing w:line="240" w:lineRule="auto"/>
                    <w:rPr>
                      <w:color w:val="auto"/>
                      <w:highlight w:val="none"/>
                    </w:rPr>
                  </w:pPr>
                  <w:r>
                    <w:rPr>
                      <w:color w:val="auto"/>
                      <w:highlight w:val="none"/>
                    </w:rPr>
                    <w:t>900-041-49</w:t>
                  </w:r>
                </w:p>
              </w:tc>
              <w:tc>
                <w:tcPr>
                  <w:tcW w:w="311" w:type="pct"/>
                  <w:tcBorders>
                    <w:tl2br w:val="nil"/>
                    <w:tr2bl w:val="nil"/>
                  </w:tcBorders>
                  <w:shd w:val="clear" w:color="auto" w:fill="auto"/>
                  <w:tcMar>
                    <w:top w:w="0" w:type="dxa"/>
                    <w:left w:w="57" w:type="dxa"/>
                    <w:bottom w:w="0" w:type="dxa"/>
                    <w:right w:w="57" w:type="dxa"/>
                  </w:tcMar>
                  <w:vAlign w:val="center"/>
                </w:tcPr>
                <w:p w14:paraId="04798C63">
                  <w:pPr>
                    <w:pStyle w:val="24"/>
                    <w:spacing w:line="240" w:lineRule="auto"/>
                    <w:rPr>
                      <w:color w:val="auto"/>
                      <w:highlight w:val="none"/>
                    </w:rPr>
                  </w:pPr>
                  <w:r>
                    <w:rPr>
                      <w:rFonts w:hint="eastAsia"/>
                      <w:color w:val="auto"/>
                      <w:highlight w:val="none"/>
                    </w:rPr>
                    <w:t>0.02</w:t>
                  </w:r>
                </w:p>
              </w:tc>
              <w:tc>
                <w:tcPr>
                  <w:tcW w:w="311" w:type="pct"/>
                  <w:tcBorders>
                    <w:tl2br w:val="nil"/>
                    <w:tr2bl w:val="nil"/>
                  </w:tcBorders>
                  <w:shd w:val="clear" w:color="auto" w:fill="auto"/>
                  <w:tcMar>
                    <w:top w:w="0" w:type="dxa"/>
                    <w:left w:w="57" w:type="dxa"/>
                    <w:bottom w:w="0" w:type="dxa"/>
                    <w:right w:w="57" w:type="dxa"/>
                  </w:tcMar>
                  <w:vAlign w:val="center"/>
                </w:tcPr>
                <w:p w14:paraId="460B5ED9">
                  <w:pPr>
                    <w:pStyle w:val="24"/>
                    <w:spacing w:line="240" w:lineRule="auto"/>
                    <w:rPr>
                      <w:color w:val="auto"/>
                      <w:highlight w:val="none"/>
                    </w:rPr>
                  </w:pPr>
                  <w:r>
                    <w:rPr>
                      <w:rFonts w:hint="eastAsia"/>
                      <w:color w:val="auto"/>
                      <w:highlight w:val="none"/>
                    </w:rPr>
                    <w:t>≤1a</w:t>
                  </w:r>
                </w:p>
              </w:tc>
              <w:tc>
                <w:tcPr>
                  <w:tcW w:w="540" w:type="pct"/>
                  <w:tcBorders>
                    <w:tl2br w:val="nil"/>
                    <w:tr2bl w:val="nil"/>
                  </w:tcBorders>
                  <w:shd w:val="clear" w:color="auto" w:fill="auto"/>
                  <w:tcMar>
                    <w:top w:w="0" w:type="dxa"/>
                    <w:left w:w="57" w:type="dxa"/>
                    <w:bottom w:w="0" w:type="dxa"/>
                    <w:right w:w="57" w:type="dxa"/>
                  </w:tcMar>
                  <w:vAlign w:val="center"/>
                </w:tcPr>
                <w:p w14:paraId="3D427D1B">
                  <w:pPr>
                    <w:pStyle w:val="24"/>
                    <w:spacing w:line="240" w:lineRule="auto"/>
                    <w:rPr>
                      <w:color w:val="auto"/>
                      <w:highlight w:val="none"/>
                    </w:rPr>
                  </w:pPr>
                  <w:r>
                    <w:rPr>
                      <w:rFonts w:hint="eastAsia"/>
                      <w:color w:val="auto"/>
                      <w:highlight w:val="none"/>
                    </w:rPr>
                    <w:t>危险废物贮存</w:t>
                  </w:r>
                </w:p>
              </w:tc>
              <w:tc>
                <w:tcPr>
                  <w:tcW w:w="360" w:type="pct"/>
                  <w:tcBorders>
                    <w:tl2br w:val="nil"/>
                    <w:tr2bl w:val="nil"/>
                  </w:tcBorders>
                  <w:shd w:val="clear" w:color="auto" w:fill="auto"/>
                  <w:tcMar>
                    <w:top w:w="0" w:type="dxa"/>
                    <w:left w:w="57" w:type="dxa"/>
                    <w:bottom w:w="0" w:type="dxa"/>
                    <w:right w:w="57" w:type="dxa"/>
                  </w:tcMar>
                  <w:vAlign w:val="center"/>
                </w:tcPr>
                <w:p w14:paraId="3AC63938">
                  <w:pPr>
                    <w:pStyle w:val="24"/>
                    <w:spacing w:line="240" w:lineRule="auto"/>
                    <w:rPr>
                      <w:color w:val="auto"/>
                      <w:highlight w:val="none"/>
                    </w:rPr>
                  </w:pPr>
                  <w:r>
                    <w:rPr>
                      <w:rFonts w:hint="eastAsia"/>
                      <w:color w:val="auto"/>
                      <w:highlight w:val="none"/>
                    </w:rPr>
                    <w:t>固态</w:t>
                  </w:r>
                </w:p>
              </w:tc>
              <w:tc>
                <w:tcPr>
                  <w:tcW w:w="335" w:type="pct"/>
                  <w:tcBorders>
                    <w:tl2br w:val="nil"/>
                    <w:tr2bl w:val="nil"/>
                  </w:tcBorders>
                  <w:shd w:val="clear" w:color="auto" w:fill="auto"/>
                  <w:tcMar>
                    <w:top w:w="0" w:type="dxa"/>
                    <w:left w:w="57" w:type="dxa"/>
                    <w:bottom w:w="0" w:type="dxa"/>
                    <w:right w:w="57" w:type="dxa"/>
                  </w:tcMar>
                  <w:vAlign w:val="center"/>
                </w:tcPr>
                <w:p w14:paraId="618DECF6">
                  <w:pPr>
                    <w:pStyle w:val="24"/>
                    <w:spacing w:line="240" w:lineRule="auto"/>
                    <w:rPr>
                      <w:rFonts w:hint="eastAsia" w:eastAsiaTheme="minorEastAsia"/>
                      <w:color w:val="auto"/>
                      <w:highlight w:val="none"/>
                      <w:lang w:eastAsia="zh-CN"/>
                    </w:rPr>
                  </w:pPr>
                  <w:r>
                    <w:rPr>
                      <w:rFonts w:hint="eastAsia"/>
                      <w:color w:val="auto"/>
                      <w:highlight w:val="none"/>
                    </w:rPr>
                    <w:t>棉织物、</w:t>
                  </w:r>
                  <w:r>
                    <w:rPr>
                      <w:rFonts w:hint="eastAsia"/>
                      <w:color w:val="auto"/>
                      <w:highlight w:val="none"/>
                      <w:lang w:eastAsia="zh-CN"/>
                    </w:rPr>
                    <w:t>油</w:t>
                  </w:r>
                </w:p>
              </w:tc>
              <w:tc>
                <w:tcPr>
                  <w:tcW w:w="319" w:type="pct"/>
                  <w:tcBorders>
                    <w:tl2br w:val="nil"/>
                    <w:tr2bl w:val="nil"/>
                  </w:tcBorders>
                  <w:shd w:val="clear" w:color="auto" w:fill="auto"/>
                  <w:tcMar>
                    <w:top w:w="0" w:type="dxa"/>
                    <w:left w:w="57" w:type="dxa"/>
                    <w:bottom w:w="0" w:type="dxa"/>
                    <w:right w:w="57" w:type="dxa"/>
                  </w:tcMar>
                  <w:vAlign w:val="center"/>
                </w:tcPr>
                <w:p w14:paraId="1CC88E7C">
                  <w:pPr>
                    <w:pStyle w:val="24"/>
                    <w:spacing w:line="240" w:lineRule="auto"/>
                    <w:rPr>
                      <w:rFonts w:hint="eastAsia" w:eastAsiaTheme="minorEastAsia"/>
                      <w:color w:val="auto"/>
                      <w:highlight w:val="none"/>
                      <w:lang w:eastAsia="zh-CN"/>
                    </w:rPr>
                  </w:pPr>
                  <w:r>
                    <w:rPr>
                      <w:rFonts w:hint="eastAsia"/>
                      <w:color w:val="auto"/>
                      <w:highlight w:val="none"/>
                      <w:lang w:eastAsia="zh-CN"/>
                    </w:rPr>
                    <w:t>油</w:t>
                  </w:r>
                </w:p>
              </w:tc>
              <w:tc>
                <w:tcPr>
                  <w:tcW w:w="294" w:type="pct"/>
                  <w:tcBorders>
                    <w:tl2br w:val="nil"/>
                    <w:tr2bl w:val="nil"/>
                  </w:tcBorders>
                  <w:shd w:val="clear" w:color="auto" w:fill="auto"/>
                  <w:tcMar>
                    <w:top w:w="0" w:type="dxa"/>
                    <w:left w:w="57" w:type="dxa"/>
                    <w:bottom w:w="0" w:type="dxa"/>
                    <w:right w:w="57" w:type="dxa"/>
                  </w:tcMar>
                  <w:vAlign w:val="center"/>
                </w:tcPr>
                <w:p w14:paraId="550EDADA">
                  <w:pPr>
                    <w:pStyle w:val="24"/>
                    <w:spacing w:line="240" w:lineRule="auto"/>
                    <w:rPr>
                      <w:color w:val="auto"/>
                      <w:highlight w:val="none"/>
                    </w:rPr>
                  </w:pPr>
                  <w:r>
                    <w:rPr>
                      <w:rFonts w:hint="eastAsia"/>
                      <w:color w:val="auto"/>
                      <w:highlight w:val="none"/>
                    </w:rPr>
                    <w:t>T/In</w:t>
                  </w:r>
                </w:p>
              </w:tc>
              <w:tc>
                <w:tcPr>
                  <w:tcW w:w="1102" w:type="pct"/>
                  <w:tcBorders>
                    <w:tl2br w:val="nil"/>
                    <w:tr2bl w:val="nil"/>
                  </w:tcBorders>
                  <w:shd w:val="clear" w:color="auto" w:fill="auto"/>
                  <w:tcMar>
                    <w:top w:w="0" w:type="dxa"/>
                    <w:left w:w="57" w:type="dxa"/>
                    <w:bottom w:w="0" w:type="dxa"/>
                    <w:right w:w="57" w:type="dxa"/>
                  </w:tcMar>
                  <w:vAlign w:val="center"/>
                </w:tcPr>
                <w:p w14:paraId="35EEB2B0">
                  <w:pPr>
                    <w:pStyle w:val="24"/>
                    <w:spacing w:line="240" w:lineRule="auto"/>
                    <w:rPr>
                      <w:color w:val="auto"/>
                      <w:highlight w:val="none"/>
                    </w:rPr>
                  </w:pPr>
                  <w:r>
                    <w:rPr>
                      <w:color w:val="auto"/>
                      <w:highlight w:val="none"/>
                    </w:rPr>
                    <w:t>收集后贮存在</w:t>
                  </w:r>
                  <w:r>
                    <w:rPr>
                      <w:rFonts w:hint="eastAsia"/>
                      <w:color w:val="auto"/>
                      <w:highlight w:val="none"/>
                    </w:rPr>
                    <w:t>危险废物贮存点内，定期委托有危废处置资质的单位进行处置</w:t>
                  </w:r>
                </w:p>
              </w:tc>
            </w:tr>
          </w:tbl>
          <w:p w14:paraId="5E062A56">
            <w:pPr>
              <w:pStyle w:val="13"/>
              <w:autoSpaceDE w:val="0"/>
              <w:autoSpaceDN w:val="0"/>
              <w:spacing w:before="0" w:line="360" w:lineRule="auto"/>
              <w:ind w:left="0" w:firstLine="480"/>
              <w:rPr>
                <w:rFonts w:hint="eastAsia" w:eastAsia="Times New Roman"/>
                <w:b/>
                <w:bCs/>
                <w:color w:val="auto"/>
                <w:szCs w:val="24"/>
                <w:highlight w:val="none"/>
              </w:rPr>
            </w:pPr>
            <w:r>
              <w:rPr>
                <w:rFonts w:hint="eastAsia" w:ascii="Times New Roman" w:hAnsi="Times New Roman" w:eastAsia="Times New Roman" w:cs="Times New Roman"/>
                <w:b/>
                <w:bCs/>
                <w:color w:val="auto"/>
                <w:spacing w:val="0"/>
                <w:szCs w:val="24"/>
                <w:highlight w:val="none"/>
              </w:rPr>
              <w:t>4.2</w:t>
            </w:r>
            <w:r>
              <w:rPr>
                <w:rFonts w:hint="eastAsia" w:eastAsia="Times New Roman"/>
                <w:b/>
                <w:bCs/>
                <w:color w:val="auto"/>
                <w:spacing w:val="0"/>
                <w:szCs w:val="24"/>
                <w:highlight w:val="none"/>
              </w:rPr>
              <w:t>本项目危险废物贮存点的符合性分析</w:t>
            </w:r>
          </w:p>
          <w:p w14:paraId="6C9B6307">
            <w:pPr>
              <w:spacing w:before="0" w:line="360" w:lineRule="auto"/>
              <w:ind w:left="0" w:right="0"/>
              <w:rPr>
                <w:color w:val="auto"/>
                <w:highlight w:val="none"/>
              </w:rPr>
            </w:pPr>
            <w:r>
              <w:rPr>
                <w:color w:val="auto"/>
                <w:highlight w:val="none"/>
              </w:rPr>
              <w:t>根据《危险废物管理计划和管理台账制定技术导则》（HJ1259-2022）中4.2.1中c）危险废物登记管理单位为同一生产经营场所危险废物年产生量10t以下且未纳入危险废物环境重点监管单位的单位。根据贮存点的定义：HJ1259规定的纳入危险废物登记管理单位的，用于同一生产经营场所专门贮存危险废物的场所；或产生危险废物的单位设置于生产线附近，用于暂时贮存便于中转其产生的危险废物的场所；并根据贮存点环境管理要求，贮存点应及时清运贮存的危险废物，实时贮存量不应超过3吨。本项目危险废物年产量为2.</w:t>
            </w:r>
            <w:r>
              <w:rPr>
                <w:rFonts w:hint="eastAsia"/>
                <w:color w:val="auto"/>
                <w:highlight w:val="none"/>
                <w:lang w:eastAsia="zh-CN"/>
              </w:rPr>
              <w:t>6</w:t>
            </w:r>
            <w:r>
              <w:rPr>
                <w:color w:val="auto"/>
                <w:highlight w:val="none"/>
              </w:rPr>
              <w:t>t，实时最大贮存量为2.</w:t>
            </w:r>
            <w:r>
              <w:rPr>
                <w:rFonts w:hint="eastAsia"/>
                <w:color w:val="auto"/>
                <w:highlight w:val="none"/>
                <w:lang w:eastAsia="zh-CN"/>
              </w:rPr>
              <w:t>6</w:t>
            </w:r>
            <w:r>
              <w:rPr>
                <w:color w:val="auto"/>
                <w:highlight w:val="none"/>
              </w:rPr>
              <w:t>t。综上，本项目建设危险废物贮存场所为贮存点，并按照其相应标准提出相应管理要求。</w:t>
            </w:r>
          </w:p>
          <w:p w14:paraId="2C26EA4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b/>
                <w:bCs/>
                <w:color w:val="auto"/>
                <w:sz w:val="24"/>
                <w:szCs w:val="24"/>
                <w:highlight w:val="none"/>
              </w:rPr>
            </w:pPr>
            <w:r>
              <w:rPr>
                <w:rFonts w:ascii="Times New Roman" w:hAnsi="Times New Roman" w:eastAsia="Times New Roman" w:cs="Times New Roman"/>
                <w:b/>
                <w:bCs/>
                <w:color w:val="auto"/>
                <w:sz w:val="24"/>
                <w:szCs w:val="24"/>
                <w:highlight w:val="none"/>
              </w:rPr>
              <w:t>4.</w:t>
            </w:r>
            <w:r>
              <w:rPr>
                <w:rFonts w:hint="eastAsia" w:eastAsia="宋体" w:cs="Times New Roman"/>
                <w:b/>
                <w:bCs/>
                <w:color w:val="auto"/>
                <w:sz w:val="24"/>
                <w:szCs w:val="24"/>
                <w:highlight w:val="none"/>
                <w:lang w:val="en-US" w:eastAsia="zh-CN"/>
              </w:rPr>
              <w:t>3</w:t>
            </w:r>
            <w:r>
              <w:rPr>
                <w:rFonts w:hint="eastAsia" w:ascii="Times New Roman" w:hAnsi="Times New Roman" w:eastAsia="Times New Roman" w:cs="Times New Roman"/>
                <w:b/>
                <w:bCs/>
                <w:color w:val="auto"/>
                <w:sz w:val="24"/>
                <w:szCs w:val="24"/>
                <w:highlight w:val="none"/>
              </w:rPr>
              <w:t>管理要求</w:t>
            </w:r>
          </w:p>
          <w:p w14:paraId="64A61EA4">
            <w:pPr>
              <w:pStyle w:val="13"/>
              <w:ind w:firstLine="480"/>
              <w:rPr>
                <w:rFonts w:hint="eastAsia"/>
                <w:color w:val="auto"/>
                <w:highlight w:val="none"/>
              </w:rPr>
            </w:pPr>
            <w:r>
              <w:rPr>
                <w:rFonts w:hint="eastAsia" w:ascii="Times New Roman" w:hAnsi="Times New Roman" w:eastAsia="Times New Roman" w:cs="Times New Roman"/>
                <w:color w:val="auto"/>
                <w:sz w:val="24"/>
                <w:szCs w:val="24"/>
                <w:highlight w:val="none"/>
              </w:rPr>
              <w:t>本项目为北票发电有限责任公司配套建设的危险废物贮存项目</w:t>
            </w:r>
            <w:r>
              <w:rPr>
                <w:rFonts w:hint="eastAsia" w:eastAsia="宋体" w:cs="Times New Roman"/>
                <w:color w:val="auto"/>
                <w:sz w:val="24"/>
                <w:szCs w:val="24"/>
                <w:highlight w:val="none"/>
                <w:lang w:eastAsia="zh-CN"/>
              </w:rPr>
              <w:t>，</w:t>
            </w:r>
            <w:r>
              <w:rPr>
                <w:rFonts w:hint="eastAsia"/>
                <w:color w:val="auto"/>
                <w:highlight w:val="none"/>
              </w:rPr>
              <w:t>危险废物分为两部分，一部分为收集和存储</w:t>
            </w:r>
            <w:r>
              <w:rPr>
                <w:rFonts w:hint="eastAsia" w:ascii="Times New Roman" w:hAnsi="Times New Roman" w:eastAsia="Times New Roman" w:cs="Times New Roman"/>
                <w:color w:val="auto"/>
                <w:sz w:val="24"/>
                <w:szCs w:val="24"/>
                <w:highlight w:val="none"/>
              </w:rPr>
              <w:t>北票发电有限责任公司</w:t>
            </w:r>
            <w:r>
              <w:rPr>
                <w:rFonts w:hint="eastAsia"/>
                <w:color w:val="auto"/>
                <w:highlight w:val="none"/>
              </w:rPr>
              <w:t>产生的废蓄电池、废液压油、废空压机油、废汽轮机油、废变压器油、废润滑油、废油漆桶、废油桶、实验室废液及废试剂瓶，另一部分为收集贮存公司内部危险废物运营过程中产生的废劳保用品等危险废物。</w:t>
            </w:r>
          </w:p>
          <w:p w14:paraId="1E578698">
            <w:pPr>
              <w:rPr>
                <w:rFonts w:hint="eastAsia"/>
                <w:color w:val="auto"/>
                <w:highlight w:val="none"/>
              </w:rPr>
            </w:pPr>
          </w:p>
          <w:p w14:paraId="4B9BD007">
            <w:pPr>
              <w:pStyle w:val="25"/>
              <w:bidi w:val="0"/>
              <w:rPr>
                <w:color w:val="auto"/>
                <w:highlight w:val="none"/>
              </w:rPr>
            </w:pPr>
            <w:r>
              <w:rPr>
                <w:rFonts w:hint="eastAsia"/>
                <w:color w:val="auto"/>
                <w:highlight w:val="none"/>
              </w:rPr>
              <w:t>本项目运营过程</w:t>
            </w:r>
            <w:r>
              <w:rPr>
                <w:color w:val="auto"/>
                <w:highlight w:val="none"/>
              </w:rPr>
              <w:t>产生</w:t>
            </w:r>
            <w:r>
              <w:rPr>
                <w:rFonts w:hint="eastAsia"/>
                <w:color w:val="auto"/>
                <w:highlight w:val="none"/>
              </w:rPr>
              <w:t>的</w:t>
            </w:r>
            <w:r>
              <w:rPr>
                <w:color w:val="auto"/>
                <w:highlight w:val="none"/>
              </w:rPr>
              <w:t>危险废物情况</w:t>
            </w:r>
          </w:p>
          <w:tbl>
            <w:tblPr>
              <w:tblStyle w:val="16"/>
              <w:tblW w:w="4992"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autofit"/>
              <w:tblCellMar>
                <w:top w:w="0" w:type="dxa"/>
                <w:left w:w="0" w:type="dxa"/>
                <w:bottom w:w="0" w:type="dxa"/>
                <w:right w:w="0" w:type="dxa"/>
              </w:tblCellMar>
            </w:tblPr>
            <w:tblGrid>
              <w:gridCol w:w="214"/>
              <w:gridCol w:w="437"/>
              <w:gridCol w:w="566"/>
              <w:gridCol w:w="986"/>
              <w:gridCol w:w="455"/>
              <w:gridCol w:w="871"/>
              <w:gridCol w:w="257"/>
              <w:gridCol w:w="426"/>
              <w:gridCol w:w="373"/>
              <w:gridCol w:w="497"/>
              <w:gridCol w:w="438"/>
              <w:gridCol w:w="603"/>
              <w:gridCol w:w="2195"/>
            </w:tblGrid>
            <w:tr w14:paraId="214A14FE">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7" w:hRule="atLeast"/>
                <w:jc w:val="center"/>
              </w:trPr>
              <w:tc>
                <w:tcPr>
                  <w:tcW w:w="142" w:type="pct"/>
                  <w:vAlign w:val="center"/>
                </w:tcPr>
                <w:p w14:paraId="12E79748">
                  <w:pPr>
                    <w:pStyle w:val="27"/>
                    <w:spacing w:line="240" w:lineRule="auto"/>
                    <w:rPr>
                      <w:rFonts w:hint="default"/>
                      <w:color w:val="auto"/>
                      <w:highlight w:val="none"/>
                    </w:rPr>
                  </w:pPr>
                  <w:r>
                    <w:rPr>
                      <w:color w:val="auto"/>
                      <w:highlight w:val="none"/>
                    </w:rPr>
                    <w:t>序号</w:t>
                  </w:r>
                </w:p>
              </w:tc>
              <w:tc>
                <w:tcPr>
                  <w:tcW w:w="318" w:type="pct"/>
                  <w:vAlign w:val="center"/>
                </w:tcPr>
                <w:p w14:paraId="2861B44E">
                  <w:pPr>
                    <w:pStyle w:val="27"/>
                    <w:spacing w:line="240" w:lineRule="auto"/>
                    <w:rPr>
                      <w:rFonts w:hint="default"/>
                      <w:color w:val="auto"/>
                      <w:highlight w:val="none"/>
                    </w:rPr>
                  </w:pPr>
                  <w:r>
                    <w:rPr>
                      <w:color w:val="auto"/>
                      <w:highlight w:val="none"/>
                    </w:rPr>
                    <w:t>危险废物名称</w:t>
                  </w:r>
                </w:p>
              </w:tc>
              <w:tc>
                <w:tcPr>
                  <w:tcW w:w="266" w:type="pct"/>
                  <w:vAlign w:val="center"/>
                </w:tcPr>
                <w:p w14:paraId="0795699A">
                  <w:pPr>
                    <w:pStyle w:val="27"/>
                    <w:spacing w:line="240" w:lineRule="auto"/>
                    <w:rPr>
                      <w:rFonts w:hint="default"/>
                      <w:color w:val="auto"/>
                      <w:highlight w:val="none"/>
                    </w:rPr>
                  </w:pPr>
                  <w:r>
                    <w:rPr>
                      <w:color w:val="auto"/>
                      <w:highlight w:val="none"/>
                    </w:rPr>
                    <w:t>危险废物类别</w:t>
                  </w:r>
                </w:p>
              </w:tc>
              <w:tc>
                <w:tcPr>
                  <w:tcW w:w="286" w:type="pct"/>
                  <w:vAlign w:val="center"/>
                </w:tcPr>
                <w:p w14:paraId="3A644E4E">
                  <w:pPr>
                    <w:pStyle w:val="27"/>
                    <w:spacing w:line="240" w:lineRule="auto"/>
                    <w:rPr>
                      <w:rFonts w:hint="default"/>
                      <w:color w:val="auto"/>
                      <w:highlight w:val="none"/>
                    </w:rPr>
                  </w:pPr>
                  <w:r>
                    <w:rPr>
                      <w:color w:val="auto"/>
                      <w:highlight w:val="none"/>
                    </w:rPr>
                    <w:t>危险废物代码</w:t>
                  </w:r>
                </w:p>
              </w:tc>
              <w:tc>
                <w:tcPr>
                  <w:tcW w:w="308" w:type="pct"/>
                  <w:vAlign w:val="center"/>
                </w:tcPr>
                <w:p w14:paraId="6E01F5DB">
                  <w:pPr>
                    <w:pStyle w:val="27"/>
                    <w:spacing w:line="240" w:lineRule="auto"/>
                    <w:rPr>
                      <w:rFonts w:hint="default"/>
                      <w:color w:val="auto"/>
                      <w:highlight w:val="none"/>
                    </w:rPr>
                  </w:pPr>
                  <w:r>
                    <w:rPr>
                      <w:color w:val="auto"/>
                      <w:highlight w:val="none"/>
                    </w:rPr>
                    <w:t>产生量t/a</w:t>
                  </w:r>
                </w:p>
              </w:tc>
              <w:tc>
                <w:tcPr>
                  <w:tcW w:w="558" w:type="pct"/>
                  <w:vAlign w:val="center"/>
                </w:tcPr>
                <w:p w14:paraId="48742668">
                  <w:pPr>
                    <w:pStyle w:val="27"/>
                    <w:spacing w:line="240" w:lineRule="auto"/>
                    <w:rPr>
                      <w:rFonts w:hint="default"/>
                      <w:color w:val="auto"/>
                      <w:highlight w:val="none"/>
                    </w:rPr>
                  </w:pPr>
                  <w:r>
                    <w:rPr>
                      <w:color w:val="auto"/>
                      <w:highlight w:val="none"/>
                    </w:rPr>
                    <w:t>产生工序及装置</w:t>
                  </w:r>
                </w:p>
              </w:tc>
              <w:tc>
                <w:tcPr>
                  <w:tcW w:w="189" w:type="pct"/>
                  <w:vAlign w:val="center"/>
                </w:tcPr>
                <w:p w14:paraId="61482C9B">
                  <w:pPr>
                    <w:pStyle w:val="27"/>
                    <w:spacing w:line="240" w:lineRule="auto"/>
                    <w:rPr>
                      <w:rFonts w:hint="default"/>
                      <w:color w:val="auto"/>
                      <w:highlight w:val="none"/>
                    </w:rPr>
                  </w:pPr>
                  <w:r>
                    <w:rPr>
                      <w:color w:val="auto"/>
                      <w:highlight w:val="none"/>
                    </w:rPr>
                    <w:t>形态</w:t>
                  </w:r>
                </w:p>
              </w:tc>
              <w:tc>
                <w:tcPr>
                  <w:tcW w:w="279" w:type="pct"/>
                  <w:vAlign w:val="center"/>
                </w:tcPr>
                <w:p w14:paraId="21E2BF70">
                  <w:pPr>
                    <w:pStyle w:val="27"/>
                    <w:spacing w:line="240" w:lineRule="auto"/>
                    <w:rPr>
                      <w:rFonts w:hint="default"/>
                      <w:color w:val="auto"/>
                      <w:highlight w:val="none"/>
                    </w:rPr>
                  </w:pPr>
                  <w:r>
                    <w:rPr>
                      <w:color w:val="auto"/>
                      <w:highlight w:val="none"/>
                    </w:rPr>
                    <w:t>主要成分</w:t>
                  </w:r>
                </w:p>
              </w:tc>
              <w:tc>
                <w:tcPr>
                  <w:tcW w:w="270" w:type="pct"/>
                  <w:vAlign w:val="center"/>
                </w:tcPr>
                <w:p w14:paraId="413A2D46">
                  <w:pPr>
                    <w:pStyle w:val="27"/>
                    <w:spacing w:line="240" w:lineRule="auto"/>
                    <w:rPr>
                      <w:rFonts w:hint="default"/>
                      <w:color w:val="auto"/>
                      <w:highlight w:val="none"/>
                    </w:rPr>
                  </w:pPr>
                  <w:r>
                    <w:rPr>
                      <w:color w:val="auto"/>
                      <w:highlight w:val="none"/>
                    </w:rPr>
                    <w:t>有害成分</w:t>
                  </w:r>
                </w:p>
              </w:tc>
              <w:tc>
                <w:tcPr>
                  <w:tcW w:w="333" w:type="pct"/>
                  <w:vAlign w:val="center"/>
                </w:tcPr>
                <w:p w14:paraId="0F003FF7">
                  <w:pPr>
                    <w:pStyle w:val="27"/>
                    <w:spacing w:line="240" w:lineRule="auto"/>
                    <w:rPr>
                      <w:rFonts w:hint="default"/>
                      <w:color w:val="auto"/>
                      <w:highlight w:val="none"/>
                    </w:rPr>
                  </w:pPr>
                  <w:r>
                    <w:rPr>
                      <w:color w:val="auto"/>
                      <w:highlight w:val="none"/>
                    </w:rPr>
                    <w:t>产废周期</w:t>
                  </w:r>
                </w:p>
              </w:tc>
              <w:tc>
                <w:tcPr>
                  <w:tcW w:w="297" w:type="pct"/>
                  <w:vAlign w:val="center"/>
                </w:tcPr>
                <w:p w14:paraId="1F14DD13">
                  <w:pPr>
                    <w:pStyle w:val="27"/>
                    <w:spacing w:line="240" w:lineRule="auto"/>
                    <w:rPr>
                      <w:rFonts w:hint="default"/>
                      <w:color w:val="auto"/>
                      <w:highlight w:val="none"/>
                    </w:rPr>
                  </w:pPr>
                  <w:r>
                    <w:rPr>
                      <w:color w:val="auto"/>
                      <w:highlight w:val="none"/>
                    </w:rPr>
                    <w:t>危险特性</w:t>
                  </w:r>
                </w:p>
              </w:tc>
              <w:tc>
                <w:tcPr>
                  <w:tcW w:w="396" w:type="pct"/>
                  <w:vAlign w:val="center"/>
                </w:tcPr>
                <w:p w14:paraId="3C8ACE3D">
                  <w:pPr>
                    <w:pStyle w:val="27"/>
                    <w:spacing w:line="240" w:lineRule="auto"/>
                    <w:rPr>
                      <w:rFonts w:hint="default"/>
                      <w:color w:val="auto"/>
                      <w:highlight w:val="none"/>
                    </w:rPr>
                  </w:pPr>
                  <w:r>
                    <w:rPr>
                      <w:color w:val="auto"/>
                      <w:highlight w:val="none"/>
                    </w:rPr>
                    <w:t>暂存场所</w:t>
                  </w:r>
                </w:p>
              </w:tc>
              <w:tc>
                <w:tcPr>
                  <w:tcW w:w="1352" w:type="pct"/>
                  <w:vAlign w:val="center"/>
                </w:tcPr>
                <w:p w14:paraId="642E9A72">
                  <w:pPr>
                    <w:pStyle w:val="27"/>
                    <w:spacing w:line="240" w:lineRule="auto"/>
                    <w:rPr>
                      <w:rFonts w:hint="default"/>
                      <w:color w:val="auto"/>
                      <w:highlight w:val="none"/>
                    </w:rPr>
                  </w:pPr>
                  <w:r>
                    <w:rPr>
                      <w:color w:val="auto"/>
                      <w:highlight w:val="none"/>
                    </w:rPr>
                    <w:t>处置措施/备注</w:t>
                  </w:r>
                </w:p>
              </w:tc>
            </w:tr>
            <w:tr w14:paraId="02AE180C">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7" w:hRule="atLeast"/>
                <w:jc w:val="center"/>
              </w:trPr>
              <w:tc>
                <w:tcPr>
                  <w:tcW w:w="142" w:type="pct"/>
                  <w:vAlign w:val="center"/>
                </w:tcPr>
                <w:p w14:paraId="7FDB5826">
                  <w:pPr>
                    <w:pStyle w:val="24"/>
                    <w:spacing w:line="240" w:lineRule="auto"/>
                    <w:rPr>
                      <w:color w:val="auto"/>
                      <w:highlight w:val="none"/>
                    </w:rPr>
                  </w:pPr>
                  <w:r>
                    <w:rPr>
                      <w:rFonts w:hint="eastAsia"/>
                      <w:color w:val="auto"/>
                      <w:highlight w:val="none"/>
                    </w:rPr>
                    <w:t>1</w:t>
                  </w:r>
                </w:p>
              </w:tc>
              <w:tc>
                <w:tcPr>
                  <w:tcW w:w="318" w:type="pct"/>
                  <w:shd w:val="clear" w:color="auto" w:fill="auto"/>
                  <w:vAlign w:val="center"/>
                </w:tcPr>
                <w:p w14:paraId="6423B630">
                  <w:pPr>
                    <w:pStyle w:val="24"/>
                    <w:spacing w:line="240" w:lineRule="auto"/>
                    <w:rPr>
                      <w:color w:val="auto"/>
                      <w:highlight w:val="none"/>
                    </w:rPr>
                  </w:pPr>
                  <w:r>
                    <w:rPr>
                      <w:rFonts w:hint="eastAsia"/>
                      <w:color w:val="auto"/>
                      <w:highlight w:val="none"/>
                    </w:rPr>
                    <w:t>废劳保用品</w:t>
                  </w:r>
                </w:p>
              </w:tc>
              <w:tc>
                <w:tcPr>
                  <w:tcW w:w="266" w:type="pct"/>
                  <w:shd w:val="clear" w:color="auto" w:fill="auto"/>
                  <w:vAlign w:val="center"/>
                </w:tcPr>
                <w:p w14:paraId="73BCC449">
                  <w:pPr>
                    <w:pStyle w:val="24"/>
                    <w:spacing w:line="240" w:lineRule="auto"/>
                    <w:rPr>
                      <w:color w:val="auto"/>
                      <w:highlight w:val="none"/>
                    </w:rPr>
                  </w:pPr>
                  <w:r>
                    <w:rPr>
                      <w:rFonts w:hint="eastAsia"/>
                      <w:color w:val="auto"/>
                      <w:highlight w:val="none"/>
                    </w:rPr>
                    <w:t>HW49</w:t>
                  </w:r>
                </w:p>
              </w:tc>
              <w:tc>
                <w:tcPr>
                  <w:tcW w:w="286" w:type="pct"/>
                  <w:shd w:val="clear" w:color="auto" w:fill="auto"/>
                  <w:vAlign w:val="center"/>
                </w:tcPr>
                <w:p w14:paraId="6A7AD5DB">
                  <w:pPr>
                    <w:pStyle w:val="24"/>
                    <w:spacing w:line="240" w:lineRule="auto"/>
                    <w:rPr>
                      <w:color w:val="auto"/>
                      <w:highlight w:val="none"/>
                    </w:rPr>
                  </w:pPr>
                  <w:r>
                    <w:rPr>
                      <w:rFonts w:hint="eastAsia"/>
                      <w:color w:val="auto"/>
                      <w:highlight w:val="none"/>
                    </w:rPr>
                    <w:t>900-041-49</w:t>
                  </w:r>
                </w:p>
              </w:tc>
              <w:tc>
                <w:tcPr>
                  <w:tcW w:w="308" w:type="pct"/>
                  <w:shd w:val="clear" w:color="auto" w:fill="auto"/>
                  <w:vAlign w:val="center"/>
                </w:tcPr>
                <w:p w14:paraId="2BD4D70D">
                  <w:pPr>
                    <w:pStyle w:val="24"/>
                    <w:spacing w:line="240" w:lineRule="auto"/>
                    <w:rPr>
                      <w:color w:val="auto"/>
                      <w:highlight w:val="none"/>
                    </w:rPr>
                  </w:pPr>
                  <w:r>
                    <w:rPr>
                      <w:rFonts w:hint="eastAsia"/>
                      <w:color w:val="auto"/>
                      <w:highlight w:val="none"/>
                    </w:rPr>
                    <w:t>0.02</w:t>
                  </w:r>
                </w:p>
              </w:tc>
              <w:tc>
                <w:tcPr>
                  <w:tcW w:w="558" w:type="pct"/>
                  <w:shd w:val="clear" w:color="auto" w:fill="auto"/>
                  <w:vAlign w:val="center"/>
                </w:tcPr>
                <w:p w14:paraId="362138E6">
                  <w:pPr>
                    <w:pStyle w:val="24"/>
                    <w:spacing w:line="240" w:lineRule="auto"/>
                    <w:rPr>
                      <w:color w:val="auto"/>
                      <w:highlight w:val="none"/>
                    </w:rPr>
                  </w:pPr>
                  <w:r>
                    <w:rPr>
                      <w:rFonts w:hint="eastAsia"/>
                      <w:color w:val="auto"/>
                      <w:highlight w:val="none"/>
                    </w:rPr>
                    <w:t>运行操作过程中</w:t>
                  </w:r>
                </w:p>
              </w:tc>
              <w:tc>
                <w:tcPr>
                  <w:tcW w:w="189" w:type="pct"/>
                  <w:shd w:val="clear" w:color="auto" w:fill="auto"/>
                  <w:vAlign w:val="center"/>
                </w:tcPr>
                <w:p w14:paraId="08F5B262">
                  <w:pPr>
                    <w:pStyle w:val="24"/>
                    <w:spacing w:line="240" w:lineRule="auto"/>
                    <w:rPr>
                      <w:color w:val="auto"/>
                      <w:highlight w:val="none"/>
                    </w:rPr>
                  </w:pPr>
                  <w:r>
                    <w:rPr>
                      <w:rFonts w:hint="eastAsia"/>
                      <w:color w:val="auto"/>
                      <w:highlight w:val="none"/>
                    </w:rPr>
                    <w:t>固态</w:t>
                  </w:r>
                </w:p>
              </w:tc>
              <w:tc>
                <w:tcPr>
                  <w:tcW w:w="279" w:type="pct"/>
                  <w:shd w:val="clear" w:color="auto" w:fill="auto"/>
                  <w:vAlign w:val="center"/>
                </w:tcPr>
                <w:p w14:paraId="688C17B9">
                  <w:pPr>
                    <w:pStyle w:val="24"/>
                    <w:spacing w:line="240" w:lineRule="auto"/>
                    <w:rPr>
                      <w:rFonts w:hint="eastAsia" w:eastAsiaTheme="minorEastAsia"/>
                      <w:color w:val="auto"/>
                      <w:highlight w:val="none"/>
                      <w:lang w:eastAsia="zh-CN"/>
                    </w:rPr>
                  </w:pPr>
                  <w:r>
                    <w:rPr>
                      <w:rFonts w:hint="eastAsia"/>
                      <w:color w:val="auto"/>
                      <w:highlight w:val="none"/>
                    </w:rPr>
                    <w:t>棉织物、</w:t>
                  </w:r>
                  <w:r>
                    <w:rPr>
                      <w:rFonts w:hint="eastAsia"/>
                      <w:color w:val="auto"/>
                      <w:highlight w:val="none"/>
                      <w:lang w:eastAsia="zh-CN"/>
                    </w:rPr>
                    <w:t>油</w:t>
                  </w:r>
                </w:p>
              </w:tc>
              <w:tc>
                <w:tcPr>
                  <w:tcW w:w="270" w:type="pct"/>
                  <w:shd w:val="clear" w:color="auto" w:fill="auto"/>
                  <w:vAlign w:val="center"/>
                </w:tcPr>
                <w:p w14:paraId="69B40C81">
                  <w:pPr>
                    <w:pStyle w:val="24"/>
                    <w:spacing w:line="240" w:lineRule="auto"/>
                    <w:rPr>
                      <w:rFonts w:hint="eastAsia" w:eastAsiaTheme="minorEastAsia"/>
                      <w:color w:val="auto"/>
                      <w:highlight w:val="none"/>
                      <w:lang w:eastAsia="zh-CN"/>
                    </w:rPr>
                  </w:pPr>
                  <w:r>
                    <w:rPr>
                      <w:rFonts w:hint="eastAsia"/>
                      <w:color w:val="auto"/>
                      <w:highlight w:val="none"/>
                      <w:lang w:eastAsia="zh-CN"/>
                    </w:rPr>
                    <w:t>油</w:t>
                  </w:r>
                </w:p>
              </w:tc>
              <w:tc>
                <w:tcPr>
                  <w:tcW w:w="333" w:type="pct"/>
                  <w:shd w:val="clear" w:color="auto" w:fill="auto"/>
                  <w:vAlign w:val="center"/>
                </w:tcPr>
                <w:p w14:paraId="08BB19C8">
                  <w:pPr>
                    <w:pStyle w:val="24"/>
                    <w:spacing w:line="240" w:lineRule="auto"/>
                    <w:rPr>
                      <w:color w:val="auto"/>
                      <w:highlight w:val="none"/>
                    </w:rPr>
                  </w:pPr>
                  <w:r>
                    <w:rPr>
                      <w:rFonts w:hint="eastAsia"/>
                      <w:color w:val="auto"/>
                      <w:highlight w:val="none"/>
                    </w:rPr>
                    <w:t>工作日</w:t>
                  </w:r>
                </w:p>
              </w:tc>
              <w:tc>
                <w:tcPr>
                  <w:tcW w:w="297" w:type="pct"/>
                  <w:shd w:val="clear" w:color="auto" w:fill="auto"/>
                  <w:vAlign w:val="center"/>
                </w:tcPr>
                <w:p w14:paraId="17071CED">
                  <w:pPr>
                    <w:pStyle w:val="24"/>
                    <w:spacing w:line="240" w:lineRule="auto"/>
                    <w:rPr>
                      <w:color w:val="auto"/>
                      <w:highlight w:val="none"/>
                    </w:rPr>
                  </w:pPr>
                  <w:r>
                    <w:rPr>
                      <w:rFonts w:hint="eastAsia"/>
                      <w:color w:val="auto"/>
                      <w:highlight w:val="none"/>
                    </w:rPr>
                    <w:t>T/In</w:t>
                  </w:r>
                </w:p>
              </w:tc>
              <w:tc>
                <w:tcPr>
                  <w:tcW w:w="396" w:type="pct"/>
                  <w:vAlign w:val="center"/>
                </w:tcPr>
                <w:p w14:paraId="07EC9BFA">
                  <w:pPr>
                    <w:pStyle w:val="24"/>
                    <w:spacing w:line="240" w:lineRule="auto"/>
                    <w:rPr>
                      <w:color w:val="auto"/>
                      <w:highlight w:val="none"/>
                    </w:rPr>
                  </w:pPr>
                  <w:r>
                    <w:rPr>
                      <w:rFonts w:hint="eastAsia"/>
                      <w:color w:val="auto"/>
                      <w:highlight w:val="none"/>
                    </w:rPr>
                    <w:t>危险废物贮存点</w:t>
                  </w:r>
                </w:p>
              </w:tc>
              <w:tc>
                <w:tcPr>
                  <w:tcW w:w="1352" w:type="pct"/>
                  <w:vAlign w:val="center"/>
                </w:tcPr>
                <w:p w14:paraId="471B4F54">
                  <w:pPr>
                    <w:pStyle w:val="24"/>
                    <w:spacing w:line="240" w:lineRule="auto"/>
                    <w:rPr>
                      <w:color w:val="auto"/>
                      <w:highlight w:val="none"/>
                    </w:rPr>
                  </w:pPr>
                  <w:r>
                    <w:rPr>
                      <w:color w:val="auto"/>
                      <w:highlight w:val="none"/>
                    </w:rPr>
                    <w:t>收集后贮存在</w:t>
                  </w:r>
                  <w:r>
                    <w:rPr>
                      <w:rFonts w:hint="eastAsia"/>
                      <w:color w:val="auto"/>
                      <w:highlight w:val="none"/>
                    </w:rPr>
                    <w:t>危险废物贮存点内，定期委托有危废处置资质的单位处置</w:t>
                  </w:r>
                </w:p>
              </w:tc>
            </w:tr>
          </w:tbl>
          <w:p w14:paraId="1E5CEB28">
            <w:pPr>
              <w:keepNext w:val="0"/>
              <w:keepLines w:val="0"/>
              <w:pageBreakBefore w:val="0"/>
              <w:widowControl w:val="0"/>
              <w:kinsoku/>
              <w:wordWrap/>
              <w:overflowPunct/>
              <w:topLinePunct w:val="0"/>
              <w:autoSpaceDE/>
              <w:autoSpaceDN/>
              <w:bidi w:val="0"/>
              <w:adjustRightInd/>
              <w:snapToGrid/>
              <w:ind w:firstLine="482" w:firstLineChars="200"/>
              <w:textAlignment w:val="auto"/>
              <w:rPr>
                <w:b/>
                <w:bCs/>
                <w:color w:val="auto"/>
                <w:highlight w:val="none"/>
              </w:rPr>
            </w:pPr>
            <w:r>
              <w:rPr>
                <w:rFonts w:hint="eastAsia"/>
                <w:b/>
                <w:bCs/>
                <w:color w:val="auto"/>
                <w:highlight w:val="none"/>
                <w:lang w:val="en-US" w:eastAsia="zh-CN"/>
              </w:rPr>
              <w:t>1、</w:t>
            </w:r>
            <w:r>
              <w:rPr>
                <w:rFonts w:hint="eastAsia"/>
                <w:b/>
                <w:bCs/>
                <w:color w:val="auto"/>
                <w:highlight w:val="none"/>
              </w:rPr>
              <w:t>总体要求</w:t>
            </w:r>
          </w:p>
          <w:p w14:paraId="4F6CA3AD">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eastAsia="Times New Roman" w:cs="Times New Roman"/>
                <w:color w:val="auto"/>
                <w:sz w:val="24"/>
                <w:szCs w:val="24"/>
                <w:highlight w:val="none"/>
                <w:lang w:val="en-US" w:eastAsia="zh-CN"/>
              </w:rPr>
              <w:t>①</w:t>
            </w:r>
            <w:r>
              <w:rPr>
                <w:rFonts w:hint="eastAsia" w:ascii="Times New Roman" w:hAnsi="Times New Roman" w:eastAsia="Times New Roman" w:cs="Times New Roman"/>
                <w:color w:val="auto"/>
                <w:sz w:val="24"/>
                <w:szCs w:val="24"/>
                <w:highlight w:val="none"/>
              </w:rPr>
              <w:t>本项目贮存的危险废物为</w:t>
            </w:r>
            <w:r>
              <w:rPr>
                <w:rFonts w:hint="eastAsia" w:ascii="Times New Roman" w:hAnsi="Times New Roman" w:eastAsia="Times New Roman" w:cs="Times New Roman"/>
                <w:color w:val="auto"/>
                <w:sz w:val="24"/>
                <w:szCs w:val="24"/>
                <w:highlight w:val="none"/>
                <w:lang w:val="en-US" w:eastAsia="zh-CN"/>
              </w:rPr>
              <w:t>废蓄电池、废液压油、废空压机油、废汽轮机油、废变压器油、废润滑油、废油漆桶、废油桶、</w:t>
            </w:r>
            <w:r>
              <w:rPr>
                <w:rFonts w:hint="eastAsia" w:eastAsia="Times New Roman" w:cs="Times New Roman"/>
                <w:color w:val="auto"/>
                <w:sz w:val="24"/>
                <w:szCs w:val="24"/>
                <w:highlight w:val="none"/>
                <w:lang w:val="en-US" w:eastAsia="zh-CN"/>
              </w:rPr>
              <w:t>实验室废液及废试剂瓶</w:t>
            </w:r>
            <w:r>
              <w:rPr>
                <w:rFonts w:hint="eastAsia" w:ascii="Times New Roman" w:hAnsi="Times New Roman" w:eastAsia="Times New Roman" w:cs="Times New Roman"/>
                <w:color w:val="auto"/>
                <w:sz w:val="24"/>
                <w:szCs w:val="24"/>
                <w:highlight w:val="none"/>
              </w:rPr>
              <w:t>等</w:t>
            </w:r>
            <w:r>
              <w:rPr>
                <w:rFonts w:hint="eastAsia" w:ascii="Times New Roman" w:hAnsi="Times New Roman" w:eastAsia="Times New Roman"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分类分区存放，不与相容的物质或材料接触。</w:t>
            </w:r>
          </w:p>
          <w:p w14:paraId="002CA392">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Times New Roman" w:cs="Times New Roman"/>
                <w:color w:val="auto"/>
                <w:sz w:val="24"/>
                <w:szCs w:val="24"/>
                <w:highlight w:val="none"/>
                <w:lang w:val="en-US" w:eastAsia="zh-CN"/>
              </w:rPr>
              <w:t>②</w:t>
            </w:r>
            <w:r>
              <w:rPr>
                <w:rFonts w:hint="eastAsia" w:ascii="Times New Roman" w:hAnsi="Times New Roman" w:eastAsia="Times New Roman" w:cs="Times New Roman"/>
                <w:color w:val="auto"/>
                <w:sz w:val="24"/>
                <w:szCs w:val="24"/>
                <w:highlight w:val="none"/>
                <w:lang w:val="en-US" w:eastAsia="zh-CN"/>
              </w:rPr>
              <w:t>本项目废液压油、废空压机油、废汽轮机油、废变压器油、废润滑油桶装加盖密封贮存</w:t>
            </w:r>
            <w:r>
              <w:rPr>
                <w:rFonts w:hint="eastAsia" w:eastAsia="Times New Roman" w:cs="Times New Roman"/>
                <w:color w:val="auto"/>
                <w:sz w:val="24"/>
                <w:szCs w:val="24"/>
                <w:highlight w:val="none"/>
                <w:lang w:val="en-US" w:eastAsia="zh-CN"/>
              </w:rPr>
              <w:t>，</w:t>
            </w:r>
            <w:r>
              <w:rPr>
                <w:rFonts w:hint="eastAsia" w:ascii="Times New Roman" w:hAnsi="Times New Roman" w:eastAsia="Times New Roman" w:cs="Times New Roman"/>
                <w:color w:val="auto"/>
                <w:sz w:val="24"/>
                <w:szCs w:val="24"/>
                <w:highlight w:val="none"/>
                <w:lang w:val="en-US" w:eastAsia="zh-CN"/>
              </w:rPr>
              <w:t>废油漆桶、废油桶加盖密封贮存</w:t>
            </w:r>
            <w:r>
              <w:rPr>
                <w:rFonts w:hint="eastAsia" w:eastAsia="Times New Roman" w:cs="Times New Roman"/>
                <w:color w:val="auto"/>
                <w:sz w:val="24"/>
                <w:szCs w:val="24"/>
                <w:highlight w:val="none"/>
                <w:lang w:val="en-US" w:eastAsia="zh-CN"/>
              </w:rPr>
              <w:t>，</w:t>
            </w:r>
            <w:r>
              <w:rPr>
                <w:rFonts w:hint="eastAsia" w:ascii="Times New Roman" w:hAnsi="Times New Roman" w:eastAsia="Times New Roman" w:cs="Times New Roman"/>
                <w:color w:val="auto"/>
                <w:sz w:val="24"/>
                <w:szCs w:val="24"/>
                <w:highlight w:val="none"/>
                <w:lang w:val="en-US" w:eastAsia="zh-CN"/>
              </w:rPr>
              <w:t>废蓄电池、</w:t>
            </w:r>
            <w:r>
              <w:rPr>
                <w:rFonts w:hint="eastAsia" w:eastAsia="Times New Roman" w:cs="Times New Roman"/>
                <w:color w:val="auto"/>
                <w:sz w:val="24"/>
                <w:szCs w:val="24"/>
                <w:highlight w:val="none"/>
                <w:lang w:val="en-US" w:eastAsia="zh-CN"/>
              </w:rPr>
              <w:t>实验室废液及废试剂瓶</w:t>
            </w:r>
            <w:r>
              <w:rPr>
                <w:rFonts w:hint="eastAsia" w:ascii="Times New Roman" w:hAnsi="Times New Roman" w:eastAsia="Times New Roman" w:cs="Times New Roman"/>
                <w:color w:val="auto"/>
                <w:sz w:val="24"/>
                <w:szCs w:val="24"/>
                <w:highlight w:val="none"/>
                <w:lang w:val="en-US" w:eastAsia="zh-CN"/>
              </w:rPr>
              <w:t>、废劳保用品经耐酸耐腐蚀箱内加盖密闭贮存。</w:t>
            </w:r>
            <w:r>
              <w:rPr>
                <w:rFonts w:hint="eastAsia" w:ascii="Times New Roman" w:hAnsi="Times New Roman" w:eastAsia="Times New Roman" w:cs="Times New Roman"/>
                <w:color w:val="auto"/>
                <w:sz w:val="24"/>
                <w:szCs w:val="24"/>
                <w:highlight w:val="none"/>
              </w:rPr>
              <w:t>项目收集采用多种包装形式贮存危险废物，加盖封闭贮存，防渗漏，防挥发等措施减少渗滤液及其衍生废物、VOCs、有毒有害大气污染物和刺激性气味气体等污染物的产生。</w:t>
            </w:r>
          </w:p>
          <w:p w14:paraId="4C815ED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Times New Roman" w:cs="Times New Roman"/>
                <w:color w:val="auto"/>
                <w:sz w:val="24"/>
                <w:szCs w:val="24"/>
                <w:highlight w:val="none"/>
                <w:lang w:val="en-US" w:eastAsia="zh-CN"/>
              </w:rPr>
              <w:t>③</w:t>
            </w:r>
            <w:r>
              <w:rPr>
                <w:rFonts w:hint="eastAsia" w:ascii="Times New Roman" w:hAnsi="Times New Roman" w:eastAsia="Times New Roman" w:cs="Times New Roman"/>
                <w:color w:val="auto"/>
                <w:sz w:val="24"/>
                <w:szCs w:val="24"/>
                <w:highlight w:val="none"/>
              </w:rPr>
              <w:t>本项目贮存场所、容器和包装物均按《危险废物识别标志设置技术规范》（HJ1276-2022）要求设置危险废物贮存场所标志、危险废物贮存分区标志和危险废物标签等危险废物识别标志。</w:t>
            </w:r>
          </w:p>
          <w:p w14:paraId="1A1FFF27">
            <w:pPr>
              <w:pStyle w:val="13"/>
              <w:keepNext w:val="0"/>
              <w:keepLines w:val="0"/>
              <w:pageBreakBefore w:val="0"/>
              <w:widowControl w:val="0"/>
              <w:kinsoku/>
              <w:wordWrap/>
              <w:overflowPunct/>
              <w:topLinePunct w:val="0"/>
              <w:autoSpaceDE w:val="0"/>
              <w:autoSpaceDN w:val="0"/>
              <w:bidi w:val="0"/>
              <w:spacing w:line="360" w:lineRule="auto"/>
              <w:ind w:firstLine="482" w:firstLineChars="200"/>
              <w:jc w:val="both"/>
              <w:textAlignment w:val="auto"/>
              <w:rPr>
                <w:rFonts w:ascii="Times New Roman" w:hAnsi="Times New Roman" w:eastAsia="Times New Roman" w:cs="Times New Roman"/>
                <w:b/>
                <w:bCs/>
                <w:color w:val="auto"/>
                <w:sz w:val="24"/>
                <w:szCs w:val="24"/>
                <w:highlight w:val="none"/>
              </w:rPr>
            </w:pPr>
            <w:r>
              <w:rPr>
                <w:rFonts w:hint="eastAsia" w:eastAsia="宋体" w:cs="Times New Roman"/>
                <w:b/>
                <w:bCs/>
                <w:color w:val="auto"/>
                <w:sz w:val="24"/>
                <w:szCs w:val="24"/>
                <w:highlight w:val="none"/>
                <w:lang w:val="en-US" w:eastAsia="zh-CN"/>
              </w:rPr>
              <w:t>2、</w:t>
            </w:r>
            <w:r>
              <w:rPr>
                <w:rFonts w:hint="eastAsia" w:ascii="Times New Roman" w:hAnsi="Times New Roman" w:eastAsia="Times New Roman" w:cs="Times New Roman"/>
                <w:b/>
                <w:bCs/>
                <w:color w:val="auto"/>
                <w:sz w:val="24"/>
                <w:szCs w:val="24"/>
                <w:highlight w:val="none"/>
              </w:rPr>
              <w:t>容器和包装物污染控制要求</w:t>
            </w:r>
          </w:p>
          <w:p w14:paraId="588C329D">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lang w:val="en-US" w:eastAsia="zh-CN"/>
              </w:rPr>
              <w:t>①</w:t>
            </w:r>
            <w:r>
              <w:rPr>
                <w:rFonts w:hint="eastAsia" w:ascii="Times New Roman" w:hAnsi="Times New Roman" w:eastAsia="Times New Roman" w:cs="Times New Roman"/>
                <w:color w:val="auto"/>
                <w:sz w:val="24"/>
                <w:szCs w:val="24"/>
                <w:highlight w:val="none"/>
              </w:rPr>
              <w:t>本项目废液压油、废空压机油、废汽轮机油、废变压器油、废润滑油桶装加盖密封贮存，废油漆桶、废油桶加盖密封贮存，废蓄电池、</w:t>
            </w:r>
            <w:r>
              <w:rPr>
                <w:rFonts w:hint="eastAsia" w:eastAsia="宋体" w:cs="Times New Roman"/>
                <w:color w:val="auto"/>
                <w:sz w:val="24"/>
                <w:szCs w:val="24"/>
                <w:highlight w:val="none"/>
                <w:lang w:eastAsia="zh-CN"/>
              </w:rPr>
              <w:t>实验室废液及废试剂瓶</w:t>
            </w:r>
            <w:r>
              <w:rPr>
                <w:rFonts w:hint="eastAsia" w:ascii="Times New Roman" w:hAnsi="Times New Roman" w:eastAsia="Times New Roman" w:cs="Times New Roman"/>
                <w:color w:val="auto"/>
                <w:sz w:val="24"/>
                <w:szCs w:val="24"/>
                <w:highlight w:val="none"/>
              </w:rPr>
              <w:t>、废劳保用品经耐酸耐腐蚀箱内加盖密闭贮存。符合容器和包装物材质、内衬均与盛装的危险废物相容，容器和包装物材质满足防渗、防漏、防腐和强度要求。</w:t>
            </w:r>
          </w:p>
          <w:p w14:paraId="157E9AC3">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lang w:val="en-US" w:eastAsia="zh-CN"/>
              </w:rPr>
              <w:t>②</w:t>
            </w:r>
            <w:r>
              <w:rPr>
                <w:rFonts w:hint="eastAsia" w:ascii="Times New Roman" w:hAnsi="Times New Roman" w:eastAsia="Times New Roman" w:cs="Times New Roman"/>
                <w:color w:val="auto"/>
                <w:sz w:val="24"/>
                <w:szCs w:val="24"/>
                <w:highlight w:val="none"/>
              </w:rPr>
              <w:t>硬质容器和包装物及其支护结构堆叠码放时不应有明显变形，如发现变形、破损泄漏等情况应及时更换包装。</w:t>
            </w:r>
          </w:p>
          <w:p w14:paraId="3503E9A1">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lang w:val="en-US" w:eastAsia="zh-CN"/>
              </w:rPr>
              <w:t>③</w:t>
            </w:r>
            <w:r>
              <w:rPr>
                <w:rFonts w:hint="eastAsia" w:ascii="Times New Roman" w:hAnsi="Times New Roman" w:eastAsia="Times New Roman" w:cs="Times New Roman"/>
                <w:color w:val="auto"/>
                <w:sz w:val="24"/>
                <w:szCs w:val="24"/>
                <w:highlight w:val="none"/>
              </w:rPr>
              <w:t>本项目不涉及柔性容器。</w:t>
            </w:r>
          </w:p>
          <w:p w14:paraId="7226A791">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lang w:val="en-US" w:eastAsia="zh-CN"/>
              </w:rPr>
              <w:t>④</w:t>
            </w:r>
            <w:r>
              <w:rPr>
                <w:rFonts w:hint="eastAsia" w:ascii="Times New Roman" w:hAnsi="Times New Roman" w:eastAsia="Times New Roman" w:cs="Times New Roman"/>
                <w:color w:val="auto"/>
                <w:sz w:val="24"/>
                <w:szCs w:val="24"/>
                <w:highlight w:val="none"/>
              </w:rPr>
              <w:t>本项目采用铁桶盛装废润滑油留有适当的空间，可有效避免因温度变化等可能引发的收缩和膨胀，防止其导致容器渗漏或永久变形。</w:t>
            </w:r>
          </w:p>
          <w:p w14:paraId="4FF75CF6">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lang w:val="en-US" w:eastAsia="zh-CN"/>
              </w:rPr>
              <w:t>⑤</w:t>
            </w:r>
            <w:r>
              <w:rPr>
                <w:rFonts w:hint="eastAsia" w:ascii="Times New Roman" w:hAnsi="Times New Roman" w:eastAsia="Times New Roman" w:cs="Times New Roman"/>
                <w:color w:val="auto"/>
                <w:sz w:val="24"/>
                <w:szCs w:val="24"/>
                <w:highlight w:val="none"/>
              </w:rPr>
              <w:t>定期对容器和包装物外表面进行清洁，应保持容器和包装物外表面清洁。</w:t>
            </w:r>
          </w:p>
          <w:p w14:paraId="102ECD69">
            <w:pPr>
              <w:pStyle w:val="13"/>
              <w:ind w:firstLine="480"/>
              <w:rPr>
                <w:rFonts w:hint="default"/>
                <w:b/>
                <w:bCs/>
                <w:color w:val="auto"/>
                <w:highlight w:val="none"/>
                <w:lang w:val="en-US" w:eastAsia="zh-CN"/>
              </w:rPr>
            </w:pPr>
            <w:r>
              <w:rPr>
                <w:rFonts w:hint="eastAsia" w:cs="Times New Roman"/>
                <w:b/>
                <w:bCs/>
                <w:color w:val="auto"/>
                <w:sz w:val="24"/>
                <w:szCs w:val="24"/>
                <w:highlight w:val="none"/>
                <w:lang w:val="en-US" w:eastAsia="zh-CN"/>
              </w:rPr>
              <w:t>3、</w:t>
            </w:r>
            <w:r>
              <w:rPr>
                <w:rFonts w:hint="eastAsia"/>
                <w:b/>
                <w:bCs/>
                <w:color w:val="auto"/>
                <w:highlight w:val="none"/>
                <w:lang w:val="en-US" w:eastAsia="zh-CN"/>
              </w:rPr>
              <w:t>贮存点环境管理要求</w:t>
            </w:r>
          </w:p>
          <w:p w14:paraId="08CBB51A">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color w:val="auto"/>
                <w:highlight w:val="none"/>
                <w:lang w:eastAsia="zh-CN"/>
              </w:rPr>
            </w:pPr>
            <w:r>
              <w:rPr>
                <w:rFonts w:hint="eastAsia" w:ascii="Times New Roman" w:hAnsi="Times New Roman" w:eastAsia="Times New Roman" w:cs="Times New Roman"/>
                <w:color w:val="auto"/>
                <w:sz w:val="24"/>
                <w:szCs w:val="24"/>
                <w:highlight w:val="none"/>
                <w:lang w:val="en-US" w:eastAsia="zh-CN"/>
              </w:rPr>
              <w:t>①</w:t>
            </w:r>
            <w:r>
              <w:rPr>
                <w:rFonts w:hint="eastAsia"/>
                <w:color w:val="auto"/>
                <w:highlight w:val="none"/>
                <w:lang w:eastAsia="zh-CN"/>
              </w:rPr>
              <w:t>本贮存点通过改造原有闲置库房进行贮存，有固定的区域边界。</w:t>
            </w:r>
          </w:p>
          <w:p w14:paraId="4DA1DCFD">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宋体" w:cs="Times New Roman"/>
                <w:color w:val="auto"/>
                <w:sz w:val="24"/>
                <w:szCs w:val="24"/>
                <w:highlight w:val="none"/>
                <w:lang w:eastAsia="zh-CN"/>
              </w:rPr>
              <w:t>②</w:t>
            </w:r>
            <w:r>
              <w:rPr>
                <w:rFonts w:hint="eastAsia"/>
                <w:color w:val="auto"/>
                <w:highlight w:val="none"/>
                <w:lang w:eastAsia="zh-CN"/>
              </w:rPr>
              <w:t>通过改造原有库房进行贮存危险废物，并设置</w:t>
            </w:r>
            <w:r>
              <w:rPr>
                <w:rFonts w:hint="eastAsia" w:ascii="Times New Roman" w:hAnsi="Times New Roman" w:eastAsia="Times New Roman" w:cs="Times New Roman"/>
                <w:color w:val="auto"/>
                <w:sz w:val="24"/>
                <w:szCs w:val="24"/>
                <w:highlight w:val="none"/>
              </w:rPr>
              <w:t>导流</w:t>
            </w:r>
            <w:r>
              <w:rPr>
                <w:rFonts w:hint="eastAsia" w:ascii="Times New Roman" w:hAnsi="Times New Roman" w:eastAsia="Times New Roman" w:cs="Times New Roman"/>
                <w:color w:val="auto"/>
                <w:sz w:val="24"/>
                <w:szCs w:val="24"/>
                <w:highlight w:val="none"/>
                <w:lang w:val="en-US" w:eastAsia="zh-CN"/>
              </w:rPr>
              <w:t>沟</w:t>
            </w:r>
            <w:r>
              <w:rPr>
                <w:rFonts w:hint="eastAsia" w:ascii="Times New Roman" w:hAnsi="Times New Roman" w:eastAsia="Times New Roman" w:cs="Times New Roman"/>
                <w:color w:val="auto"/>
                <w:sz w:val="24"/>
                <w:szCs w:val="24"/>
                <w:highlight w:val="none"/>
              </w:rPr>
              <w:t>和集液池等措施，可满足防风、防雨、防晒和防止危险废物流失、扬散等措施。</w:t>
            </w:r>
          </w:p>
          <w:p w14:paraId="55A7AA6E">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Times New Roman" w:cs="Times New Roman"/>
                <w:color w:val="auto"/>
                <w:sz w:val="24"/>
                <w:szCs w:val="24"/>
                <w:highlight w:val="none"/>
                <w:lang w:val="en-US" w:eastAsia="zh-CN"/>
              </w:rPr>
              <w:t>③</w:t>
            </w:r>
            <w:r>
              <w:rPr>
                <w:rFonts w:hint="eastAsia" w:ascii="Times New Roman" w:hAnsi="Times New Roman" w:eastAsia="Times New Roman" w:cs="Times New Roman"/>
                <w:color w:val="auto"/>
                <w:sz w:val="24"/>
                <w:szCs w:val="24"/>
                <w:highlight w:val="none"/>
              </w:rPr>
              <w:t>本项目废液压油、废空压机油、废汽轮机油、废变压器油、废润滑油桶装加盖密封贮存，废油漆桶、废油桶加盖密封贮存，废蓄电池、</w:t>
            </w:r>
            <w:r>
              <w:rPr>
                <w:rFonts w:hint="eastAsia" w:eastAsia="宋体" w:cs="Times New Roman"/>
                <w:color w:val="auto"/>
                <w:sz w:val="24"/>
                <w:szCs w:val="24"/>
                <w:highlight w:val="none"/>
                <w:lang w:eastAsia="zh-CN"/>
              </w:rPr>
              <w:t>实验室废液及废试剂瓶</w:t>
            </w:r>
            <w:r>
              <w:rPr>
                <w:rFonts w:hint="eastAsia" w:ascii="Times New Roman" w:hAnsi="Times New Roman" w:eastAsia="Times New Roman" w:cs="Times New Roman"/>
                <w:color w:val="auto"/>
                <w:sz w:val="24"/>
                <w:szCs w:val="24"/>
                <w:highlight w:val="none"/>
              </w:rPr>
              <w:t>、废劳保用品经耐酸耐腐蚀箱内加盖密闭贮存。项目收集采用多种包装形式贮存危险废物，不直接散堆。</w:t>
            </w:r>
          </w:p>
          <w:p w14:paraId="1C42139B">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eastAsia="Times New Roman" w:cs="Times New Roman"/>
                <w:color w:val="auto"/>
                <w:sz w:val="24"/>
                <w:szCs w:val="24"/>
                <w:highlight w:val="none"/>
                <w:lang w:val="en-US" w:eastAsia="zh-CN"/>
              </w:rPr>
              <w:t>④</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内地面及裙脚进行防腐防渗处理，并设置集液设施，可达到防渗、防漏及防止流失等污染防治措施要求。项目贮存区地面、围堰采用坚固材料并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ascii="Times New Roman" w:hAnsi="Times New Roman" w:eastAsia="Times New Roman" w:cs="Times New Roman"/>
                <w:color w:val="auto"/>
                <w:sz w:val="24"/>
                <w:szCs w:val="24"/>
                <w:highlight w:val="none"/>
                <w:vertAlign w:val="superscript"/>
              </w:rPr>
              <w:t>-7</w:t>
            </w:r>
            <w:r>
              <w:rPr>
                <w:rFonts w:hint="eastAsia" w:ascii="Times New Roman" w:hAnsi="Times New Roman" w:eastAsia="Times New Roman" w:cs="Times New Roman"/>
                <w:color w:val="auto"/>
                <w:sz w:val="24"/>
                <w:szCs w:val="24"/>
                <w:highlight w:val="none"/>
              </w:rPr>
              <w:t>cm/s），或至少2mm厚高密度聚乙烯膜等人工防渗材料（渗透系数不大于10</w:t>
            </w:r>
            <w:r>
              <w:rPr>
                <w:rFonts w:hint="eastAsia" w:ascii="Times New Roman" w:hAnsi="Times New Roman" w:eastAsia="Times New Roman" w:cs="Times New Roman"/>
                <w:color w:val="auto"/>
                <w:sz w:val="24"/>
                <w:szCs w:val="24"/>
                <w:highlight w:val="none"/>
                <w:vertAlign w:val="superscript"/>
              </w:rPr>
              <w:t>-10</w:t>
            </w:r>
            <w:r>
              <w:rPr>
                <w:rFonts w:hint="eastAsia" w:ascii="Times New Roman" w:hAnsi="Times New Roman" w:eastAsia="Times New Roman" w:cs="Times New Roman"/>
                <w:color w:val="auto"/>
                <w:sz w:val="24"/>
                <w:szCs w:val="24"/>
                <w:highlight w:val="none"/>
              </w:rPr>
              <w:t>cm/s），或其他防渗性能等效的材料。</w:t>
            </w:r>
          </w:p>
          <w:p w14:paraId="693C9DCA">
            <w:pPr>
              <w:rPr>
                <w:rFonts w:hint="eastAsia" w:eastAsia="宋体"/>
                <w:color w:val="auto"/>
                <w:highlight w:val="none"/>
                <w:lang w:eastAsia="zh-CN"/>
              </w:rPr>
            </w:pPr>
            <w:r>
              <w:rPr>
                <w:rFonts w:hint="eastAsia" w:eastAsia="宋体" w:cs="Times New Roman"/>
                <w:color w:val="auto"/>
                <w:sz w:val="24"/>
                <w:szCs w:val="24"/>
                <w:highlight w:val="none"/>
                <w:lang w:eastAsia="zh-CN"/>
              </w:rPr>
              <w:t>⑤</w:t>
            </w:r>
            <w:r>
              <w:rPr>
                <w:rFonts w:hint="eastAsia"/>
                <w:color w:val="auto"/>
                <w:highlight w:val="none"/>
                <w:lang w:eastAsia="zh-CN"/>
              </w:rPr>
              <w:t>企业设置危险废物贮存制度，保证危险废物实时贮存量不超过3吨。</w:t>
            </w:r>
          </w:p>
          <w:p w14:paraId="74D76BF3">
            <w:pPr>
              <w:pStyle w:val="13"/>
              <w:keepNext w:val="0"/>
              <w:keepLines w:val="0"/>
              <w:pageBreakBefore w:val="0"/>
              <w:widowControl w:val="0"/>
              <w:kinsoku/>
              <w:wordWrap/>
              <w:overflowPunct/>
              <w:topLinePunct w:val="0"/>
              <w:autoSpaceDE w:val="0"/>
              <w:autoSpaceDN w:val="0"/>
              <w:bidi w:val="0"/>
              <w:spacing w:line="360" w:lineRule="auto"/>
              <w:ind w:firstLine="482" w:firstLineChars="200"/>
              <w:jc w:val="both"/>
              <w:textAlignment w:val="auto"/>
              <w:rPr>
                <w:rFonts w:hint="eastAsia" w:ascii="Times New Roman" w:hAnsi="Times New Roman" w:eastAsia="Times New Roman" w:cs="Times New Roman"/>
                <w:b/>
                <w:bCs/>
                <w:color w:val="auto"/>
                <w:sz w:val="24"/>
                <w:szCs w:val="24"/>
                <w:highlight w:val="none"/>
              </w:rPr>
            </w:pPr>
            <w:r>
              <w:rPr>
                <w:rFonts w:hint="eastAsia" w:cs="Times New Roman"/>
                <w:b/>
                <w:bCs/>
                <w:color w:val="auto"/>
                <w:sz w:val="24"/>
                <w:szCs w:val="24"/>
                <w:highlight w:val="none"/>
                <w:lang w:val="en-US" w:eastAsia="zh-CN"/>
              </w:rPr>
              <w:t>4、</w:t>
            </w:r>
            <w:r>
              <w:rPr>
                <w:rFonts w:hint="eastAsia" w:ascii="Times New Roman" w:hAnsi="Times New Roman" w:eastAsia="Times New Roman" w:cs="Times New Roman"/>
                <w:b/>
                <w:bCs/>
                <w:color w:val="auto"/>
                <w:sz w:val="24"/>
                <w:szCs w:val="24"/>
                <w:highlight w:val="none"/>
              </w:rPr>
              <w:t>危险废物转移要求</w:t>
            </w:r>
          </w:p>
          <w:p w14:paraId="07554F41">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转移危险废物必须按照《危险废物转移管理办法》（部令第23号），具体要求如下：</w:t>
            </w:r>
          </w:p>
          <w:p w14:paraId="6ECE1B6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①危险废物转移联单应当根据危险废物管理计划中填报的危险废物转移等备案信息填写、运行。</w:t>
            </w:r>
          </w:p>
          <w:p w14:paraId="73FDE707">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t>②</w:t>
            </w:r>
            <w:r>
              <w:rPr>
                <w:rFonts w:hint="eastAsia" w:ascii="Times New Roman" w:hAnsi="Times New Roman" w:eastAsia="Times New Roman" w:cs="Times New Roman"/>
                <w:color w:val="auto"/>
                <w:sz w:val="24"/>
                <w:szCs w:val="24"/>
                <w:highlight w:val="none"/>
              </w:rPr>
              <w:t>危险废物转移联单实行全国统一编号，编号由十四位阿拉伯数字组成。第一至四位数字为年份代码；第五，六位数字为移出地省级行政区划代码；第七，八位数字为移出地设区的市级行政区划代码；其余六位数字以移出地设区的市级行政区域为单位进行流水编号。</w:t>
            </w:r>
          </w:p>
          <w:p w14:paraId="6E94E2C3">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t>③</w:t>
            </w:r>
            <w:r>
              <w:rPr>
                <w:rFonts w:hint="eastAsia" w:ascii="Times New Roman" w:hAnsi="Times New Roman" w:eastAsia="Times New Roman" w:cs="Times New Roman"/>
                <w:color w:val="auto"/>
                <w:sz w:val="24"/>
                <w:szCs w:val="24"/>
                <w:highlight w:val="none"/>
              </w:rPr>
              <w:t>移出人每转移一车（船或者其他运输工具）次同类危险废物，应当填写、运行一份危险废物转移联单；每车（船或者其他运输工具）次转移多类危险废物的，可以填写、运行一份危险废物转移联单，也可以每一类危险废物填写、运行一份危险废物转移联单。</w:t>
            </w:r>
          </w:p>
          <w:p w14:paraId="60CC5058">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④使用同一车（船或者其他运输工具）一次为多个移出人转移危险废物的，每个移出人应当分别填写、运行危险废物转移联单。</w:t>
            </w:r>
          </w:p>
          <w:p w14:paraId="19332367">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⑤采用联运方式转移危险废物的，前一承运人和后一承运人应当明确运输交接的时间和地点。后一承运人应当核实危险废物转移联单确定的移出人信息、前一承运人信息及危险废物相关信息。</w:t>
            </w:r>
          </w:p>
          <w:p w14:paraId="59E1DB51">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⑥接受人应当对运抵的危险废物进行核实验收，并在接受之日起五个工作日内通过信息系统确认接受。</w:t>
            </w:r>
          </w:p>
          <w:p w14:paraId="48A79568">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⑦运抵的危险废物的名称、数量、特性、形态、包装方式与危险废物转移联单填写内容不符的，接受人应当及时告知移出人，视情况决定是否接受，同时向接受地生态环境主管部门报告。</w:t>
            </w:r>
          </w:p>
          <w:p w14:paraId="601B8E98">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fldChar w:fldCharType="begin"/>
            </w:r>
            <w:r>
              <w:rPr>
                <w:rFonts w:ascii="Times New Roman" w:hAnsi="Times New Roman" w:eastAsia="Times New Roman" w:cs="Times New Roman"/>
                <w:color w:val="auto"/>
                <w:sz w:val="24"/>
                <w:szCs w:val="24"/>
                <w:highlight w:val="none"/>
              </w:rPr>
              <w:instrText xml:space="preserve"> = 8 \* GB3 \* MERGEFORMAT </w:instrText>
            </w:r>
            <w:r>
              <w:rPr>
                <w:rFonts w:ascii="Times New Roman" w:hAnsi="Times New Roman" w:eastAsia="Times New Roman" w:cs="Times New Roman"/>
                <w:color w:val="auto"/>
                <w:sz w:val="24"/>
                <w:szCs w:val="24"/>
                <w:highlight w:val="none"/>
              </w:rPr>
              <w:fldChar w:fldCharType="separate"/>
            </w:r>
            <w:r>
              <w:rPr>
                <w:rFonts w:ascii="Times New Roman" w:hAnsi="Times New Roman" w:eastAsia="Times New Roman" w:cs="Times New Roman"/>
                <w:color w:val="auto"/>
                <w:sz w:val="24"/>
                <w:szCs w:val="24"/>
                <w:highlight w:val="none"/>
              </w:rPr>
              <w:t>⑧</w:t>
            </w:r>
            <w:r>
              <w:rPr>
                <w:rFonts w:ascii="Times New Roman" w:hAnsi="Times New Roman" w:eastAsia="Times New Roman" w:cs="Times New Roman"/>
                <w:color w:val="auto"/>
                <w:sz w:val="24"/>
                <w:szCs w:val="24"/>
                <w:highlight w:val="none"/>
              </w:rPr>
              <w:fldChar w:fldCharType="end"/>
            </w:r>
            <w:r>
              <w:rPr>
                <w:rFonts w:hint="eastAsia" w:ascii="Times New Roman" w:hAnsi="Times New Roman" w:eastAsia="Times New Roman" w:cs="Times New Roman"/>
                <w:color w:val="auto"/>
                <w:sz w:val="24"/>
                <w:szCs w:val="24"/>
                <w:highlight w:val="none"/>
              </w:rPr>
              <w:t>对不通过车（船或者其他运输工具），且无法按次对危险废物计量的其他方式转移危险废物的，移出人和接收人应当分别配备计量记录设备，将每天危险废物转移的种类、重量（数量）、形态和危险特性等信息纳入相关台账记录，并根据所在地设区的市级以上地方生态环境主管部门的要求填写、运行危险废物转移联单。</w:t>
            </w:r>
          </w:p>
          <w:p w14:paraId="1C3A58EE">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fldChar w:fldCharType="begin"/>
            </w:r>
            <w:r>
              <w:rPr>
                <w:rFonts w:hint="eastAsia" w:ascii="Times New Roman" w:hAnsi="Times New Roman" w:eastAsia="Times New Roman" w:cs="Times New Roman"/>
                <w:color w:val="auto"/>
                <w:sz w:val="24"/>
                <w:szCs w:val="24"/>
                <w:highlight w:val="none"/>
              </w:rPr>
              <w:instrText xml:space="preserve"> = 9 \* GB3 \* MERGEFORMAT </w:instrText>
            </w:r>
            <w:r>
              <w:rPr>
                <w:rFonts w:hint="eastAsia" w:ascii="Times New Roman" w:hAnsi="Times New Roman" w:eastAsia="Times New Roman" w:cs="Times New Roman"/>
                <w:color w:val="auto"/>
                <w:sz w:val="24"/>
                <w:szCs w:val="24"/>
                <w:highlight w:val="none"/>
              </w:rPr>
              <w:fldChar w:fldCharType="separate"/>
            </w:r>
            <w:r>
              <w:rPr>
                <w:rFonts w:ascii="Times New Roman" w:hAnsi="Times New Roman" w:eastAsia="Times New Roman" w:cs="Times New Roman"/>
                <w:color w:val="auto"/>
                <w:sz w:val="24"/>
                <w:szCs w:val="24"/>
                <w:highlight w:val="none"/>
              </w:rPr>
              <w:t>⑨</w:t>
            </w:r>
            <w:r>
              <w:rPr>
                <w:rFonts w:hint="eastAsia" w:ascii="Times New Roman" w:hAnsi="Times New Roman" w:eastAsia="Times New Roman" w:cs="Times New Roman"/>
                <w:color w:val="auto"/>
                <w:sz w:val="24"/>
                <w:szCs w:val="24"/>
                <w:highlight w:val="none"/>
              </w:rPr>
              <w:fldChar w:fldCharType="end"/>
            </w:r>
            <w:r>
              <w:rPr>
                <w:rFonts w:hint="eastAsia" w:ascii="Times New Roman" w:hAnsi="Times New Roman" w:eastAsia="Times New Roman" w:cs="Times New Roman"/>
                <w:color w:val="auto"/>
                <w:sz w:val="24"/>
                <w:szCs w:val="24"/>
                <w:highlight w:val="none"/>
              </w:rPr>
              <w:t>危险废物电子转移联单数据当在信息系统中至少保存十年。</w:t>
            </w:r>
          </w:p>
          <w:p w14:paraId="057251AB">
            <w:pPr>
              <w:pStyle w:val="13"/>
              <w:keepNext w:val="0"/>
              <w:keepLines w:val="0"/>
              <w:pageBreakBefore w:val="0"/>
              <w:widowControl w:val="0"/>
              <w:kinsoku/>
              <w:wordWrap/>
              <w:overflowPunct/>
              <w:topLinePunct w:val="0"/>
              <w:autoSpaceDE w:val="0"/>
              <w:autoSpaceDN w:val="0"/>
              <w:bidi w:val="0"/>
              <w:spacing w:line="360" w:lineRule="auto"/>
              <w:ind w:firstLine="482" w:firstLineChars="200"/>
              <w:jc w:val="both"/>
              <w:textAlignment w:val="auto"/>
              <w:rPr>
                <w:rFonts w:hint="eastAsia" w:ascii="Times New Roman" w:hAnsi="Times New Roman" w:eastAsia="Times New Roman" w:cs="Times New Roman"/>
                <w:color w:val="auto"/>
                <w:sz w:val="24"/>
                <w:szCs w:val="24"/>
                <w:highlight w:val="none"/>
              </w:rPr>
            </w:pPr>
            <w:r>
              <w:rPr>
                <w:rFonts w:hint="eastAsia" w:cs="Times New Roman"/>
                <w:b/>
                <w:bCs/>
                <w:color w:val="auto"/>
                <w:sz w:val="24"/>
                <w:szCs w:val="24"/>
                <w:highlight w:val="none"/>
                <w:lang w:val="en-US" w:eastAsia="zh-CN"/>
              </w:rPr>
              <w:t>5、</w:t>
            </w:r>
            <w:r>
              <w:rPr>
                <w:rFonts w:hint="eastAsia" w:ascii="Times New Roman" w:hAnsi="Times New Roman" w:eastAsia="Times New Roman" w:cs="Times New Roman"/>
                <w:b/>
                <w:bCs/>
                <w:color w:val="auto"/>
                <w:sz w:val="24"/>
                <w:szCs w:val="24"/>
                <w:highlight w:val="none"/>
              </w:rPr>
              <w:t>台账要求</w:t>
            </w:r>
          </w:p>
          <w:p w14:paraId="0DB3D13C">
            <w:pPr>
              <w:pStyle w:val="13"/>
              <w:keepNext w:val="0"/>
              <w:keepLines w:val="0"/>
              <w:pageBreakBefore w:val="0"/>
              <w:widowControl w:val="0"/>
              <w:numPr>
                <w:ilvl w:val="0"/>
                <w:numId w:val="0"/>
              </w:numPr>
              <w:kinsoku/>
              <w:wordWrap/>
              <w:overflowPunct/>
              <w:topLinePunct w:val="0"/>
              <w:autoSpaceDE w:val="0"/>
              <w:autoSpaceDN w:val="0"/>
              <w:bidi w:val="0"/>
              <w:spacing w:line="360" w:lineRule="auto"/>
              <w:ind w:left="0" w:leftChars="0"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kern w:val="2"/>
                <w:sz w:val="24"/>
                <w:szCs w:val="24"/>
                <w:highlight w:val="none"/>
                <w:lang w:val="en-US" w:eastAsia="zh-CN" w:bidi="ar-SA"/>
              </w:rPr>
              <w:t>①</w:t>
            </w:r>
            <w:r>
              <w:rPr>
                <w:rFonts w:hint="eastAsia" w:ascii="Times New Roman" w:hAnsi="Times New Roman" w:eastAsia="Times New Roman" w:cs="Times New Roman"/>
                <w:color w:val="auto"/>
                <w:sz w:val="24"/>
                <w:szCs w:val="24"/>
                <w:highlight w:val="none"/>
              </w:rPr>
              <w:t>危险废物管理台账分为电子管理台账和纸质管理台账两种形式。单位通过国家危险废物信息管理系统、企业自建信息管理系统或第三方平台等方式记录电子管理台账。</w:t>
            </w:r>
          </w:p>
          <w:p w14:paraId="466EA28B">
            <w:pPr>
              <w:pStyle w:val="13"/>
              <w:keepNext w:val="0"/>
              <w:keepLines w:val="0"/>
              <w:pageBreakBefore w:val="0"/>
              <w:widowControl w:val="0"/>
              <w:numPr>
                <w:ilvl w:val="0"/>
                <w:numId w:val="0"/>
              </w:numPr>
              <w:kinsoku/>
              <w:wordWrap/>
              <w:overflowPunct/>
              <w:topLinePunct w:val="0"/>
              <w:autoSpaceDE w:val="0"/>
              <w:autoSpaceDN w:val="0"/>
              <w:bidi w:val="0"/>
              <w:spacing w:line="360" w:lineRule="auto"/>
              <w:ind w:left="0" w:leftChars="0"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kern w:val="2"/>
                <w:sz w:val="24"/>
                <w:szCs w:val="24"/>
                <w:highlight w:val="none"/>
                <w:lang w:val="en-US" w:eastAsia="zh-CN" w:bidi="ar-SA"/>
              </w:rPr>
              <w:t>②</w:t>
            </w:r>
            <w:r>
              <w:rPr>
                <w:rFonts w:hint="eastAsia" w:ascii="Times New Roman" w:hAnsi="Times New Roman" w:eastAsia="Times New Roman" w:cs="Times New Roman"/>
                <w:color w:val="auto"/>
                <w:sz w:val="24"/>
                <w:szCs w:val="24"/>
                <w:highlight w:val="none"/>
              </w:rPr>
              <w:t>根据危险废物产生规律确定记录频次危险废物产生环节，应记录产生批次编码、产生时间、危险废物名称、危险废物类别、危险废物代码、产生量、计量单位、容器/包装编码、容器/包装类型、容器/包装数量、产生危险废物设施编码、产生部门经办人、去向等。</w:t>
            </w:r>
          </w:p>
          <w:p w14:paraId="1D5E8DBB">
            <w:pPr>
              <w:pStyle w:val="13"/>
              <w:keepNext w:val="0"/>
              <w:keepLines w:val="0"/>
              <w:pageBreakBefore w:val="0"/>
              <w:widowControl w:val="0"/>
              <w:numPr>
                <w:ilvl w:val="0"/>
                <w:numId w:val="0"/>
              </w:numPr>
              <w:kinsoku/>
              <w:wordWrap/>
              <w:overflowPunct/>
              <w:topLinePunct w:val="0"/>
              <w:autoSpaceDE w:val="0"/>
              <w:autoSpaceDN w:val="0"/>
              <w:bidi w:val="0"/>
              <w:spacing w:line="360" w:lineRule="auto"/>
              <w:ind w:left="0" w:leftChars="0"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kern w:val="2"/>
                <w:sz w:val="24"/>
                <w:szCs w:val="24"/>
                <w:highlight w:val="none"/>
                <w:lang w:val="en-US" w:eastAsia="zh-CN" w:bidi="ar-SA"/>
              </w:rPr>
              <w:t>③</w:t>
            </w:r>
            <w:r>
              <w:rPr>
                <w:rFonts w:hint="eastAsia" w:ascii="Times New Roman" w:hAnsi="Times New Roman" w:eastAsia="Times New Roman" w:cs="Times New Roman"/>
                <w:color w:val="auto"/>
                <w:sz w:val="24"/>
                <w:szCs w:val="24"/>
                <w:highlight w:val="none"/>
              </w:rPr>
              <w:t>危险废物入库环节，应记录入库批次编码、入库时间、容器/包装编码、容器/包装类型、容器/包装数量、危险废物名称、危险废物类别、危险废物代码、入库量、计量单位、贮存设施编码、贮存设施类型、运送部门经办人、贮存部门经办人、产生批次编码等。</w:t>
            </w:r>
          </w:p>
          <w:p w14:paraId="4F70139A">
            <w:pPr>
              <w:pStyle w:val="13"/>
              <w:keepNext w:val="0"/>
              <w:keepLines w:val="0"/>
              <w:pageBreakBefore w:val="0"/>
              <w:widowControl w:val="0"/>
              <w:numPr>
                <w:ilvl w:val="0"/>
                <w:numId w:val="0"/>
              </w:numPr>
              <w:kinsoku/>
              <w:wordWrap/>
              <w:overflowPunct/>
              <w:topLinePunct w:val="0"/>
              <w:autoSpaceDE w:val="0"/>
              <w:autoSpaceDN w:val="0"/>
              <w:bidi w:val="0"/>
              <w:spacing w:line="360" w:lineRule="auto"/>
              <w:ind w:left="0" w:leftChars="0"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kern w:val="2"/>
                <w:sz w:val="24"/>
                <w:szCs w:val="24"/>
                <w:highlight w:val="none"/>
                <w:lang w:val="en-US" w:eastAsia="zh-CN" w:bidi="ar-SA"/>
              </w:rPr>
              <w:t>④</w:t>
            </w:r>
            <w:r>
              <w:rPr>
                <w:rFonts w:hint="eastAsia" w:ascii="Times New Roman" w:hAnsi="Times New Roman" w:eastAsia="Times New Roman" w:cs="Times New Roman"/>
                <w:color w:val="auto"/>
                <w:sz w:val="24"/>
                <w:szCs w:val="24"/>
                <w:highlight w:val="none"/>
              </w:rPr>
              <w:t>危险废物出库环节，应记录出库批次编码、出库时间、容器/包装编码、容器/包装类型、容器/包装数量、危险废物名称、危险废物类别、危险废物代码、出库量、计量单位、贮存设施编码、贮存设施类型、出库部门经办人、运送部门经办人、入库批次编码、去向等。</w:t>
            </w:r>
          </w:p>
          <w:p w14:paraId="19ACDE87">
            <w:pPr>
              <w:pStyle w:val="13"/>
              <w:keepNext w:val="0"/>
              <w:keepLines w:val="0"/>
              <w:pageBreakBefore w:val="0"/>
              <w:widowControl w:val="0"/>
              <w:numPr>
                <w:ilvl w:val="0"/>
                <w:numId w:val="0"/>
              </w:numPr>
              <w:kinsoku/>
              <w:wordWrap/>
              <w:overflowPunct/>
              <w:topLinePunct w:val="0"/>
              <w:autoSpaceDE w:val="0"/>
              <w:autoSpaceDN w:val="0"/>
              <w:bidi w:val="0"/>
              <w:spacing w:line="360" w:lineRule="auto"/>
              <w:ind w:left="0" w:leftChars="0"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kern w:val="2"/>
                <w:sz w:val="24"/>
                <w:szCs w:val="24"/>
                <w:highlight w:val="none"/>
                <w:lang w:val="en-US" w:eastAsia="zh-CN" w:bidi="ar-SA"/>
              </w:rPr>
              <w:t>⑤</w:t>
            </w:r>
            <w:r>
              <w:rPr>
                <w:rFonts w:hint="eastAsia" w:ascii="Times New Roman" w:hAnsi="Times New Roman" w:eastAsia="Times New Roman" w:cs="Times New Roman"/>
                <w:color w:val="auto"/>
                <w:sz w:val="24"/>
                <w:szCs w:val="24"/>
                <w:highlight w:val="none"/>
              </w:rPr>
              <w:t>危险废物委外利用/处置环节，应记录委外利用/处置批次编码、出厂时间、容器/包装编码、容器/包装类型、容器/包装数量、危险废物名称、危险废物类别、危险废物代码、委外利用/处置量、计量单位、利用/处置方式、接收单位类型、利用/处置单位名称、许可证编码/出口核准通知单编号、生产批次编码/出库批次编码等。</w:t>
            </w:r>
          </w:p>
          <w:p w14:paraId="17E1A3E2">
            <w:pPr>
              <w:pStyle w:val="13"/>
              <w:keepNext w:val="0"/>
              <w:keepLines w:val="0"/>
              <w:pageBreakBefore w:val="0"/>
              <w:widowControl w:val="0"/>
              <w:numPr>
                <w:ilvl w:val="0"/>
                <w:numId w:val="0"/>
              </w:numPr>
              <w:kinsoku/>
              <w:wordWrap/>
              <w:overflowPunct/>
              <w:topLinePunct w:val="0"/>
              <w:autoSpaceDE w:val="0"/>
              <w:autoSpaceDN w:val="0"/>
              <w:bidi w:val="0"/>
              <w:spacing w:line="360" w:lineRule="auto"/>
              <w:ind w:left="0" w:leftChars="0"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kern w:val="2"/>
                <w:sz w:val="24"/>
                <w:szCs w:val="24"/>
                <w:highlight w:val="none"/>
                <w:lang w:val="en-US" w:eastAsia="zh-CN" w:bidi="ar-SA"/>
              </w:rPr>
              <w:t>⑥</w:t>
            </w:r>
            <w:r>
              <w:rPr>
                <w:rFonts w:hint="eastAsia" w:ascii="Times New Roman" w:hAnsi="Times New Roman" w:eastAsia="Times New Roman" w:cs="Times New Roman"/>
                <w:color w:val="auto"/>
                <w:sz w:val="24"/>
                <w:szCs w:val="24"/>
                <w:highlight w:val="none"/>
              </w:rPr>
              <w:t>保存时间原则上应存档5年以上。产生危险废物的单位应定期通过国家危险废物信息管理系统向所在地生态环境主管部门申报危险废物的种类、产生量、流向、贮存、利用、处置等有关资料。</w:t>
            </w:r>
          </w:p>
          <w:p w14:paraId="4658C97A">
            <w:pPr>
              <w:pStyle w:val="13"/>
              <w:keepNext w:val="0"/>
              <w:keepLines w:val="0"/>
              <w:pageBreakBefore w:val="0"/>
              <w:widowControl w:val="0"/>
              <w:numPr>
                <w:ilvl w:val="0"/>
                <w:numId w:val="0"/>
              </w:numPr>
              <w:kinsoku/>
              <w:wordWrap/>
              <w:overflowPunct/>
              <w:topLinePunct w:val="0"/>
              <w:autoSpaceDE w:val="0"/>
              <w:autoSpaceDN w:val="0"/>
              <w:bidi w:val="0"/>
              <w:spacing w:line="360" w:lineRule="auto"/>
              <w:ind w:left="0" w:leftChars="0"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kern w:val="2"/>
                <w:sz w:val="24"/>
                <w:szCs w:val="24"/>
                <w:highlight w:val="none"/>
                <w:lang w:val="en-US" w:eastAsia="zh-CN" w:bidi="ar-SA"/>
              </w:rPr>
              <w:t>⑦</w:t>
            </w:r>
            <w:r>
              <w:rPr>
                <w:rFonts w:hint="eastAsia" w:ascii="Times New Roman" w:hAnsi="Times New Roman" w:eastAsia="Times New Roman" w:cs="Times New Roman"/>
                <w:color w:val="auto"/>
                <w:sz w:val="24"/>
                <w:szCs w:val="24"/>
                <w:highlight w:val="none"/>
              </w:rPr>
              <w:t>本项目危险废物管理台账可参照</w:t>
            </w:r>
            <w:r>
              <w:rPr>
                <w:rFonts w:ascii="Times New Roman" w:hAnsi="Times New Roman" w:eastAsia="Times New Roman" w:cs="Times New Roman"/>
                <w:color w:val="auto"/>
                <w:sz w:val="24"/>
                <w:szCs w:val="24"/>
                <w:highlight w:val="none"/>
              </w:rPr>
              <w:t>《危险废物管理计划和管理台账制定技术导则》（HJ 1259-2022）</w:t>
            </w:r>
            <w:r>
              <w:rPr>
                <w:rFonts w:hint="eastAsia" w:ascii="Times New Roman" w:hAnsi="Times New Roman" w:eastAsia="Times New Roman" w:cs="Times New Roman"/>
                <w:color w:val="auto"/>
                <w:sz w:val="24"/>
                <w:szCs w:val="24"/>
                <w:highlight w:val="none"/>
              </w:rPr>
              <w:t>中附录B相关内容设置。</w:t>
            </w:r>
          </w:p>
          <w:p w14:paraId="573625E2">
            <w:pPr>
              <w:pStyle w:val="13"/>
              <w:keepNext w:val="0"/>
              <w:keepLines w:val="0"/>
              <w:pageBreakBefore w:val="0"/>
              <w:widowControl w:val="0"/>
              <w:numPr>
                <w:ilvl w:val="0"/>
                <w:numId w:val="0"/>
              </w:numPr>
              <w:kinsoku/>
              <w:wordWrap/>
              <w:overflowPunct/>
              <w:topLinePunct w:val="0"/>
              <w:autoSpaceDE w:val="0"/>
              <w:autoSpaceDN w:val="0"/>
              <w:bidi w:val="0"/>
              <w:spacing w:line="360" w:lineRule="auto"/>
              <w:ind w:left="0" w:leftChars="0"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kern w:val="2"/>
                <w:sz w:val="24"/>
                <w:szCs w:val="24"/>
                <w:highlight w:val="none"/>
                <w:lang w:val="en-US" w:eastAsia="zh-CN" w:bidi="ar-SA"/>
              </w:rPr>
              <w:t>⑧</w:t>
            </w:r>
            <w:r>
              <w:rPr>
                <w:rFonts w:hint="eastAsia" w:ascii="Times New Roman" w:hAnsi="Times New Roman" w:eastAsia="Times New Roman" w:cs="Times New Roman"/>
                <w:color w:val="auto"/>
                <w:sz w:val="24"/>
                <w:szCs w:val="24"/>
                <w:highlight w:val="none"/>
              </w:rPr>
              <w:t>本项目贮存设施符合《危险废物贮存污染控制标准》（GB 18597-2023），转移遵照《危险废物转移管理办法》（部令第23号），台账符合</w:t>
            </w:r>
            <w:r>
              <w:rPr>
                <w:rFonts w:ascii="Times New Roman" w:hAnsi="Times New Roman" w:eastAsia="Times New Roman" w:cs="Times New Roman"/>
                <w:color w:val="auto"/>
                <w:sz w:val="24"/>
                <w:szCs w:val="24"/>
                <w:highlight w:val="none"/>
              </w:rPr>
              <w:t>《危险废物管理计划和管理台账制定技术导则》（HJ 1259-2022）</w:t>
            </w:r>
            <w:r>
              <w:rPr>
                <w:rFonts w:hint="eastAsia" w:ascii="Times New Roman" w:hAnsi="Times New Roman" w:eastAsia="Times New Roman" w:cs="Times New Roman"/>
                <w:color w:val="auto"/>
                <w:sz w:val="24"/>
                <w:szCs w:val="24"/>
                <w:highlight w:val="none"/>
              </w:rPr>
              <w:t>。</w:t>
            </w:r>
          </w:p>
          <w:p w14:paraId="535843C4">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4.3小结</w:t>
            </w:r>
          </w:p>
          <w:p w14:paraId="7C2C88EC">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t>综上所述</w:t>
            </w:r>
            <w:r>
              <w:rPr>
                <w:rFonts w:hint="eastAsia" w:ascii="Times New Roman" w:hAnsi="Times New Roman" w:eastAsia="Times New Roman" w:cs="Times New Roman"/>
                <w:color w:val="auto"/>
                <w:sz w:val="24"/>
                <w:szCs w:val="24"/>
                <w:highlight w:val="none"/>
              </w:rPr>
              <w:t>，本项目</w:t>
            </w:r>
            <w:r>
              <w:rPr>
                <w:rFonts w:ascii="Times New Roman" w:hAnsi="Times New Roman" w:eastAsia="Times New Roman" w:cs="Times New Roman"/>
                <w:color w:val="auto"/>
                <w:sz w:val="24"/>
                <w:szCs w:val="24"/>
                <w:highlight w:val="none"/>
              </w:rPr>
              <w:t>产生的固体废物均能做到合理处置</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项目在采取评价提出的措施后不会对环境造成二次污染</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治理措施可行。</w:t>
            </w:r>
          </w:p>
          <w:p w14:paraId="538DB3F4">
            <w:pPr>
              <w:bidi w:val="0"/>
              <w:rPr>
                <w:rFonts w:hint="default"/>
                <w:b/>
                <w:bCs/>
                <w:color w:val="auto"/>
                <w:highlight w:val="none"/>
              </w:rPr>
            </w:pPr>
            <w:r>
              <w:rPr>
                <w:rFonts w:hint="default"/>
                <w:b/>
                <w:bCs/>
                <w:color w:val="auto"/>
                <w:highlight w:val="none"/>
              </w:rPr>
              <w:t>5地下水</w:t>
            </w:r>
          </w:p>
          <w:p w14:paraId="7E3D78F8">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ascii="Times New Roman" w:hAnsi="Times New Roman" w:eastAsia="Times New Roman" w:cs="Times New Roman"/>
                <w:b/>
                <w:bCs/>
                <w:color w:val="auto"/>
                <w:sz w:val="24"/>
                <w:szCs w:val="24"/>
                <w:highlight w:val="none"/>
              </w:rPr>
              <w:t>5.1</w:t>
            </w:r>
            <w:r>
              <w:rPr>
                <w:rFonts w:hint="eastAsia" w:ascii="Times New Roman" w:hAnsi="Times New Roman" w:eastAsia="Times New Roman" w:cs="Times New Roman"/>
                <w:b/>
                <w:bCs/>
                <w:color w:val="auto"/>
                <w:sz w:val="24"/>
                <w:szCs w:val="24"/>
                <w:highlight w:val="none"/>
              </w:rPr>
              <w:t>污染源、污染物类型</w:t>
            </w:r>
          </w:p>
          <w:p w14:paraId="1756C06D">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根据工程组成和环境影响分析，本项目生产运营过程中可能对地下水产生影响的污染源、污染物、污染物类型见下表。</w:t>
            </w:r>
          </w:p>
          <w:p w14:paraId="7620D2A9">
            <w:pPr>
              <w:pStyle w:val="25"/>
              <w:bidi w:val="0"/>
              <w:rPr>
                <w:color w:val="auto"/>
                <w:highlight w:val="none"/>
              </w:rPr>
            </w:pPr>
            <w:r>
              <w:rPr>
                <w:rFonts w:hint="eastAsia"/>
                <w:color w:val="auto"/>
                <w:highlight w:val="none"/>
              </w:rPr>
              <w:t>本项目地下水污染源、污染物和污染物类型表</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36"/>
              <w:gridCol w:w="2719"/>
              <w:gridCol w:w="3268"/>
            </w:tblGrid>
            <w:tr w14:paraId="62D79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3" w:type="pct"/>
                  <w:tcBorders>
                    <w:tl2br w:val="nil"/>
                    <w:tr2bl w:val="nil"/>
                  </w:tcBorders>
                  <w:vAlign w:val="center"/>
                </w:tcPr>
                <w:p w14:paraId="643E9F05">
                  <w:pPr>
                    <w:pStyle w:val="27"/>
                    <w:spacing w:line="240" w:lineRule="auto"/>
                    <w:rPr>
                      <w:rFonts w:hint="default"/>
                      <w:color w:val="auto"/>
                      <w:highlight w:val="none"/>
                    </w:rPr>
                  </w:pPr>
                  <w:r>
                    <w:rPr>
                      <w:rFonts w:eastAsia="宋体"/>
                      <w:b/>
                      <w:color w:val="auto"/>
                      <w:sz w:val="21"/>
                      <w:highlight w:val="none"/>
                    </w:rPr>
                    <w:t>污染源</w:t>
                  </w:r>
                </w:p>
              </w:tc>
              <w:tc>
                <w:tcPr>
                  <w:tcW w:w="1633" w:type="pct"/>
                  <w:tcBorders>
                    <w:tl2br w:val="nil"/>
                    <w:tr2bl w:val="nil"/>
                  </w:tcBorders>
                  <w:vAlign w:val="center"/>
                </w:tcPr>
                <w:p w14:paraId="516765F2">
                  <w:pPr>
                    <w:pStyle w:val="27"/>
                    <w:spacing w:line="240" w:lineRule="auto"/>
                    <w:rPr>
                      <w:rFonts w:hint="default"/>
                      <w:color w:val="auto"/>
                      <w:highlight w:val="none"/>
                    </w:rPr>
                  </w:pPr>
                  <w:r>
                    <w:rPr>
                      <w:rFonts w:eastAsia="宋体"/>
                      <w:b/>
                      <w:color w:val="auto"/>
                      <w:sz w:val="21"/>
                      <w:highlight w:val="none"/>
                    </w:rPr>
                    <w:t>污染物</w:t>
                  </w:r>
                </w:p>
              </w:tc>
              <w:tc>
                <w:tcPr>
                  <w:tcW w:w="1963" w:type="pct"/>
                  <w:tcBorders>
                    <w:tl2br w:val="nil"/>
                    <w:tr2bl w:val="nil"/>
                  </w:tcBorders>
                  <w:vAlign w:val="center"/>
                </w:tcPr>
                <w:p w14:paraId="06BEDAAC">
                  <w:pPr>
                    <w:pStyle w:val="27"/>
                    <w:spacing w:line="240" w:lineRule="auto"/>
                    <w:rPr>
                      <w:rFonts w:hint="default"/>
                      <w:color w:val="auto"/>
                      <w:highlight w:val="none"/>
                    </w:rPr>
                  </w:pPr>
                  <w:r>
                    <w:rPr>
                      <w:rFonts w:eastAsia="宋体"/>
                      <w:b/>
                      <w:color w:val="auto"/>
                      <w:sz w:val="21"/>
                      <w:highlight w:val="none"/>
                    </w:rPr>
                    <w:t>污染物类型</w:t>
                  </w:r>
                </w:p>
              </w:tc>
            </w:tr>
            <w:tr w14:paraId="3B88A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3" w:type="pct"/>
                  <w:tcBorders>
                    <w:tl2br w:val="nil"/>
                    <w:tr2bl w:val="nil"/>
                  </w:tcBorders>
                  <w:vAlign w:val="center"/>
                </w:tcPr>
                <w:p w14:paraId="05042407">
                  <w:pPr>
                    <w:pStyle w:val="24"/>
                    <w:spacing w:line="240" w:lineRule="auto"/>
                    <w:rPr>
                      <w:rFonts w:hint="eastAsia" w:eastAsiaTheme="minorEastAsia"/>
                      <w:color w:val="auto"/>
                      <w:highlight w:val="none"/>
                      <w:lang w:eastAsia="zh-CN"/>
                    </w:rPr>
                  </w:pPr>
                  <w:r>
                    <w:rPr>
                      <w:rFonts w:hint="eastAsia"/>
                      <w:color w:val="auto"/>
                      <w:highlight w:val="none"/>
                      <w:lang w:eastAsia="zh-CN"/>
                    </w:rPr>
                    <w:t>危险废物贮存点</w:t>
                  </w:r>
                </w:p>
              </w:tc>
              <w:tc>
                <w:tcPr>
                  <w:tcW w:w="1633" w:type="pct"/>
                  <w:tcBorders>
                    <w:tl2br w:val="nil"/>
                    <w:tr2bl w:val="nil"/>
                  </w:tcBorders>
                  <w:vAlign w:val="center"/>
                </w:tcPr>
                <w:p w14:paraId="0AE6DD9D">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油类物质、电解液</w:t>
                  </w:r>
                </w:p>
              </w:tc>
              <w:tc>
                <w:tcPr>
                  <w:tcW w:w="1963" w:type="pct"/>
                  <w:tcBorders>
                    <w:tl2br w:val="nil"/>
                    <w:tr2bl w:val="nil"/>
                  </w:tcBorders>
                  <w:vAlign w:val="center"/>
                </w:tcPr>
                <w:p w14:paraId="55D084EF">
                  <w:pPr>
                    <w:pStyle w:val="24"/>
                    <w:spacing w:line="240" w:lineRule="auto"/>
                    <w:rPr>
                      <w:color w:val="auto"/>
                      <w:highlight w:val="none"/>
                    </w:rPr>
                  </w:pPr>
                  <w:r>
                    <w:rPr>
                      <w:rFonts w:hint="eastAsia" w:eastAsia="宋体"/>
                      <w:bCs/>
                      <w:color w:val="auto"/>
                      <w:highlight w:val="none"/>
                    </w:rPr>
                    <w:t>非重金属、非持久性有机污染物</w:t>
                  </w:r>
                </w:p>
              </w:tc>
            </w:tr>
          </w:tbl>
          <w:p w14:paraId="0C495DA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ascii="Times New Roman" w:hAnsi="Times New Roman" w:eastAsia="Times New Roman" w:cs="Times New Roman"/>
                <w:b/>
                <w:bCs/>
                <w:color w:val="auto"/>
                <w:sz w:val="24"/>
                <w:szCs w:val="24"/>
                <w:highlight w:val="none"/>
              </w:rPr>
              <w:t>5.2</w:t>
            </w:r>
            <w:r>
              <w:rPr>
                <w:rFonts w:hint="eastAsia" w:ascii="Times New Roman" w:hAnsi="Times New Roman" w:eastAsia="Times New Roman" w:cs="Times New Roman"/>
                <w:b/>
                <w:bCs/>
                <w:color w:val="auto"/>
                <w:sz w:val="24"/>
                <w:szCs w:val="24"/>
                <w:highlight w:val="none"/>
              </w:rPr>
              <w:t>污染途径</w:t>
            </w:r>
          </w:p>
          <w:p w14:paraId="759AE080">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内的</w:t>
            </w:r>
            <w:r>
              <w:rPr>
                <w:rFonts w:hint="eastAsia" w:ascii="Times New Roman" w:hAnsi="Times New Roman" w:eastAsia="Times New Roman" w:cs="Times New Roman"/>
                <w:color w:val="auto"/>
                <w:sz w:val="24"/>
                <w:szCs w:val="24"/>
                <w:highlight w:val="none"/>
                <w:lang w:val="en-US" w:eastAsia="zh-CN"/>
              </w:rPr>
              <w:t>油类物质的包装物</w:t>
            </w:r>
            <w:r>
              <w:rPr>
                <w:rFonts w:hint="eastAsia" w:ascii="Times New Roman" w:hAnsi="Times New Roman" w:eastAsia="Times New Roman" w:cs="Times New Roman"/>
                <w:color w:val="auto"/>
                <w:sz w:val="24"/>
                <w:szCs w:val="24"/>
                <w:highlight w:val="none"/>
              </w:rPr>
              <w:t>破损</w:t>
            </w:r>
            <w:r>
              <w:rPr>
                <w:rFonts w:hint="eastAsia" w:eastAsia="宋体" w:cs="Times New Roman"/>
                <w:color w:val="auto"/>
                <w:sz w:val="24"/>
                <w:szCs w:val="24"/>
                <w:highlight w:val="none"/>
                <w:lang w:eastAsia="zh-CN"/>
              </w:rPr>
              <w:t>、废蓄电池破损</w:t>
            </w:r>
            <w:r>
              <w:rPr>
                <w:rFonts w:hint="eastAsia" w:ascii="Times New Roman" w:hAnsi="Times New Roman" w:eastAsia="Times New Roman" w:cs="Times New Roman"/>
                <w:color w:val="auto"/>
                <w:sz w:val="24"/>
                <w:szCs w:val="24"/>
                <w:highlight w:val="none"/>
                <w:lang w:val="en-US" w:eastAsia="zh-CN"/>
              </w:rPr>
              <w:t>而</w:t>
            </w:r>
            <w:r>
              <w:rPr>
                <w:rFonts w:hint="eastAsia" w:ascii="Times New Roman" w:hAnsi="Times New Roman" w:eastAsia="Times New Roman" w:cs="Times New Roman"/>
                <w:color w:val="auto"/>
                <w:sz w:val="24"/>
                <w:szCs w:val="24"/>
                <w:highlight w:val="none"/>
              </w:rPr>
              <w:t>发生泄漏，进入地下水造成污染。</w:t>
            </w:r>
          </w:p>
          <w:p w14:paraId="51A392F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5.3</w:t>
            </w:r>
            <w:r>
              <w:rPr>
                <w:rFonts w:ascii="Times New Roman" w:hAnsi="Times New Roman" w:eastAsia="Times New Roman" w:cs="Times New Roman"/>
                <w:b/>
                <w:bCs/>
                <w:color w:val="auto"/>
                <w:sz w:val="24"/>
                <w:szCs w:val="24"/>
                <w:highlight w:val="none"/>
              </w:rPr>
              <w:t>防控措施</w:t>
            </w:r>
          </w:p>
          <w:p w14:paraId="0B4A39B2">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宋体" w:cs="Times New Roman"/>
                <w:color w:val="auto"/>
                <w:sz w:val="24"/>
                <w:szCs w:val="24"/>
                <w:highlight w:val="none"/>
                <w:lang w:eastAsia="zh-CN"/>
              </w:rPr>
              <w:t>1、</w:t>
            </w:r>
            <w:r>
              <w:rPr>
                <w:rFonts w:hint="eastAsia" w:ascii="Times New Roman" w:hAnsi="Times New Roman" w:eastAsia="Times New Roman" w:cs="Times New Roman"/>
                <w:color w:val="auto"/>
                <w:sz w:val="24"/>
                <w:szCs w:val="24"/>
                <w:highlight w:val="none"/>
              </w:rPr>
              <w:t>为最大限度避免造成区域地下水污染，本项目采取如下污染控制措施：</w:t>
            </w:r>
          </w:p>
          <w:p w14:paraId="5E8C50AF">
            <w:pPr>
              <w:pStyle w:val="13"/>
              <w:keepNext w:val="0"/>
              <w:keepLines w:val="0"/>
              <w:pageBreakBefore w:val="0"/>
              <w:widowControl w:val="0"/>
              <w:numPr>
                <w:ilvl w:val="0"/>
                <w:numId w:val="0"/>
              </w:numPr>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kern w:val="2"/>
                <w:sz w:val="24"/>
                <w:szCs w:val="24"/>
                <w:highlight w:val="none"/>
                <w:lang w:val="en-US" w:eastAsia="zh-CN" w:bidi="ar-SA"/>
              </w:rPr>
              <w:t>（1）</w:t>
            </w:r>
            <w:r>
              <w:rPr>
                <w:rFonts w:ascii="Times New Roman" w:hAnsi="Times New Roman" w:eastAsia="Times New Roman" w:cs="Times New Roman"/>
                <w:color w:val="auto"/>
                <w:sz w:val="24"/>
                <w:szCs w:val="24"/>
                <w:highlight w:val="none"/>
              </w:rPr>
              <w:t>源头控制措施</w:t>
            </w:r>
          </w:p>
          <w:p w14:paraId="6E4EC2D4">
            <w:pPr>
              <w:pStyle w:val="13"/>
              <w:keepNext w:val="0"/>
              <w:keepLines w:val="0"/>
              <w:pageBreakBefore w:val="0"/>
              <w:widowControl w:val="0"/>
              <w:numPr>
                <w:ilvl w:val="-1"/>
                <w:numId w:val="0"/>
              </w:numPr>
              <w:kinsoku/>
              <w:wordWrap/>
              <w:overflowPunct/>
              <w:topLinePunct w:val="0"/>
              <w:autoSpaceDE/>
              <w:autoSpaceDN/>
              <w:bidi w:val="0"/>
              <w:spacing w:line="360" w:lineRule="auto"/>
              <w:ind w:firstLine="480" w:firstLineChars="200"/>
              <w:jc w:val="both"/>
              <w:textAlignment w:val="auto"/>
              <w:rPr>
                <w:rFonts w:hint="eastAsia"/>
                <w:color w:val="auto"/>
                <w:spacing w:val="-2"/>
                <w:highlight w:val="none"/>
              </w:rPr>
            </w:pPr>
            <w:r>
              <w:rPr>
                <w:rFonts w:hint="eastAsia" w:eastAsia="宋体" w:cs="Times New Roman"/>
                <w:color w:val="auto"/>
                <w:sz w:val="24"/>
                <w:szCs w:val="24"/>
                <w:highlight w:val="none"/>
                <w:lang w:eastAsia="zh-CN"/>
              </w:rPr>
              <w:t>①</w:t>
            </w:r>
            <w:r>
              <w:rPr>
                <w:color w:val="auto"/>
                <w:spacing w:val="-1"/>
                <w:highlight w:val="none"/>
              </w:rPr>
              <w:t>本项目拟暂存的液态危险废物均采用密封包装</w:t>
            </w:r>
            <w:r>
              <w:rPr>
                <w:color w:val="auto"/>
                <w:spacing w:val="-2"/>
                <w:highlight w:val="none"/>
              </w:rPr>
              <w:t>储存，建设单位在</w:t>
            </w:r>
            <w:r>
              <w:rPr>
                <w:color w:val="auto"/>
                <w:spacing w:val="-1"/>
                <w:highlight w:val="none"/>
              </w:rPr>
              <w:t>经营过程中加强管理，装卸过程注意轻拿轻放，液态危险</w:t>
            </w:r>
            <w:r>
              <w:rPr>
                <w:color w:val="auto"/>
                <w:spacing w:val="-2"/>
                <w:highlight w:val="none"/>
              </w:rPr>
              <w:t>废物进入危险废物</w:t>
            </w:r>
            <w:r>
              <w:rPr>
                <w:color w:val="auto"/>
                <w:spacing w:val="-1"/>
                <w:highlight w:val="none"/>
              </w:rPr>
              <w:t>贮存点暂存前检查包装是否完好。完好状态</w:t>
            </w:r>
            <w:r>
              <w:rPr>
                <w:color w:val="auto"/>
                <w:spacing w:val="-2"/>
                <w:highlight w:val="none"/>
              </w:rPr>
              <w:t>才允许入贮存点，并且从入厂、</w:t>
            </w:r>
            <w:r>
              <w:rPr>
                <w:rFonts w:hint="eastAsia"/>
                <w:color w:val="auto"/>
                <w:spacing w:val="-2"/>
                <w:highlight w:val="none"/>
              </w:rPr>
              <w:t>入贮存点到出贮存点，整个环节都保持原始包装状态，贮存过程不会打开包装容器。</w:t>
            </w:r>
          </w:p>
          <w:p w14:paraId="3E85F032">
            <w:pPr>
              <w:pStyle w:val="13"/>
              <w:keepNext w:val="0"/>
              <w:keepLines w:val="0"/>
              <w:pageBreakBefore w:val="0"/>
              <w:widowControl w:val="0"/>
              <w:numPr>
                <w:ilvl w:val="-1"/>
                <w:numId w:val="0"/>
              </w:numPr>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eastAsia="宋体" w:cs="Times New Roman"/>
                <w:color w:val="auto"/>
                <w:sz w:val="24"/>
                <w:szCs w:val="24"/>
                <w:highlight w:val="none"/>
                <w:lang w:eastAsia="zh-CN"/>
              </w:rPr>
              <w:t>②</w:t>
            </w:r>
            <w:r>
              <w:rPr>
                <w:rFonts w:hint="eastAsia" w:ascii="Times New Roman" w:hAnsi="Times New Roman" w:eastAsia="Times New Roman" w:cs="Times New Roman"/>
                <w:color w:val="auto"/>
                <w:sz w:val="24"/>
                <w:szCs w:val="24"/>
                <w:highlight w:val="none"/>
              </w:rPr>
              <w:t>定期对</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进行检查，发现</w:t>
            </w:r>
            <w:r>
              <w:rPr>
                <w:rFonts w:hint="eastAsia" w:ascii="Times New Roman" w:hAnsi="Times New Roman" w:eastAsia="Times New Roman" w:cs="Times New Roman"/>
                <w:color w:val="auto"/>
                <w:sz w:val="24"/>
                <w:szCs w:val="24"/>
                <w:highlight w:val="none"/>
                <w:lang w:val="en-US" w:eastAsia="zh-CN"/>
              </w:rPr>
              <w:t>包装物</w:t>
            </w:r>
            <w:r>
              <w:rPr>
                <w:rFonts w:hint="eastAsia" w:ascii="Times New Roman" w:hAnsi="Times New Roman" w:eastAsia="Times New Roman" w:cs="Times New Roman"/>
                <w:color w:val="auto"/>
                <w:sz w:val="24"/>
                <w:szCs w:val="24"/>
                <w:highlight w:val="none"/>
              </w:rPr>
              <w:t>破损时及时处理。</w:t>
            </w:r>
          </w:p>
          <w:p w14:paraId="1F8BA75C">
            <w:pPr>
              <w:pStyle w:val="13"/>
              <w:keepNext w:val="0"/>
              <w:keepLines w:val="0"/>
              <w:pageBreakBefore w:val="0"/>
              <w:widowControl w:val="0"/>
              <w:numPr>
                <w:ilvl w:val="0"/>
                <w:numId w:val="0"/>
              </w:numPr>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w:t>
            </w:r>
            <w:r>
              <w:rPr>
                <w:rFonts w:hint="eastAsia" w:eastAsia="宋体" w:cs="Times New Roman"/>
                <w:color w:val="auto"/>
                <w:sz w:val="24"/>
                <w:szCs w:val="24"/>
                <w:highlight w:val="none"/>
                <w:lang w:val="en-US" w:eastAsia="zh-CN"/>
              </w:rPr>
              <w:t>2）末端控制措施：主要包括建设区域污染区地面的防渗措施和泄漏、渗漏污染物收集措施，即在污染区地面进行防渗处理，防止洒落地面的污染物渗入地下，并把滞留在地面的污染物收集起来；末端控制采取分区防渗，根据可能泄漏至地面区域污染物的性质和生产单元的构筑方式，将地下水污染防治划分为重点防渗区，并采取防渗措施。</w:t>
            </w:r>
            <w:r>
              <w:rPr>
                <w:rFonts w:hint="eastAsia"/>
                <w:color w:val="auto"/>
                <w:spacing w:val="-2"/>
                <w:highlight w:val="none"/>
                <w:lang w:eastAsia="zh-CN"/>
              </w:rPr>
              <w:t>本项目危险废物贮存点地面与裙脚采取表面防渗措施，</w:t>
            </w:r>
            <w:r>
              <w:rPr>
                <w:rFonts w:hint="eastAsia"/>
                <w:color w:val="auto"/>
                <w:highlight w:val="none"/>
                <w:lang w:eastAsia="zh-CN"/>
              </w:rPr>
              <w:t>在基层处理的基础上，</w:t>
            </w:r>
            <w:r>
              <w:rPr>
                <w:rFonts w:hint="eastAsia"/>
                <w:color w:val="auto"/>
                <w:highlight w:val="none"/>
              </w:rPr>
              <w:t>采用</w:t>
            </w:r>
            <w:r>
              <w:rPr>
                <w:rFonts w:hint="eastAsia"/>
                <w:color w:val="auto"/>
                <w:highlight w:val="none"/>
                <w:lang w:eastAsia="zh-CN"/>
              </w:rPr>
              <w:t>防渗树脂等</w:t>
            </w:r>
            <w:r>
              <w:rPr>
                <w:rFonts w:hint="eastAsia"/>
                <w:color w:val="auto"/>
                <w:highlight w:val="none"/>
              </w:rPr>
              <w:t>材料</w:t>
            </w:r>
            <w:r>
              <w:rPr>
                <w:rFonts w:hint="eastAsia"/>
                <w:color w:val="auto"/>
                <w:highlight w:val="none"/>
                <w:lang w:eastAsia="zh-CN"/>
              </w:rPr>
              <w:t>。</w:t>
            </w:r>
            <w:r>
              <w:rPr>
                <w:rFonts w:hint="eastAsia"/>
                <w:color w:val="auto"/>
                <w:spacing w:val="-2"/>
                <w:highlight w:val="none"/>
                <w:lang w:eastAsia="zh-CN"/>
              </w:rPr>
              <w:t>并且设有导流沟和集液池，防渗措施到位。</w:t>
            </w:r>
          </w:p>
          <w:p w14:paraId="003580AD">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宋体" w:cs="Times New Roman"/>
                <w:color w:val="auto"/>
                <w:sz w:val="24"/>
                <w:szCs w:val="24"/>
                <w:highlight w:val="none"/>
                <w:lang w:val="en-US" w:eastAsia="zh-CN"/>
              </w:rPr>
              <w:t>（3</w:t>
            </w:r>
            <w:r>
              <w:rPr>
                <w:rFonts w:hint="eastAsia" w:ascii="Times New Roman" w:hAnsi="Times New Roman" w:eastAsia="Times New Roman"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分区</w:t>
            </w:r>
            <w:r>
              <w:rPr>
                <w:rFonts w:ascii="Times New Roman" w:hAnsi="Times New Roman" w:eastAsia="Times New Roman" w:cs="Times New Roman"/>
                <w:color w:val="auto"/>
                <w:sz w:val="24"/>
                <w:szCs w:val="24"/>
                <w:highlight w:val="none"/>
              </w:rPr>
              <w:t>防控措施</w:t>
            </w:r>
            <w:r>
              <w:rPr>
                <w:rFonts w:hint="eastAsia" w:ascii="Times New Roman" w:hAnsi="Times New Roman" w:eastAsia="Times New Roman" w:cs="Times New Roman"/>
                <w:color w:val="auto"/>
                <w:sz w:val="24"/>
                <w:szCs w:val="24"/>
                <w:highlight w:val="none"/>
              </w:rPr>
              <w:t>：</w:t>
            </w:r>
          </w:p>
          <w:p w14:paraId="1F962FB0">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本项目对地下水产生的影响的污染物主要来自</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为重点防渗区。</w:t>
            </w:r>
          </w:p>
          <w:p w14:paraId="5FB02750">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t>①</w:t>
            </w:r>
            <w:r>
              <w:rPr>
                <w:rFonts w:hint="eastAsia" w:ascii="Times New Roman" w:hAnsi="Times New Roman" w:eastAsia="Times New Roman" w:cs="Times New Roman"/>
                <w:color w:val="auto"/>
                <w:sz w:val="24"/>
                <w:szCs w:val="24"/>
                <w:highlight w:val="none"/>
              </w:rPr>
              <w:t>重点防渗区</w:t>
            </w:r>
          </w:p>
          <w:p w14:paraId="03E10F0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为重点防渗区，防渗参照《危险废物贮存污染控制标准》（GB 18597-2023），</w:t>
            </w:r>
            <w:r>
              <w:rPr>
                <w:rFonts w:ascii="Times New Roman" w:hAnsi="Times New Roman" w:eastAsia="Times New Roman" w:cs="Times New Roman"/>
                <w:color w:val="auto"/>
                <w:sz w:val="24"/>
                <w:szCs w:val="24"/>
                <w:highlight w:val="none"/>
              </w:rPr>
              <w:t>基础防渗层为1</w:t>
            </w:r>
            <w:r>
              <w:rPr>
                <w:rFonts w:hint="eastAsia" w:ascii="Times New Roman" w:hAnsi="Times New Roman" w:eastAsia="Times New Roman" w:cs="Times New Roman"/>
                <w:color w:val="auto"/>
                <w:sz w:val="24"/>
                <w:szCs w:val="24"/>
                <w:highlight w:val="none"/>
              </w:rPr>
              <w:t>m</w:t>
            </w:r>
            <w:r>
              <w:rPr>
                <w:rFonts w:ascii="Times New Roman" w:hAnsi="Times New Roman" w:eastAsia="Times New Roman" w:cs="Times New Roman"/>
                <w:color w:val="auto"/>
                <w:sz w:val="24"/>
                <w:szCs w:val="24"/>
                <w:highlight w:val="none"/>
              </w:rPr>
              <w:t>厚黏土层（渗透系数≤10</w:t>
            </w:r>
            <w:r>
              <w:rPr>
                <w:rFonts w:ascii="Times New Roman" w:hAnsi="Times New Roman" w:eastAsia="Times New Roman" w:cs="Times New Roman"/>
                <w:color w:val="auto"/>
                <w:sz w:val="24"/>
                <w:szCs w:val="24"/>
                <w:highlight w:val="none"/>
                <w:vertAlign w:val="superscript"/>
              </w:rPr>
              <w:t>-7</w:t>
            </w:r>
            <w:r>
              <w:rPr>
                <w:rFonts w:hint="eastAsia" w:ascii="Times New Roman" w:hAnsi="Times New Roman" w:eastAsia="Times New Roman" w:cs="Times New Roman"/>
                <w:color w:val="auto"/>
                <w:sz w:val="24"/>
                <w:szCs w:val="24"/>
                <w:highlight w:val="none"/>
              </w:rPr>
              <w:t>cm</w:t>
            </w:r>
            <w:r>
              <w:rPr>
                <w:rFonts w:ascii="Times New Roman" w:hAnsi="Times New Roman" w:eastAsia="Times New Roman" w:cs="Times New Roman"/>
                <w:color w:val="auto"/>
                <w:sz w:val="24"/>
                <w:szCs w:val="24"/>
                <w:highlight w:val="none"/>
              </w:rPr>
              <w:t>/秒），或至少2</w:t>
            </w:r>
            <w:r>
              <w:rPr>
                <w:rFonts w:hint="eastAsia" w:ascii="Times New Roman" w:hAnsi="Times New Roman" w:eastAsia="Times New Roman" w:cs="Times New Roman"/>
                <w:color w:val="auto"/>
                <w:sz w:val="24"/>
                <w:szCs w:val="24"/>
                <w:highlight w:val="none"/>
              </w:rPr>
              <w:t>mm</w:t>
            </w:r>
            <w:r>
              <w:rPr>
                <w:rFonts w:ascii="Times New Roman" w:hAnsi="Times New Roman" w:eastAsia="Times New Roman" w:cs="Times New Roman"/>
                <w:color w:val="auto"/>
                <w:sz w:val="24"/>
                <w:szCs w:val="24"/>
                <w:highlight w:val="none"/>
              </w:rPr>
              <w:t>厚高密度聚乙烯膜等人工防渗材料（渗透系数不大于10</w:t>
            </w:r>
            <w:r>
              <w:rPr>
                <w:rFonts w:ascii="Times New Roman" w:hAnsi="Times New Roman" w:eastAsia="Times New Roman" w:cs="Times New Roman"/>
                <w:color w:val="auto"/>
                <w:sz w:val="24"/>
                <w:szCs w:val="24"/>
                <w:highlight w:val="none"/>
                <w:vertAlign w:val="superscript"/>
              </w:rPr>
              <w:t>-10</w:t>
            </w:r>
            <w:r>
              <w:rPr>
                <w:rFonts w:ascii="Times New Roman" w:hAnsi="Times New Roman" w:eastAsia="Times New Roman" w:cs="Times New Roman"/>
                <w:color w:val="auto"/>
                <w:sz w:val="24"/>
                <w:szCs w:val="24"/>
                <w:highlight w:val="none"/>
              </w:rPr>
              <w:t>cm/s），或其他防渗性能等效的材料。</w:t>
            </w:r>
          </w:p>
          <w:p w14:paraId="13C27D5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t>本项目分区防渗图见附图</w:t>
            </w:r>
            <w:r>
              <w:rPr>
                <w:rFonts w:hint="eastAsia" w:eastAsia="宋体" w:cs="Times New Roman"/>
                <w:color w:val="auto"/>
                <w:sz w:val="24"/>
                <w:szCs w:val="24"/>
                <w:highlight w:val="none"/>
                <w:lang w:val="en-US" w:eastAsia="zh-CN"/>
              </w:rPr>
              <w:t>4</w:t>
            </w:r>
            <w:r>
              <w:rPr>
                <w:rFonts w:ascii="Times New Roman" w:hAnsi="Times New Roman" w:eastAsia="Times New Roman" w:cs="Times New Roman"/>
                <w:color w:val="auto"/>
                <w:sz w:val="24"/>
                <w:szCs w:val="24"/>
                <w:highlight w:val="none"/>
              </w:rPr>
              <w:t>。</w:t>
            </w:r>
          </w:p>
          <w:p w14:paraId="7AC0A036">
            <w:pPr>
              <w:rPr>
                <w:rFonts w:ascii="Times New Roman" w:hAnsi="Times New Roman" w:eastAsia="Times New Roman" w:cs="Times New Roman"/>
                <w:color w:val="auto"/>
                <w:sz w:val="24"/>
                <w:szCs w:val="24"/>
                <w:highlight w:val="none"/>
              </w:rPr>
            </w:pPr>
          </w:p>
          <w:p w14:paraId="72F5E9C9">
            <w:pPr>
              <w:rPr>
                <w:rFonts w:ascii="Times New Roman" w:hAnsi="Times New Roman" w:eastAsia="Times New Roman" w:cs="Times New Roman"/>
                <w:color w:val="auto"/>
                <w:sz w:val="24"/>
                <w:szCs w:val="24"/>
                <w:highlight w:val="none"/>
              </w:rPr>
            </w:pPr>
          </w:p>
          <w:p w14:paraId="58BA5653">
            <w:pPr>
              <w:rPr>
                <w:rFonts w:ascii="Times New Roman" w:hAnsi="Times New Roman" w:eastAsia="Times New Roman" w:cs="Times New Roman"/>
                <w:color w:val="auto"/>
                <w:sz w:val="24"/>
                <w:szCs w:val="24"/>
                <w:highlight w:val="none"/>
              </w:rPr>
            </w:pPr>
          </w:p>
          <w:p w14:paraId="5D36B2FF">
            <w:pPr>
              <w:rPr>
                <w:rFonts w:ascii="Times New Roman" w:hAnsi="Times New Roman" w:eastAsia="Times New Roman" w:cs="Times New Roman"/>
                <w:color w:val="auto"/>
                <w:sz w:val="24"/>
                <w:szCs w:val="24"/>
                <w:highlight w:val="none"/>
              </w:rPr>
            </w:pPr>
          </w:p>
          <w:p w14:paraId="5061F91C">
            <w:pPr>
              <w:pStyle w:val="25"/>
              <w:bidi w:val="0"/>
              <w:rPr>
                <w:color w:val="auto"/>
                <w:highlight w:val="none"/>
              </w:rPr>
            </w:pPr>
            <w:r>
              <w:rPr>
                <w:rFonts w:hint="eastAsia"/>
                <w:color w:val="auto"/>
                <w:highlight w:val="none"/>
              </w:rPr>
              <w:t>地下水污染防控分区一览表</w:t>
            </w:r>
          </w:p>
          <w:tbl>
            <w:tblPr>
              <w:tblStyle w:val="16"/>
              <w:tblW w:w="4995"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autofit"/>
              <w:tblCellMar>
                <w:top w:w="0" w:type="dxa"/>
                <w:left w:w="108" w:type="dxa"/>
                <w:bottom w:w="0" w:type="dxa"/>
                <w:right w:w="108" w:type="dxa"/>
              </w:tblCellMar>
            </w:tblPr>
            <w:tblGrid>
              <w:gridCol w:w="444"/>
              <w:gridCol w:w="855"/>
              <w:gridCol w:w="1236"/>
              <w:gridCol w:w="1308"/>
              <w:gridCol w:w="4480"/>
            </w:tblGrid>
            <w:tr w14:paraId="01F7F553">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97" w:hRule="atLeast"/>
                <w:jc w:val="center"/>
              </w:trPr>
              <w:tc>
                <w:tcPr>
                  <w:tcW w:w="267" w:type="pct"/>
                  <w:vAlign w:val="center"/>
                </w:tcPr>
                <w:p w14:paraId="599E9098">
                  <w:pPr>
                    <w:pStyle w:val="27"/>
                    <w:spacing w:line="240" w:lineRule="auto"/>
                    <w:rPr>
                      <w:rFonts w:hint="default"/>
                      <w:color w:val="auto"/>
                      <w:highlight w:val="none"/>
                    </w:rPr>
                  </w:pPr>
                  <w:r>
                    <w:rPr>
                      <w:rFonts w:hint="default" w:eastAsia="宋体"/>
                      <w:b/>
                      <w:color w:val="auto"/>
                      <w:sz w:val="21"/>
                      <w:highlight w:val="none"/>
                    </w:rPr>
                    <w:t>序号</w:t>
                  </w:r>
                </w:p>
              </w:tc>
              <w:tc>
                <w:tcPr>
                  <w:tcW w:w="513" w:type="pct"/>
                  <w:vAlign w:val="center"/>
                </w:tcPr>
                <w:p w14:paraId="331E06DD">
                  <w:pPr>
                    <w:pStyle w:val="27"/>
                    <w:spacing w:line="240" w:lineRule="auto"/>
                    <w:rPr>
                      <w:rFonts w:hint="default"/>
                      <w:color w:val="auto"/>
                      <w:highlight w:val="none"/>
                    </w:rPr>
                  </w:pPr>
                  <w:r>
                    <w:rPr>
                      <w:rFonts w:hint="default" w:eastAsia="宋体"/>
                      <w:b/>
                      <w:color w:val="auto"/>
                      <w:sz w:val="21"/>
                      <w:highlight w:val="none"/>
                    </w:rPr>
                    <w:t>污染防控分区</w:t>
                  </w:r>
                </w:p>
              </w:tc>
              <w:tc>
                <w:tcPr>
                  <w:tcW w:w="742" w:type="pct"/>
                  <w:vAlign w:val="center"/>
                </w:tcPr>
                <w:p w14:paraId="21FA187D">
                  <w:pPr>
                    <w:pStyle w:val="27"/>
                    <w:spacing w:line="240" w:lineRule="auto"/>
                    <w:rPr>
                      <w:rFonts w:hint="default"/>
                      <w:color w:val="auto"/>
                      <w:highlight w:val="none"/>
                    </w:rPr>
                  </w:pPr>
                  <w:r>
                    <w:rPr>
                      <w:rFonts w:hint="default" w:eastAsia="宋体"/>
                      <w:b/>
                      <w:color w:val="auto"/>
                      <w:sz w:val="21"/>
                      <w:highlight w:val="none"/>
                    </w:rPr>
                    <w:t>生产装置、单元名称</w:t>
                  </w:r>
                </w:p>
              </w:tc>
              <w:tc>
                <w:tcPr>
                  <w:tcW w:w="785" w:type="pct"/>
                  <w:vAlign w:val="center"/>
                </w:tcPr>
                <w:p w14:paraId="128A42D6">
                  <w:pPr>
                    <w:pStyle w:val="27"/>
                    <w:spacing w:line="240" w:lineRule="auto"/>
                    <w:rPr>
                      <w:rFonts w:hint="default"/>
                      <w:color w:val="auto"/>
                      <w:highlight w:val="none"/>
                    </w:rPr>
                  </w:pPr>
                  <w:r>
                    <w:rPr>
                      <w:rFonts w:hint="default" w:eastAsia="宋体"/>
                      <w:b/>
                      <w:color w:val="auto"/>
                      <w:sz w:val="21"/>
                      <w:highlight w:val="none"/>
                    </w:rPr>
                    <w:t>污染防控区域及部位</w:t>
                  </w:r>
                </w:p>
              </w:tc>
              <w:tc>
                <w:tcPr>
                  <w:tcW w:w="2689" w:type="pct"/>
                  <w:vAlign w:val="center"/>
                </w:tcPr>
                <w:p w14:paraId="5D32D3E6">
                  <w:pPr>
                    <w:pStyle w:val="27"/>
                    <w:spacing w:line="240" w:lineRule="auto"/>
                    <w:rPr>
                      <w:rFonts w:hint="default"/>
                      <w:color w:val="auto"/>
                      <w:highlight w:val="none"/>
                    </w:rPr>
                  </w:pPr>
                  <w:r>
                    <w:rPr>
                      <w:rFonts w:hint="default" w:eastAsia="宋体"/>
                      <w:b/>
                      <w:color w:val="auto"/>
                      <w:sz w:val="21"/>
                      <w:highlight w:val="none"/>
                    </w:rPr>
                    <w:t>防渗要求</w:t>
                  </w:r>
                </w:p>
              </w:tc>
            </w:tr>
            <w:tr w14:paraId="1D86C207">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97" w:hRule="atLeast"/>
                <w:jc w:val="center"/>
              </w:trPr>
              <w:tc>
                <w:tcPr>
                  <w:tcW w:w="267" w:type="pct"/>
                  <w:vAlign w:val="center"/>
                </w:tcPr>
                <w:p w14:paraId="208B31AB">
                  <w:pPr>
                    <w:keepNext w:val="0"/>
                    <w:keepLines w:val="0"/>
                    <w:pageBreakBefore w:val="0"/>
                    <w:kinsoku/>
                    <w:wordWrap/>
                    <w:overflowPunct/>
                    <w:autoSpaceDE/>
                    <w:autoSpaceDN/>
                    <w:bidi w:val="0"/>
                    <w:spacing w:line="240" w:lineRule="auto"/>
                    <w:ind w:firstLine="0" w:firstLineChars="0"/>
                    <w:jc w:val="both"/>
                    <w:rPr>
                      <w:color w:val="auto"/>
                      <w:highlight w:val="none"/>
                    </w:rPr>
                  </w:pPr>
                  <w:r>
                    <w:rPr>
                      <w:rFonts w:hint="eastAsia"/>
                      <w:color w:val="auto"/>
                      <w:highlight w:val="none"/>
                    </w:rPr>
                    <w:t>1</w:t>
                  </w:r>
                </w:p>
              </w:tc>
              <w:tc>
                <w:tcPr>
                  <w:tcW w:w="513" w:type="pct"/>
                  <w:vAlign w:val="center"/>
                </w:tcPr>
                <w:p w14:paraId="16FD2FAA">
                  <w:pPr>
                    <w:pStyle w:val="24"/>
                    <w:spacing w:line="240" w:lineRule="auto"/>
                    <w:rPr>
                      <w:color w:val="auto"/>
                      <w:highlight w:val="none"/>
                    </w:rPr>
                  </w:pPr>
                  <w:r>
                    <w:rPr>
                      <w:rFonts w:hint="eastAsia"/>
                      <w:color w:val="auto"/>
                      <w:highlight w:val="none"/>
                    </w:rPr>
                    <w:t>重点防渗</w:t>
                  </w:r>
                </w:p>
              </w:tc>
              <w:tc>
                <w:tcPr>
                  <w:tcW w:w="742" w:type="pct"/>
                  <w:vAlign w:val="center"/>
                </w:tcPr>
                <w:p w14:paraId="0A1A3C44">
                  <w:pPr>
                    <w:pStyle w:val="24"/>
                    <w:spacing w:line="240" w:lineRule="auto"/>
                    <w:rPr>
                      <w:color w:val="auto"/>
                      <w:highlight w:val="none"/>
                    </w:rPr>
                  </w:pPr>
                  <w:r>
                    <w:rPr>
                      <w:rFonts w:hint="eastAsia"/>
                      <w:color w:val="auto"/>
                      <w:highlight w:val="none"/>
                      <w:lang w:eastAsia="zh-CN"/>
                    </w:rPr>
                    <w:t>危险废物贮存点</w:t>
                  </w:r>
                  <w:r>
                    <w:rPr>
                      <w:rFonts w:hint="eastAsia"/>
                      <w:color w:val="auto"/>
                      <w:highlight w:val="none"/>
                    </w:rPr>
                    <w:t>（含导流</w:t>
                  </w:r>
                  <w:r>
                    <w:rPr>
                      <w:rFonts w:hint="eastAsia"/>
                      <w:color w:val="auto"/>
                      <w:highlight w:val="none"/>
                      <w:lang w:eastAsia="zh-CN"/>
                    </w:rPr>
                    <w:t>沟</w:t>
                  </w:r>
                  <w:r>
                    <w:rPr>
                      <w:rFonts w:hint="eastAsia"/>
                      <w:color w:val="auto"/>
                      <w:highlight w:val="none"/>
                    </w:rPr>
                    <w:t>、集液池）</w:t>
                  </w:r>
                </w:p>
              </w:tc>
              <w:tc>
                <w:tcPr>
                  <w:tcW w:w="785" w:type="pct"/>
                  <w:vAlign w:val="center"/>
                </w:tcPr>
                <w:p w14:paraId="2B86B653">
                  <w:pPr>
                    <w:pStyle w:val="24"/>
                    <w:spacing w:line="240" w:lineRule="auto"/>
                    <w:rPr>
                      <w:color w:val="auto"/>
                      <w:highlight w:val="none"/>
                    </w:rPr>
                  </w:pPr>
                  <w:r>
                    <w:rPr>
                      <w:rFonts w:hint="eastAsia"/>
                      <w:color w:val="auto"/>
                      <w:highlight w:val="none"/>
                    </w:rPr>
                    <w:t>地面、裙脚</w:t>
                  </w:r>
                </w:p>
              </w:tc>
              <w:tc>
                <w:tcPr>
                  <w:tcW w:w="2689" w:type="pct"/>
                  <w:vAlign w:val="center"/>
                </w:tcPr>
                <w:p w14:paraId="6A0D5BC7">
                  <w:pPr>
                    <w:pStyle w:val="24"/>
                    <w:spacing w:line="240" w:lineRule="auto"/>
                    <w:rPr>
                      <w:color w:val="auto"/>
                      <w:highlight w:val="none"/>
                    </w:rPr>
                  </w:pPr>
                  <w:r>
                    <w:rPr>
                      <w:rFonts w:hint="eastAsia"/>
                      <w:color w:val="auto"/>
                      <w:highlight w:val="none"/>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auto"/>
                      <w:highlight w:val="none"/>
                      <w:vertAlign w:val="superscript"/>
                    </w:rPr>
                    <w:t>-7</w:t>
                  </w:r>
                  <w:r>
                    <w:rPr>
                      <w:rFonts w:hint="eastAsia"/>
                      <w:color w:val="auto"/>
                      <w:highlight w:val="none"/>
                    </w:rPr>
                    <w:t>cm/s），或至少2 mm厚高密度聚乙烯膜等人工防渗材料（渗透系数不大于10</w:t>
                  </w:r>
                  <w:r>
                    <w:rPr>
                      <w:rFonts w:hint="eastAsia"/>
                      <w:color w:val="auto"/>
                      <w:highlight w:val="none"/>
                      <w:vertAlign w:val="superscript"/>
                    </w:rPr>
                    <w:t>-10</w:t>
                  </w:r>
                  <w:r>
                    <w:rPr>
                      <w:rFonts w:hint="eastAsia"/>
                      <w:color w:val="auto"/>
                      <w:highlight w:val="none"/>
                    </w:rPr>
                    <w:t>cm/s）</w:t>
                  </w:r>
                </w:p>
              </w:tc>
            </w:tr>
          </w:tbl>
          <w:p w14:paraId="0DCB5194">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color w:val="auto"/>
                <w:highlight w:val="none"/>
              </w:rPr>
            </w:pPr>
            <w:r>
              <w:rPr>
                <w:rFonts w:hint="eastAsia"/>
                <w:color w:val="auto"/>
                <w:highlight w:val="none"/>
              </w:rPr>
              <w:t>本项目建设过程中严格按照《危险废物贮存污染控制标准》（GB18597-2023）、《危险废物收集、贮存、运输技术规范》（HJ2025-2012）等规范的要求建设。设置导流沟及集液池，并进行表面防渗，阻断可能引起地下水污染的途径。同时加强管理和定期检测。</w:t>
            </w:r>
          </w:p>
          <w:p w14:paraId="760A2D4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t>采取上述措施后，本项目对周围地下水环境影响</w:t>
            </w:r>
            <w:r>
              <w:rPr>
                <w:rFonts w:hint="eastAsia" w:eastAsia="宋体" w:cs="Times New Roman"/>
                <w:color w:val="auto"/>
                <w:sz w:val="24"/>
                <w:szCs w:val="24"/>
                <w:highlight w:val="none"/>
                <w:lang w:eastAsia="zh-CN"/>
              </w:rPr>
              <w:t>不显著</w:t>
            </w:r>
            <w:r>
              <w:rPr>
                <w:rFonts w:ascii="Times New Roman" w:hAnsi="Times New Roman" w:eastAsia="Times New Roman" w:cs="Times New Roman"/>
                <w:color w:val="auto"/>
                <w:sz w:val="24"/>
                <w:szCs w:val="24"/>
                <w:highlight w:val="none"/>
              </w:rPr>
              <w:t>。</w:t>
            </w:r>
          </w:p>
          <w:p w14:paraId="68B05022">
            <w:pPr>
              <w:bidi w:val="0"/>
              <w:rPr>
                <w:rFonts w:hint="default"/>
                <w:b/>
                <w:bCs/>
                <w:color w:val="auto"/>
                <w:highlight w:val="none"/>
              </w:rPr>
            </w:pPr>
            <w:r>
              <w:rPr>
                <w:rFonts w:hint="default"/>
                <w:b/>
                <w:bCs/>
                <w:color w:val="auto"/>
                <w:highlight w:val="none"/>
              </w:rPr>
              <w:t>6土壤</w:t>
            </w:r>
          </w:p>
          <w:p w14:paraId="4EFF240F">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6.1污染源及类型</w:t>
            </w:r>
          </w:p>
          <w:p w14:paraId="2D17290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根据工程组成和环境影响分析，本项目生产运营过程中可能对土壤产生影响的污染源、污染物、污染物类型见下表。</w:t>
            </w:r>
          </w:p>
          <w:p w14:paraId="6C8D68ED">
            <w:pPr>
              <w:pStyle w:val="25"/>
              <w:bidi w:val="0"/>
              <w:rPr>
                <w:color w:val="auto"/>
                <w:highlight w:val="none"/>
              </w:rPr>
            </w:pPr>
            <w:r>
              <w:rPr>
                <w:rFonts w:hint="eastAsia"/>
                <w:color w:val="auto"/>
                <w:highlight w:val="none"/>
              </w:rPr>
              <w:t>本项目土壤污染源、污染物和污染物类型表</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41"/>
              <w:gridCol w:w="3031"/>
              <w:gridCol w:w="2951"/>
            </w:tblGrid>
            <w:tr w14:paraId="149A54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6" w:type="pct"/>
                  <w:tcBorders>
                    <w:tl2br w:val="nil"/>
                    <w:tr2bl w:val="nil"/>
                  </w:tcBorders>
                  <w:vAlign w:val="center"/>
                </w:tcPr>
                <w:p w14:paraId="07FF2A36">
                  <w:pPr>
                    <w:pStyle w:val="27"/>
                    <w:spacing w:line="240" w:lineRule="auto"/>
                    <w:rPr>
                      <w:rFonts w:hint="default"/>
                      <w:color w:val="auto"/>
                      <w:highlight w:val="none"/>
                    </w:rPr>
                  </w:pPr>
                  <w:r>
                    <w:rPr>
                      <w:rFonts w:eastAsia="宋体"/>
                      <w:b/>
                      <w:color w:val="auto"/>
                      <w:sz w:val="21"/>
                      <w:highlight w:val="none"/>
                    </w:rPr>
                    <w:t>污染源</w:t>
                  </w:r>
                </w:p>
              </w:tc>
              <w:tc>
                <w:tcPr>
                  <w:tcW w:w="1820" w:type="pct"/>
                  <w:tcBorders>
                    <w:tl2br w:val="nil"/>
                    <w:tr2bl w:val="nil"/>
                  </w:tcBorders>
                  <w:vAlign w:val="center"/>
                </w:tcPr>
                <w:p w14:paraId="6303127C">
                  <w:pPr>
                    <w:pStyle w:val="27"/>
                    <w:spacing w:line="240" w:lineRule="auto"/>
                    <w:rPr>
                      <w:rFonts w:hint="default"/>
                      <w:color w:val="auto"/>
                      <w:highlight w:val="none"/>
                    </w:rPr>
                  </w:pPr>
                  <w:r>
                    <w:rPr>
                      <w:rFonts w:eastAsia="宋体"/>
                      <w:b/>
                      <w:color w:val="auto"/>
                      <w:sz w:val="21"/>
                      <w:highlight w:val="none"/>
                    </w:rPr>
                    <w:t>污染物</w:t>
                  </w:r>
                </w:p>
              </w:tc>
              <w:tc>
                <w:tcPr>
                  <w:tcW w:w="1772" w:type="pct"/>
                  <w:tcBorders>
                    <w:tl2br w:val="nil"/>
                    <w:tr2bl w:val="nil"/>
                  </w:tcBorders>
                  <w:vAlign w:val="center"/>
                </w:tcPr>
                <w:p w14:paraId="07E91A15">
                  <w:pPr>
                    <w:pStyle w:val="27"/>
                    <w:spacing w:line="240" w:lineRule="auto"/>
                    <w:rPr>
                      <w:rFonts w:hint="default"/>
                      <w:color w:val="auto"/>
                      <w:highlight w:val="none"/>
                    </w:rPr>
                  </w:pPr>
                  <w:r>
                    <w:rPr>
                      <w:rFonts w:eastAsia="宋体"/>
                      <w:b/>
                      <w:color w:val="auto"/>
                      <w:sz w:val="21"/>
                      <w:highlight w:val="none"/>
                    </w:rPr>
                    <w:t>污染物类型</w:t>
                  </w:r>
                </w:p>
              </w:tc>
            </w:tr>
            <w:tr w14:paraId="5D13BA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6" w:type="pct"/>
                  <w:tcBorders>
                    <w:tl2br w:val="nil"/>
                    <w:tr2bl w:val="nil"/>
                  </w:tcBorders>
                  <w:vAlign w:val="center"/>
                </w:tcPr>
                <w:p w14:paraId="7FB5CBAA">
                  <w:pPr>
                    <w:pStyle w:val="24"/>
                    <w:spacing w:line="240" w:lineRule="auto"/>
                    <w:rPr>
                      <w:rFonts w:hint="eastAsia" w:eastAsiaTheme="minorEastAsia"/>
                      <w:color w:val="auto"/>
                      <w:highlight w:val="none"/>
                      <w:lang w:eastAsia="zh-CN"/>
                    </w:rPr>
                  </w:pPr>
                  <w:r>
                    <w:rPr>
                      <w:rFonts w:hint="eastAsia"/>
                      <w:color w:val="auto"/>
                      <w:highlight w:val="none"/>
                      <w:lang w:eastAsia="zh-CN"/>
                    </w:rPr>
                    <w:t>危险废物贮存点</w:t>
                  </w:r>
                </w:p>
              </w:tc>
              <w:tc>
                <w:tcPr>
                  <w:tcW w:w="1820" w:type="pct"/>
                  <w:tcBorders>
                    <w:tl2br w:val="nil"/>
                    <w:tr2bl w:val="nil"/>
                  </w:tcBorders>
                  <w:vAlign w:val="center"/>
                </w:tcPr>
                <w:p w14:paraId="7C5339DB">
                  <w:pPr>
                    <w:pStyle w:val="24"/>
                    <w:spacing w:line="240" w:lineRule="auto"/>
                    <w:rPr>
                      <w:rFonts w:hint="eastAsia" w:eastAsiaTheme="minorEastAsia"/>
                      <w:color w:val="auto"/>
                      <w:highlight w:val="none"/>
                      <w:lang w:eastAsia="zh-CN"/>
                    </w:rPr>
                  </w:pPr>
                  <w:r>
                    <w:rPr>
                      <w:rFonts w:hint="eastAsia"/>
                      <w:color w:val="auto"/>
                      <w:highlight w:val="none"/>
                      <w:lang w:val="en-US" w:eastAsia="zh-CN"/>
                    </w:rPr>
                    <w:t>油类物质、电解液</w:t>
                  </w:r>
                </w:p>
              </w:tc>
              <w:tc>
                <w:tcPr>
                  <w:tcW w:w="1772" w:type="pct"/>
                  <w:tcBorders>
                    <w:tl2br w:val="nil"/>
                    <w:tr2bl w:val="nil"/>
                  </w:tcBorders>
                  <w:vAlign w:val="center"/>
                </w:tcPr>
                <w:p w14:paraId="1FDF8590">
                  <w:pPr>
                    <w:pStyle w:val="24"/>
                    <w:spacing w:line="240" w:lineRule="auto"/>
                    <w:rPr>
                      <w:color w:val="auto"/>
                      <w:highlight w:val="none"/>
                    </w:rPr>
                  </w:pPr>
                  <w:r>
                    <w:rPr>
                      <w:rFonts w:hint="eastAsia" w:eastAsia="宋体"/>
                      <w:bCs/>
                      <w:color w:val="auto"/>
                      <w:highlight w:val="none"/>
                    </w:rPr>
                    <w:t>非重金属、非持久性有机物</w:t>
                  </w:r>
                </w:p>
              </w:tc>
            </w:tr>
          </w:tbl>
          <w:p w14:paraId="3028A332">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6.2土壤污染类型和污染途径</w:t>
            </w:r>
          </w:p>
          <w:p w14:paraId="22099466">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本项目可能造成的土壤污染类型和污染途径见下表。</w:t>
            </w:r>
          </w:p>
          <w:p w14:paraId="648EE1B9">
            <w:pPr>
              <w:pStyle w:val="25"/>
              <w:bidi w:val="0"/>
              <w:rPr>
                <w:color w:val="auto"/>
                <w:highlight w:val="none"/>
              </w:rPr>
            </w:pPr>
            <w:r>
              <w:rPr>
                <w:color w:val="auto"/>
                <w:highlight w:val="none"/>
              </w:rPr>
              <w:t>建设项目土壤环境影响类型与影响途径表</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52"/>
              <w:gridCol w:w="1367"/>
              <w:gridCol w:w="1367"/>
              <w:gridCol w:w="1367"/>
              <w:gridCol w:w="1370"/>
            </w:tblGrid>
            <w:tr w14:paraId="188808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14" w:type="pct"/>
                  <w:vMerge w:val="restart"/>
                  <w:tcBorders>
                    <w:top w:val="single" w:color="auto" w:sz="12" w:space="0"/>
                    <w:left w:val="nil"/>
                    <w:bottom w:val="single" w:color="auto" w:sz="4" w:space="0"/>
                    <w:right w:val="single" w:color="auto" w:sz="4" w:space="0"/>
                  </w:tcBorders>
                  <w:vAlign w:val="center"/>
                </w:tcPr>
                <w:p w14:paraId="587659C9">
                  <w:pPr>
                    <w:pStyle w:val="27"/>
                    <w:spacing w:line="240" w:lineRule="auto"/>
                    <w:rPr>
                      <w:rFonts w:hint="default"/>
                      <w:color w:val="auto"/>
                      <w:highlight w:val="none"/>
                    </w:rPr>
                  </w:pPr>
                  <w:r>
                    <w:rPr>
                      <w:rFonts w:eastAsia="宋体"/>
                      <w:b/>
                      <w:color w:val="auto"/>
                      <w:sz w:val="21"/>
                      <w:highlight w:val="none"/>
                    </w:rPr>
                    <w:t>不同时段</w:t>
                  </w:r>
                </w:p>
              </w:tc>
              <w:tc>
                <w:tcPr>
                  <w:tcW w:w="3285" w:type="pct"/>
                  <w:gridSpan w:val="4"/>
                  <w:tcBorders>
                    <w:top w:val="single" w:color="auto" w:sz="12" w:space="0"/>
                    <w:left w:val="single" w:color="auto" w:sz="4" w:space="0"/>
                    <w:bottom w:val="single" w:color="auto" w:sz="4" w:space="0"/>
                    <w:right w:val="nil"/>
                  </w:tcBorders>
                  <w:vAlign w:val="center"/>
                </w:tcPr>
                <w:p w14:paraId="4F5F5D38">
                  <w:pPr>
                    <w:pStyle w:val="27"/>
                    <w:spacing w:line="240" w:lineRule="auto"/>
                    <w:rPr>
                      <w:rFonts w:hint="default"/>
                      <w:color w:val="auto"/>
                      <w:highlight w:val="none"/>
                    </w:rPr>
                  </w:pPr>
                  <w:r>
                    <w:rPr>
                      <w:rFonts w:eastAsia="宋体"/>
                      <w:b/>
                      <w:color w:val="auto"/>
                      <w:sz w:val="21"/>
                      <w:highlight w:val="none"/>
                    </w:rPr>
                    <w:t>污染影响型</w:t>
                  </w:r>
                </w:p>
              </w:tc>
            </w:tr>
            <w:tr w14:paraId="0B55ED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14" w:type="pct"/>
                  <w:vMerge w:val="continue"/>
                  <w:tcBorders>
                    <w:top w:val="single" w:color="auto" w:sz="12" w:space="0"/>
                    <w:left w:val="nil"/>
                    <w:bottom w:val="single" w:color="auto" w:sz="4" w:space="0"/>
                    <w:right w:val="single" w:color="auto" w:sz="4" w:space="0"/>
                  </w:tcBorders>
                  <w:vAlign w:val="center"/>
                </w:tcPr>
                <w:p w14:paraId="35AAE632">
                  <w:pPr>
                    <w:pStyle w:val="24"/>
                    <w:spacing w:line="240" w:lineRule="auto"/>
                    <w:rPr>
                      <w:color w:val="auto"/>
                      <w:highlight w:val="none"/>
                    </w:rPr>
                  </w:pPr>
                </w:p>
              </w:tc>
              <w:tc>
                <w:tcPr>
                  <w:tcW w:w="821" w:type="pct"/>
                  <w:tcBorders>
                    <w:top w:val="single" w:color="auto" w:sz="4" w:space="0"/>
                    <w:left w:val="single" w:color="auto" w:sz="4" w:space="0"/>
                    <w:bottom w:val="single" w:color="auto" w:sz="4" w:space="0"/>
                    <w:right w:val="single" w:color="auto" w:sz="4" w:space="0"/>
                  </w:tcBorders>
                  <w:vAlign w:val="center"/>
                </w:tcPr>
                <w:p w14:paraId="784DDA76">
                  <w:pPr>
                    <w:pStyle w:val="27"/>
                    <w:spacing w:line="240" w:lineRule="auto"/>
                    <w:rPr>
                      <w:rFonts w:hint="default"/>
                      <w:color w:val="auto"/>
                      <w:highlight w:val="none"/>
                    </w:rPr>
                  </w:pPr>
                  <w:r>
                    <w:rPr>
                      <w:rFonts w:eastAsia="宋体"/>
                      <w:b/>
                      <w:color w:val="auto"/>
                      <w:sz w:val="21"/>
                      <w:highlight w:val="none"/>
                    </w:rPr>
                    <w:t>大气沉降</w:t>
                  </w:r>
                </w:p>
              </w:tc>
              <w:tc>
                <w:tcPr>
                  <w:tcW w:w="821" w:type="pct"/>
                  <w:tcBorders>
                    <w:top w:val="single" w:color="auto" w:sz="4" w:space="0"/>
                    <w:left w:val="single" w:color="auto" w:sz="4" w:space="0"/>
                    <w:bottom w:val="single" w:color="auto" w:sz="4" w:space="0"/>
                    <w:right w:val="single" w:color="auto" w:sz="4" w:space="0"/>
                  </w:tcBorders>
                  <w:vAlign w:val="center"/>
                </w:tcPr>
                <w:p w14:paraId="5DC2D9F3">
                  <w:pPr>
                    <w:pStyle w:val="27"/>
                    <w:spacing w:line="240" w:lineRule="auto"/>
                    <w:rPr>
                      <w:rFonts w:hint="default"/>
                      <w:color w:val="auto"/>
                      <w:highlight w:val="none"/>
                    </w:rPr>
                  </w:pPr>
                  <w:r>
                    <w:rPr>
                      <w:rFonts w:eastAsia="宋体"/>
                      <w:b/>
                      <w:color w:val="auto"/>
                      <w:sz w:val="21"/>
                      <w:highlight w:val="none"/>
                    </w:rPr>
                    <w:t>地面漫流</w:t>
                  </w:r>
                </w:p>
              </w:tc>
              <w:tc>
                <w:tcPr>
                  <w:tcW w:w="821" w:type="pct"/>
                  <w:tcBorders>
                    <w:top w:val="single" w:color="auto" w:sz="4" w:space="0"/>
                    <w:left w:val="single" w:color="auto" w:sz="4" w:space="0"/>
                    <w:bottom w:val="single" w:color="auto" w:sz="4" w:space="0"/>
                    <w:right w:val="single" w:color="auto" w:sz="4" w:space="0"/>
                  </w:tcBorders>
                  <w:vAlign w:val="center"/>
                </w:tcPr>
                <w:p w14:paraId="17302D80">
                  <w:pPr>
                    <w:pStyle w:val="27"/>
                    <w:spacing w:line="240" w:lineRule="auto"/>
                    <w:rPr>
                      <w:rFonts w:hint="default"/>
                      <w:color w:val="auto"/>
                      <w:highlight w:val="none"/>
                    </w:rPr>
                  </w:pPr>
                  <w:r>
                    <w:rPr>
                      <w:rFonts w:eastAsia="宋体"/>
                      <w:b/>
                      <w:color w:val="auto"/>
                      <w:sz w:val="21"/>
                      <w:highlight w:val="none"/>
                    </w:rPr>
                    <w:t>垂直入渗</w:t>
                  </w:r>
                </w:p>
              </w:tc>
              <w:tc>
                <w:tcPr>
                  <w:tcW w:w="821" w:type="pct"/>
                  <w:tcBorders>
                    <w:top w:val="single" w:color="auto" w:sz="4" w:space="0"/>
                    <w:left w:val="single" w:color="auto" w:sz="4" w:space="0"/>
                    <w:bottom w:val="single" w:color="auto" w:sz="4" w:space="0"/>
                    <w:right w:val="nil"/>
                  </w:tcBorders>
                  <w:vAlign w:val="center"/>
                </w:tcPr>
                <w:p w14:paraId="2E4E4265">
                  <w:pPr>
                    <w:pStyle w:val="27"/>
                    <w:spacing w:line="240" w:lineRule="auto"/>
                    <w:rPr>
                      <w:rFonts w:hint="default"/>
                      <w:color w:val="auto"/>
                      <w:highlight w:val="none"/>
                    </w:rPr>
                  </w:pPr>
                  <w:r>
                    <w:rPr>
                      <w:rFonts w:eastAsia="宋体"/>
                      <w:b/>
                      <w:color w:val="auto"/>
                      <w:sz w:val="21"/>
                      <w:highlight w:val="none"/>
                    </w:rPr>
                    <w:t>其他</w:t>
                  </w:r>
                </w:p>
              </w:tc>
            </w:tr>
            <w:tr w14:paraId="4A30C3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14" w:type="pct"/>
                  <w:tcBorders>
                    <w:top w:val="single" w:color="auto" w:sz="4" w:space="0"/>
                    <w:left w:val="nil"/>
                    <w:bottom w:val="single" w:color="auto" w:sz="4" w:space="0"/>
                    <w:right w:val="single" w:color="auto" w:sz="4" w:space="0"/>
                  </w:tcBorders>
                  <w:vAlign w:val="center"/>
                </w:tcPr>
                <w:p w14:paraId="7A8C6056">
                  <w:pPr>
                    <w:pStyle w:val="24"/>
                    <w:spacing w:line="240" w:lineRule="auto"/>
                    <w:rPr>
                      <w:color w:val="auto"/>
                      <w:highlight w:val="none"/>
                    </w:rPr>
                  </w:pPr>
                  <w:r>
                    <w:rPr>
                      <w:color w:val="auto"/>
                      <w:highlight w:val="none"/>
                    </w:rPr>
                    <w:t>建设期</w:t>
                  </w:r>
                </w:p>
              </w:tc>
              <w:tc>
                <w:tcPr>
                  <w:tcW w:w="821" w:type="pct"/>
                  <w:tcBorders>
                    <w:top w:val="single" w:color="auto" w:sz="4" w:space="0"/>
                    <w:left w:val="single" w:color="auto" w:sz="4" w:space="0"/>
                    <w:bottom w:val="single" w:color="auto" w:sz="4" w:space="0"/>
                    <w:right w:val="single" w:color="auto" w:sz="4" w:space="0"/>
                  </w:tcBorders>
                  <w:vAlign w:val="center"/>
                </w:tcPr>
                <w:p w14:paraId="7658B68E">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w:t>
                  </w:r>
                </w:p>
              </w:tc>
              <w:tc>
                <w:tcPr>
                  <w:tcW w:w="821" w:type="pct"/>
                  <w:tcBorders>
                    <w:top w:val="single" w:color="auto" w:sz="4" w:space="0"/>
                    <w:left w:val="single" w:color="auto" w:sz="4" w:space="0"/>
                    <w:bottom w:val="single" w:color="auto" w:sz="4" w:space="0"/>
                    <w:right w:val="single" w:color="auto" w:sz="4" w:space="0"/>
                  </w:tcBorders>
                  <w:vAlign w:val="center"/>
                </w:tcPr>
                <w:p w14:paraId="44605468">
                  <w:pPr>
                    <w:pStyle w:val="24"/>
                    <w:spacing w:line="240" w:lineRule="auto"/>
                    <w:rPr>
                      <w:rFonts w:hint="eastAsia" w:eastAsiaTheme="minorEastAsia"/>
                      <w:color w:val="auto"/>
                      <w:highlight w:val="none"/>
                      <w:lang w:eastAsia="zh-CN"/>
                    </w:rPr>
                  </w:pPr>
                  <w:r>
                    <w:rPr>
                      <w:rFonts w:hint="eastAsia"/>
                      <w:color w:val="auto"/>
                      <w:highlight w:val="none"/>
                      <w:lang w:val="en-US" w:eastAsia="zh-CN"/>
                    </w:rPr>
                    <w:t>-</w:t>
                  </w:r>
                </w:p>
              </w:tc>
              <w:tc>
                <w:tcPr>
                  <w:tcW w:w="821" w:type="pct"/>
                  <w:tcBorders>
                    <w:top w:val="single" w:color="auto" w:sz="4" w:space="0"/>
                    <w:left w:val="single" w:color="auto" w:sz="4" w:space="0"/>
                    <w:bottom w:val="single" w:color="auto" w:sz="4" w:space="0"/>
                    <w:right w:val="single" w:color="auto" w:sz="4" w:space="0"/>
                  </w:tcBorders>
                  <w:vAlign w:val="center"/>
                </w:tcPr>
                <w:p w14:paraId="3E92E622">
                  <w:pPr>
                    <w:pStyle w:val="24"/>
                    <w:spacing w:line="240" w:lineRule="auto"/>
                    <w:rPr>
                      <w:rFonts w:hint="eastAsia" w:eastAsiaTheme="minorEastAsia"/>
                      <w:color w:val="auto"/>
                      <w:highlight w:val="none"/>
                      <w:lang w:eastAsia="zh-CN"/>
                    </w:rPr>
                  </w:pPr>
                  <w:r>
                    <w:rPr>
                      <w:rFonts w:hint="eastAsia"/>
                      <w:color w:val="auto"/>
                      <w:highlight w:val="none"/>
                      <w:lang w:val="en-US" w:eastAsia="zh-CN"/>
                    </w:rPr>
                    <w:t>-</w:t>
                  </w:r>
                </w:p>
              </w:tc>
              <w:tc>
                <w:tcPr>
                  <w:tcW w:w="821" w:type="pct"/>
                  <w:tcBorders>
                    <w:top w:val="single" w:color="auto" w:sz="4" w:space="0"/>
                    <w:left w:val="single" w:color="auto" w:sz="4" w:space="0"/>
                    <w:bottom w:val="single" w:color="auto" w:sz="4" w:space="0"/>
                    <w:right w:val="nil"/>
                  </w:tcBorders>
                  <w:vAlign w:val="center"/>
                </w:tcPr>
                <w:p w14:paraId="249383B7">
                  <w:pPr>
                    <w:pStyle w:val="24"/>
                    <w:spacing w:line="240" w:lineRule="auto"/>
                    <w:rPr>
                      <w:rFonts w:hint="eastAsia" w:eastAsiaTheme="minorEastAsia"/>
                      <w:color w:val="auto"/>
                      <w:highlight w:val="none"/>
                      <w:lang w:eastAsia="zh-CN"/>
                    </w:rPr>
                  </w:pPr>
                  <w:r>
                    <w:rPr>
                      <w:rFonts w:hint="eastAsia"/>
                      <w:color w:val="auto"/>
                      <w:highlight w:val="none"/>
                      <w:lang w:val="en-US" w:eastAsia="zh-CN"/>
                    </w:rPr>
                    <w:t>-</w:t>
                  </w:r>
                </w:p>
              </w:tc>
            </w:tr>
            <w:tr w14:paraId="5C0EEB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14" w:type="pct"/>
                  <w:tcBorders>
                    <w:top w:val="single" w:color="auto" w:sz="4" w:space="0"/>
                    <w:left w:val="nil"/>
                    <w:bottom w:val="single" w:color="auto" w:sz="4" w:space="0"/>
                    <w:right w:val="single" w:color="auto" w:sz="4" w:space="0"/>
                  </w:tcBorders>
                  <w:vAlign w:val="center"/>
                </w:tcPr>
                <w:p w14:paraId="589ABE16">
                  <w:pPr>
                    <w:pStyle w:val="24"/>
                    <w:spacing w:line="240" w:lineRule="auto"/>
                    <w:rPr>
                      <w:rFonts w:hint="eastAsia" w:eastAsiaTheme="minorEastAsia"/>
                      <w:color w:val="auto"/>
                      <w:highlight w:val="none"/>
                      <w:lang w:eastAsia="zh-CN"/>
                    </w:rPr>
                  </w:pPr>
                  <w:r>
                    <w:rPr>
                      <w:color w:val="auto"/>
                      <w:highlight w:val="none"/>
                    </w:rPr>
                    <w:t>运营期</w:t>
                  </w:r>
                </w:p>
              </w:tc>
              <w:tc>
                <w:tcPr>
                  <w:tcW w:w="821" w:type="pct"/>
                  <w:tcBorders>
                    <w:top w:val="single" w:color="auto" w:sz="4" w:space="0"/>
                    <w:left w:val="single" w:color="auto" w:sz="4" w:space="0"/>
                    <w:bottom w:val="single" w:color="auto" w:sz="4" w:space="0"/>
                    <w:right w:val="single" w:color="auto" w:sz="4" w:space="0"/>
                  </w:tcBorders>
                  <w:vAlign w:val="center"/>
                </w:tcPr>
                <w:p w14:paraId="437B380B">
                  <w:pPr>
                    <w:pStyle w:val="24"/>
                    <w:spacing w:line="240" w:lineRule="auto"/>
                    <w:rPr>
                      <w:rFonts w:hint="eastAsia" w:eastAsiaTheme="minorEastAsia"/>
                      <w:color w:val="auto"/>
                      <w:highlight w:val="none"/>
                      <w:lang w:eastAsia="zh-CN"/>
                    </w:rPr>
                  </w:pPr>
                  <w:r>
                    <w:rPr>
                      <w:color w:val="auto"/>
                      <w:highlight w:val="none"/>
                    </w:rPr>
                    <w:t>√</w:t>
                  </w:r>
                </w:p>
              </w:tc>
              <w:tc>
                <w:tcPr>
                  <w:tcW w:w="821" w:type="pct"/>
                  <w:tcBorders>
                    <w:top w:val="single" w:color="auto" w:sz="4" w:space="0"/>
                    <w:left w:val="single" w:color="auto" w:sz="4" w:space="0"/>
                    <w:bottom w:val="single" w:color="auto" w:sz="4" w:space="0"/>
                    <w:right w:val="single" w:color="auto" w:sz="4" w:space="0"/>
                  </w:tcBorders>
                  <w:vAlign w:val="center"/>
                </w:tcPr>
                <w:p w14:paraId="6921E6F8">
                  <w:pPr>
                    <w:pStyle w:val="24"/>
                    <w:spacing w:line="240" w:lineRule="auto"/>
                    <w:rPr>
                      <w:color w:val="auto"/>
                      <w:highlight w:val="none"/>
                    </w:rPr>
                  </w:pPr>
                  <w:r>
                    <w:rPr>
                      <w:rFonts w:hint="eastAsia"/>
                      <w:color w:val="auto"/>
                      <w:highlight w:val="none"/>
                      <w:lang w:val="en-US" w:eastAsia="zh-CN"/>
                    </w:rPr>
                    <w:t>-</w:t>
                  </w:r>
                </w:p>
              </w:tc>
              <w:tc>
                <w:tcPr>
                  <w:tcW w:w="821" w:type="pct"/>
                  <w:tcBorders>
                    <w:top w:val="single" w:color="auto" w:sz="4" w:space="0"/>
                    <w:left w:val="single" w:color="auto" w:sz="4" w:space="0"/>
                    <w:bottom w:val="single" w:color="auto" w:sz="4" w:space="0"/>
                    <w:right w:val="single" w:color="auto" w:sz="4" w:space="0"/>
                  </w:tcBorders>
                  <w:vAlign w:val="center"/>
                </w:tcPr>
                <w:p w14:paraId="54A6A44A">
                  <w:pPr>
                    <w:pStyle w:val="24"/>
                    <w:spacing w:line="240" w:lineRule="auto"/>
                    <w:rPr>
                      <w:color w:val="auto"/>
                      <w:highlight w:val="none"/>
                    </w:rPr>
                  </w:pPr>
                  <w:r>
                    <w:rPr>
                      <w:color w:val="auto"/>
                      <w:highlight w:val="none"/>
                    </w:rPr>
                    <w:t>√</w:t>
                  </w:r>
                </w:p>
              </w:tc>
              <w:tc>
                <w:tcPr>
                  <w:tcW w:w="821" w:type="pct"/>
                  <w:tcBorders>
                    <w:top w:val="single" w:color="auto" w:sz="4" w:space="0"/>
                    <w:left w:val="single" w:color="auto" w:sz="4" w:space="0"/>
                    <w:bottom w:val="single" w:color="auto" w:sz="4" w:space="0"/>
                    <w:right w:val="nil"/>
                  </w:tcBorders>
                  <w:vAlign w:val="center"/>
                </w:tcPr>
                <w:p w14:paraId="17F98FD0">
                  <w:pPr>
                    <w:pStyle w:val="24"/>
                    <w:spacing w:line="240" w:lineRule="auto"/>
                    <w:rPr>
                      <w:rFonts w:hint="eastAsia" w:eastAsiaTheme="minorEastAsia"/>
                      <w:color w:val="auto"/>
                      <w:highlight w:val="none"/>
                      <w:lang w:eastAsia="zh-CN"/>
                    </w:rPr>
                  </w:pPr>
                  <w:r>
                    <w:rPr>
                      <w:rFonts w:hint="eastAsia"/>
                      <w:color w:val="auto"/>
                      <w:highlight w:val="none"/>
                      <w:lang w:val="en-US" w:eastAsia="zh-CN"/>
                    </w:rPr>
                    <w:t>-</w:t>
                  </w:r>
                </w:p>
              </w:tc>
            </w:tr>
            <w:tr w14:paraId="33ED20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14" w:type="pct"/>
                  <w:tcBorders>
                    <w:top w:val="single" w:color="auto" w:sz="4" w:space="0"/>
                    <w:left w:val="nil"/>
                    <w:bottom w:val="single" w:color="auto" w:sz="4" w:space="0"/>
                    <w:right w:val="single" w:color="auto" w:sz="4" w:space="0"/>
                  </w:tcBorders>
                  <w:vAlign w:val="center"/>
                </w:tcPr>
                <w:p w14:paraId="43768EF2">
                  <w:pPr>
                    <w:pStyle w:val="24"/>
                    <w:spacing w:line="240" w:lineRule="auto"/>
                    <w:rPr>
                      <w:color w:val="auto"/>
                      <w:highlight w:val="none"/>
                    </w:rPr>
                  </w:pPr>
                  <w:r>
                    <w:rPr>
                      <w:color w:val="auto"/>
                      <w:highlight w:val="none"/>
                    </w:rPr>
                    <w:t>服务期满后</w:t>
                  </w:r>
                </w:p>
              </w:tc>
              <w:tc>
                <w:tcPr>
                  <w:tcW w:w="821" w:type="pct"/>
                  <w:tcBorders>
                    <w:top w:val="single" w:color="auto" w:sz="4" w:space="0"/>
                    <w:left w:val="single" w:color="auto" w:sz="4" w:space="0"/>
                    <w:bottom w:val="single" w:color="auto" w:sz="4" w:space="0"/>
                    <w:right w:val="single" w:color="auto" w:sz="4" w:space="0"/>
                  </w:tcBorders>
                  <w:vAlign w:val="center"/>
                </w:tcPr>
                <w:p w14:paraId="3656B939">
                  <w:pPr>
                    <w:pStyle w:val="24"/>
                    <w:spacing w:line="240" w:lineRule="auto"/>
                    <w:rPr>
                      <w:rFonts w:hint="eastAsia" w:eastAsiaTheme="minorEastAsia"/>
                      <w:color w:val="auto"/>
                      <w:highlight w:val="none"/>
                      <w:lang w:eastAsia="zh-CN"/>
                    </w:rPr>
                  </w:pPr>
                  <w:r>
                    <w:rPr>
                      <w:rFonts w:hint="eastAsia"/>
                      <w:color w:val="auto"/>
                      <w:highlight w:val="none"/>
                      <w:lang w:val="en-US" w:eastAsia="zh-CN"/>
                    </w:rPr>
                    <w:t>-</w:t>
                  </w:r>
                </w:p>
              </w:tc>
              <w:tc>
                <w:tcPr>
                  <w:tcW w:w="821" w:type="pct"/>
                  <w:tcBorders>
                    <w:top w:val="single" w:color="auto" w:sz="4" w:space="0"/>
                    <w:left w:val="single" w:color="auto" w:sz="4" w:space="0"/>
                    <w:bottom w:val="single" w:color="auto" w:sz="4" w:space="0"/>
                    <w:right w:val="single" w:color="auto" w:sz="4" w:space="0"/>
                  </w:tcBorders>
                  <w:vAlign w:val="center"/>
                </w:tcPr>
                <w:p w14:paraId="380C9B58">
                  <w:pPr>
                    <w:pStyle w:val="24"/>
                    <w:spacing w:line="240" w:lineRule="auto"/>
                    <w:rPr>
                      <w:rFonts w:hint="eastAsia" w:eastAsiaTheme="minorEastAsia"/>
                      <w:color w:val="auto"/>
                      <w:highlight w:val="none"/>
                      <w:lang w:eastAsia="zh-CN"/>
                    </w:rPr>
                  </w:pPr>
                  <w:r>
                    <w:rPr>
                      <w:rFonts w:hint="eastAsia"/>
                      <w:color w:val="auto"/>
                      <w:highlight w:val="none"/>
                      <w:lang w:val="en-US" w:eastAsia="zh-CN"/>
                    </w:rPr>
                    <w:t>-</w:t>
                  </w:r>
                </w:p>
              </w:tc>
              <w:tc>
                <w:tcPr>
                  <w:tcW w:w="821" w:type="pct"/>
                  <w:tcBorders>
                    <w:top w:val="single" w:color="auto" w:sz="4" w:space="0"/>
                    <w:left w:val="single" w:color="auto" w:sz="4" w:space="0"/>
                    <w:bottom w:val="single" w:color="auto" w:sz="4" w:space="0"/>
                    <w:right w:val="single" w:color="auto" w:sz="4" w:space="0"/>
                  </w:tcBorders>
                  <w:vAlign w:val="center"/>
                </w:tcPr>
                <w:p w14:paraId="56B05E6D">
                  <w:pPr>
                    <w:pStyle w:val="24"/>
                    <w:spacing w:line="240" w:lineRule="auto"/>
                    <w:rPr>
                      <w:rFonts w:hint="eastAsia" w:eastAsiaTheme="minorEastAsia"/>
                      <w:color w:val="auto"/>
                      <w:highlight w:val="none"/>
                      <w:lang w:eastAsia="zh-CN"/>
                    </w:rPr>
                  </w:pPr>
                  <w:r>
                    <w:rPr>
                      <w:rFonts w:hint="eastAsia"/>
                      <w:color w:val="auto"/>
                      <w:highlight w:val="none"/>
                      <w:lang w:val="en-US" w:eastAsia="zh-CN"/>
                    </w:rPr>
                    <w:t>-</w:t>
                  </w:r>
                </w:p>
              </w:tc>
              <w:tc>
                <w:tcPr>
                  <w:tcW w:w="821" w:type="pct"/>
                  <w:tcBorders>
                    <w:top w:val="single" w:color="auto" w:sz="4" w:space="0"/>
                    <w:left w:val="single" w:color="auto" w:sz="4" w:space="0"/>
                    <w:bottom w:val="single" w:color="auto" w:sz="4" w:space="0"/>
                    <w:right w:val="nil"/>
                  </w:tcBorders>
                  <w:vAlign w:val="center"/>
                </w:tcPr>
                <w:p w14:paraId="4723652C">
                  <w:pPr>
                    <w:pStyle w:val="24"/>
                    <w:spacing w:line="240" w:lineRule="auto"/>
                    <w:rPr>
                      <w:rFonts w:hint="eastAsia" w:eastAsiaTheme="minorEastAsia"/>
                      <w:color w:val="auto"/>
                      <w:highlight w:val="none"/>
                      <w:lang w:eastAsia="zh-CN"/>
                    </w:rPr>
                  </w:pPr>
                  <w:r>
                    <w:rPr>
                      <w:rFonts w:hint="eastAsia"/>
                      <w:color w:val="auto"/>
                      <w:highlight w:val="none"/>
                      <w:lang w:val="en-US" w:eastAsia="zh-CN"/>
                    </w:rPr>
                    <w:t>-</w:t>
                  </w:r>
                </w:p>
              </w:tc>
            </w:tr>
            <w:tr w14:paraId="348731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op w:val="single" w:color="auto" w:sz="4" w:space="0"/>
                    <w:left w:val="nil"/>
                    <w:bottom w:val="single" w:color="auto" w:sz="12" w:space="0"/>
                    <w:right w:val="nil"/>
                  </w:tcBorders>
                  <w:vAlign w:val="center"/>
                </w:tcPr>
                <w:p w14:paraId="2AF92EDA">
                  <w:pPr>
                    <w:pStyle w:val="24"/>
                    <w:spacing w:line="240" w:lineRule="auto"/>
                    <w:rPr>
                      <w:color w:val="auto"/>
                      <w:highlight w:val="none"/>
                    </w:rPr>
                  </w:pPr>
                  <w:r>
                    <w:rPr>
                      <w:color w:val="auto"/>
                      <w:highlight w:val="none"/>
                    </w:rPr>
                    <w:t>注：在可能产生的土壤环境影响类型处打</w:t>
                  </w:r>
                  <w:r>
                    <w:rPr>
                      <w:rFonts w:hint="eastAsia"/>
                      <w:color w:val="auto"/>
                      <w:highlight w:val="none"/>
                    </w:rPr>
                    <w:t>“</w:t>
                  </w:r>
                  <w:r>
                    <w:rPr>
                      <w:color w:val="auto"/>
                      <w:highlight w:val="none"/>
                    </w:rPr>
                    <w:t>√</w:t>
                  </w:r>
                  <w:r>
                    <w:rPr>
                      <w:rFonts w:hint="eastAsia"/>
                      <w:color w:val="auto"/>
                      <w:highlight w:val="none"/>
                    </w:rPr>
                    <w:t>”</w:t>
                  </w:r>
                </w:p>
              </w:tc>
            </w:tr>
          </w:tbl>
          <w:p w14:paraId="7D4796BE">
            <w:pPr>
              <w:keepNext w:val="0"/>
              <w:keepLines w:val="0"/>
              <w:pageBreakBefore w:val="0"/>
              <w:widowControl w:val="0"/>
              <w:kinsoku/>
              <w:wordWrap/>
              <w:overflowPunct/>
              <w:topLinePunct w:val="0"/>
              <w:autoSpaceDE w:val="0"/>
              <w:autoSpaceDN w:val="0"/>
              <w:bidi w:val="0"/>
              <w:ind w:firstLineChars="200"/>
              <w:jc w:val="both"/>
              <w:textAlignment w:val="auto"/>
              <w:rPr>
                <w:rFonts w:hint="eastAsia"/>
                <w:b/>
                <w:bCs/>
                <w:color w:val="auto"/>
                <w:highlight w:val="none"/>
              </w:rPr>
            </w:pPr>
          </w:p>
          <w:p w14:paraId="417DCAA0">
            <w:pPr>
              <w:keepNext w:val="0"/>
              <w:keepLines w:val="0"/>
              <w:pageBreakBefore w:val="0"/>
              <w:widowControl w:val="0"/>
              <w:kinsoku/>
              <w:wordWrap/>
              <w:overflowPunct/>
              <w:topLinePunct w:val="0"/>
              <w:autoSpaceDE w:val="0"/>
              <w:autoSpaceDN w:val="0"/>
              <w:bidi w:val="0"/>
              <w:ind w:firstLineChars="200"/>
              <w:jc w:val="both"/>
              <w:textAlignment w:val="auto"/>
              <w:rPr>
                <w:b/>
                <w:bCs/>
                <w:color w:val="auto"/>
                <w:highlight w:val="none"/>
              </w:rPr>
            </w:pPr>
            <w:r>
              <w:rPr>
                <w:rFonts w:hint="eastAsia"/>
                <w:b/>
                <w:bCs/>
                <w:color w:val="auto"/>
                <w:highlight w:val="none"/>
              </w:rPr>
              <w:t>6.3土壤污染防控措施</w:t>
            </w:r>
          </w:p>
          <w:p w14:paraId="11D3300C">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color w:val="auto"/>
                <w:highlight w:val="none"/>
              </w:rPr>
              <w:t>本项目对土壤污染影响途径为</w:t>
            </w:r>
            <w:r>
              <w:rPr>
                <w:rFonts w:hint="eastAsia"/>
                <w:color w:val="auto"/>
                <w:highlight w:val="none"/>
              </w:rPr>
              <w:t>大气沉降及垂直入渗，</w:t>
            </w:r>
            <w:r>
              <w:rPr>
                <w:rFonts w:hint="eastAsia"/>
                <w:color w:val="auto"/>
                <w:highlight w:val="none"/>
                <w:lang w:eastAsia="zh-CN"/>
              </w:rPr>
              <w:t>因此</w:t>
            </w:r>
            <w:r>
              <w:rPr>
                <w:rFonts w:hint="eastAsia" w:ascii="Times New Roman" w:hAnsi="Times New Roman" w:eastAsia="Times New Roman" w:cs="Times New Roman"/>
                <w:color w:val="auto"/>
                <w:sz w:val="24"/>
                <w:szCs w:val="24"/>
                <w:highlight w:val="none"/>
              </w:rPr>
              <w:t>本评价提出以下控制措施：</w:t>
            </w:r>
          </w:p>
          <w:p w14:paraId="6DE7009E">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lang w:eastAsia="zh-CN"/>
              </w:rPr>
              <w:t>（</w:t>
            </w:r>
            <w:r>
              <w:rPr>
                <w:rFonts w:hint="eastAsia" w:ascii="Times New Roman" w:hAnsi="Times New Roman" w:eastAsia="Times New Roman" w:cs="Times New Roman"/>
                <w:b/>
                <w:bCs/>
                <w:color w:val="auto"/>
                <w:sz w:val="24"/>
                <w:szCs w:val="24"/>
                <w:highlight w:val="none"/>
                <w:lang w:val="en-US" w:eastAsia="zh-CN"/>
              </w:rPr>
              <w:t>1</w:t>
            </w:r>
            <w:r>
              <w:rPr>
                <w:rFonts w:hint="eastAsia" w:ascii="Times New Roman" w:hAnsi="Times New Roman" w:eastAsia="Times New Roman" w:cs="Times New Roman"/>
                <w:b/>
                <w:bCs/>
                <w:color w:val="auto"/>
                <w:sz w:val="24"/>
                <w:szCs w:val="24"/>
                <w:highlight w:val="none"/>
                <w:lang w:eastAsia="zh-CN"/>
              </w:rPr>
              <w:t>）</w:t>
            </w:r>
            <w:r>
              <w:rPr>
                <w:rFonts w:hint="eastAsia" w:ascii="Times New Roman" w:hAnsi="Times New Roman" w:eastAsia="Times New Roman" w:cs="Times New Roman"/>
                <w:b/>
                <w:bCs/>
                <w:color w:val="auto"/>
                <w:sz w:val="24"/>
                <w:szCs w:val="24"/>
                <w:highlight w:val="none"/>
              </w:rPr>
              <w:t>源头控制措施</w:t>
            </w:r>
          </w:p>
          <w:p w14:paraId="76B3FC24">
            <w:pPr>
              <w:pStyle w:val="13"/>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eastAsia="宋体" w:cs="Times New Roman"/>
                <w:color w:val="auto"/>
                <w:sz w:val="24"/>
                <w:szCs w:val="24"/>
                <w:highlight w:val="none"/>
                <w:lang w:eastAsia="zh-CN"/>
              </w:rPr>
            </w:pPr>
            <w:r>
              <w:rPr>
                <w:rFonts w:ascii="Times New Roman" w:hAnsi="Times New Roman" w:eastAsia="Times New Roman" w:cs="Times New Roman"/>
                <w:color w:val="auto"/>
                <w:sz w:val="24"/>
                <w:szCs w:val="24"/>
                <w:highlight w:val="none"/>
              </w:rPr>
              <w:t>①加强大气污染管理，</w:t>
            </w:r>
            <w:r>
              <w:rPr>
                <w:rFonts w:hint="eastAsia" w:ascii="Times New Roman" w:hAnsi="Times New Roman" w:eastAsia="Times New Roman" w:cs="Times New Roman"/>
                <w:color w:val="auto"/>
                <w:sz w:val="24"/>
                <w:szCs w:val="24"/>
                <w:highlight w:val="none"/>
              </w:rPr>
              <w:t>定期检查保证危险废物密封贮存</w:t>
            </w:r>
            <w:r>
              <w:rPr>
                <w:rFonts w:hint="eastAsia" w:eastAsia="宋体" w:cs="Times New Roman"/>
                <w:color w:val="auto"/>
                <w:sz w:val="24"/>
                <w:szCs w:val="24"/>
                <w:highlight w:val="none"/>
                <w:lang w:eastAsia="zh-CN"/>
              </w:rPr>
              <w:t>。</w:t>
            </w:r>
          </w:p>
          <w:p w14:paraId="520F9972">
            <w:pPr>
              <w:pStyle w:val="13"/>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宋体" w:cs="Times New Roman"/>
                <w:color w:val="auto"/>
                <w:sz w:val="24"/>
                <w:szCs w:val="24"/>
                <w:highlight w:val="none"/>
                <w:lang w:eastAsia="zh-CN"/>
              </w:rPr>
              <w:t>②</w:t>
            </w:r>
            <w:r>
              <w:rPr>
                <w:rFonts w:hint="eastAsia"/>
                <w:color w:val="auto"/>
                <w:highlight w:val="none"/>
              </w:rPr>
              <w:t>通过采取相应的措施防止和降低污染物跑、冒、滴、漏，将污染物泄漏的环境风险事故降到最低程度。</w:t>
            </w:r>
          </w:p>
          <w:p w14:paraId="3B7E818E">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eastAsia="zh-CN"/>
              </w:rPr>
            </w:pPr>
            <w:r>
              <w:rPr>
                <w:rFonts w:hint="eastAsia" w:eastAsia="宋体" w:cs="Times New Roman"/>
                <w:color w:val="auto"/>
                <w:sz w:val="24"/>
                <w:szCs w:val="24"/>
                <w:highlight w:val="none"/>
                <w:lang w:eastAsia="zh-CN"/>
              </w:rPr>
              <w:t>③</w:t>
            </w:r>
            <w:r>
              <w:rPr>
                <w:rFonts w:hint="eastAsia" w:ascii="Times New Roman" w:hAnsi="Times New Roman" w:eastAsia="Times New Roman" w:cs="Times New Roman"/>
                <w:color w:val="auto"/>
                <w:sz w:val="24"/>
                <w:szCs w:val="24"/>
                <w:highlight w:val="none"/>
              </w:rPr>
              <w:t>定期对</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进行检查，发现地面或防渗层破损时及时处理</w:t>
            </w:r>
            <w:r>
              <w:rPr>
                <w:rFonts w:hint="eastAsia" w:eastAsia="宋体" w:cs="Times New Roman"/>
                <w:color w:val="auto"/>
                <w:sz w:val="24"/>
                <w:szCs w:val="24"/>
                <w:highlight w:val="none"/>
                <w:lang w:eastAsia="zh-CN"/>
              </w:rPr>
              <w:t>。</w:t>
            </w:r>
          </w:p>
          <w:p w14:paraId="7F3D07F0">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宋体" w:cs="Times New Roman"/>
                <w:color w:val="auto"/>
                <w:sz w:val="24"/>
                <w:szCs w:val="24"/>
                <w:highlight w:val="none"/>
                <w:lang w:eastAsia="zh-CN"/>
              </w:rPr>
              <w:t>④</w:t>
            </w:r>
            <w:r>
              <w:rPr>
                <w:rFonts w:hint="eastAsia" w:ascii="Times New Roman" w:hAnsi="Times New Roman" w:eastAsia="Times New Roman" w:cs="Times New Roman"/>
                <w:color w:val="auto"/>
                <w:sz w:val="24"/>
                <w:szCs w:val="24"/>
                <w:highlight w:val="none"/>
              </w:rPr>
              <w:t>加强危险废物贮存管理，监测危险废物包装情况。</w:t>
            </w:r>
          </w:p>
          <w:p w14:paraId="63667CD8">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lang w:eastAsia="zh-CN"/>
              </w:rPr>
              <w:t>（</w:t>
            </w:r>
            <w:r>
              <w:rPr>
                <w:rFonts w:hint="eastAsia" w:ascii="Times New Roman" w:hAnsi="Times New Roman" w:eastAsia="Times New Roman" w:cs="Times New Roman"/>
                <w:b/>
                <w:bCs/>
                <w:color w:val="auto"/>
                <w:sz w:val="24"/>
                <w:szCs w:val="24"/>
                <w:highlight w:val="none"/>
                <w:lang w:val="en-US" w:eastAsia="zh-CN"/>
              </w:rPr>
              <w:t>2</w:t>
            </w:r>
            <w:r>
              <w:rPr>
                <w:rFonts w:hint="eastAsia" w:ascii="Times New Roman" w:hAnsi="Times New Roman" w:eastAsia="Times New Roman" w:cs="Times New Roman"/>
                <w:b/>
                <w:bCs/>
                <w:color w:val="auto"/>
                <w:sz w:val="24"/>
                <w:szCs w:val="24"/>
                <w:highlight w:val="none"/>
                <w:lang w:eastAsia="zh-CN"/>
              </w:rPr>
              <w:t>）</w:t>
            </w:r>
            <w:r>
              <w:rPr>
                <w:rFonts w:hint="eastAsia" w:ascii="Times New Roman" w:hAnsi="Times New Roman" w:eastAsia="Times New Roman" w:cs="Times New Roman"/>
                <w:b/>
                <w:bCs/>
                <w:color w:val="auto"/>
                <w:sz w:val="24"/>
                <w:szCs w:val="24"/>
                <w:highlight w:val="none"/>
              </w:rPr>
              <w:t>过程防控措施</w:t>
            </w:r>
          </w:p>
          <w:p w14:paraId="6DD051A4">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t>①</w:t>
            </w:r>
            <w:r>
              <w:rPr>
                <w:rFonts w:hint="eastAsia" w:ascii="Times New Roman" w:hAnsi="Times New Roman" w:eastAsia="Times New Roman" w:cs="Times New Roman"/>
                <w:color w:val="auto"/>
                <w:sz w:val="24"/>
                <w:szCs w:val="24"/>
                <w:highlight w:val="none"/>
              </w:rPr>
              <w:t>对</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设置集液池，防止泄漏的</w:t>
            </w:r>
            <w:r>
              <w:rPr>
                <w:rFonts w:hint="eastAsia" w:ascii="Times New Roman" w:hAnsi="Times New Roman" w:eastAsia="Times New Roman" w:cs="Times New Roman"/>
                <w:color w:val="auto"/>
                <w:sz w:val="24"/>
                <w:szCs w:val="24"/>
                <w:highlight w:val="none"/>
                <w:lang w:val="en-US" w:eastAsia="zh-CN"/>
              </w:rPr>
              <w:t>油类物质</w:t>
            </w:r>
            <w:r>
              <w:rPr>
                <w:rFonts w:hint="eastAsia" w:eastAsia="Times New Roman" w:cs="Times New Roman"/>
                <w:color w:val="auto"/>
                <w:sz w:val="24"/>
                <w:szCs w:val="24"/>
                <w:highlight w:val="none"/>
                <w:lang w:val="en-US" w:eastAsia="zh-CN"/>
              </w:rPr>
              <w:t>、电解液</w:t>
            </w:r>
            <w:r>
              <w:rPr>
                <w:rFonts w:hint="eastAsia" w:ascii="Times New Roman" w:hAnsi="Times New Roman" w:eastAsia="Times New Roman" w:cs="Times New Roman"/>
                <w:color w:val="auto"/>
                <w:sz w:val="24"/>
                <w:szCs w:val="24"/>
                <w:highlight w:val="none"/>
              </w:rPr>
              <w:t>等形成地面漫流污染土壤。</w:t>
            </w:r>
          </w:p>
          <w:p w14:paraId="6BD9055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t>②</w:t>
            </w:r>
            <w:r>
              <w:rPr>
                <w:rFonts w:hint="eastAsia" w:ascii="Times New Roman" w:hAnsi="Times New Roman" w:eastAsia="Times New Roman" w:cs="Times New Roman"/>
                <w:color w:val="auto"/>
                <w:sz w:val="24"/>
                <w:szCs w:val="24"/>
                <w:highlight w:val="none"/>
              </w:rPr>
              <w:t>本项目</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为重点防渗区，按相关要求采取分区防渗，防止泄漏的物料进入深层土壤。</w:t>
            </w:r>
          </w:p>
          <w:p w14:paraId="5E712F72">
            <w:pPr>
              <w:rPr>
                <w:rFonts w:hint="eastAsia" w:eastAsia="宋体"/>
                <w:color w:val="auto"/>
                <w:highlight w:val="none"/>
                <w:lang w:eastAsia="zh-CN"/>
              </w:rPr>
            </w:pPr>
            <w:r>
              <w:rPr>
                <w:rFonts w:hint="eastAsia" w:eastAsia="宋体" w:cs="Times New Roman"/>
                <w:color w:val="auto"/>
                <w:sz w:val="24"/>
                <w:szCs w:val="24"/>
                <w:highlight w:val="none"/>
                <w:lang w:eastAsia="zh-CN"/>
              </w:rPr>
              <w:t>③在项目运营过程中，定期检查建/构筑物是否存在异常，防止污染物经破裂地面渗入地下。</w:t>
            </w:r>
          </w:p>
          <w:p w14:paraId="7FAF2270">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采取上述措施后，本项目对周围土壤影响较小。</w:t>
            </w:r>
          </w:p>
          <w:p w14:paraId="7CC90D4F">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6.3土壤跟踪监测</w:t>
            </w:r>
          </w:p>
          <w:p w14:paraId="48107BD2">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本项目在厂区内建立土壤跟踪监测点，以便于及时准确的掌握土壤变化情况。</w:t>
            </w:r>
          </w:p>
          <w:p w14:paraId="3B6B0553">
            <w:pPr>
              <w:pStyle w:val="25"/>
              <w:bidi w:val="0"/>
              <w:rPr>
                <w:color w:val="auto"/>
                <w:highlight w:val="none"/>
              </w:rPr>
            </w:pPr>
            <w:r>
              <w:rPr>
                <w:rFonts w:hint="eastAsia"/>
                <w:color w:val="auto"/>
                <w:highlight w:val="none"/>
              </w:rPr>
              <w:t>土壤跟踪监测计划表</w:t>
            </w:r>
          </w:p>
          <w:tbl>
            <w:tblPr>
              <w:tblStyle w:val="16"/>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autofit"/>
              <w:tblCellMar>
                <w:top w:w="0" w:type="dxa"/>
                <w:left w:w="108" w:type="dxa"/>
                <w:bottom w:w="0" w:type="dxa"/>
                <w:right w:w="108" w:type="dxa"/>
              </w:tblCellMar>
            </w:tblPr>
            <w:tblGrid>
              <w:gridCol w:w="427"/>
              <w:gridCol w:w="1652"/>
              <w:gridCol w:w="1062"/>
              <w:gridCol w:w="1177"/>
              <w:gridCol w:w="1177"/>
              <w:gridCol w:w="2831"/>
            </w:tblGrid>
            <w:tr w14:paraId="0EEB3B35">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97" w:hRule="atLeast"/>
                <w:jc w:val="center"/>
              </w:trPr>
              <w:tc>
                <w:tcPr>
                  <w:tcW w:w="223" w:type="pct"/>
                  <w:vAlign w:val="center"/>
                </w:tcPr>
                <w:p w14:paraId="3A42F0C8">
                  <w:pPr>
                    <w:pStyle w:val="27"/>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highlight w:val="none"/>
                    </w:rPr>
                  </w:pPr>
                  <w:r>
                    <w:rPr>
                      <w:rFonts w:eastAsia="宋体"/>
                      <w:b/>
                      <w:color w:val="auto"/>
                      <w:sz w:val="21"/>
                      <w:highlight w:val="none"/>
                    </w:rPr>
                    <w:t>序号</w:t>
                  </w:r>
                </w:p>
              </w:tc>
              <w:tc>
                <w:tcPr>
                  <w:tcW w:w="998" w:type="pct"/>
                  <w:vAlign w:val="center"/>
                </w:tcPr>
                <w:p w14:paraId="351C04AB">
                  <w:pPr>
                    <w:pStyle w:val="27"/>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highlight w:val="none"/>
                    </w:rPr>
                  </w:pPr>
                  <w:r>
                    <w:rPr>
                      <w:rFonts w:eastAsia="宋体"/>
                      <w:b/>
                      <w:color w:val="auto"/>
                      <w:sz w:val="21"/>
                      <w:highlight w:val="none"/>
                    </w:rPr>
                    <w:t>点位</w:t>
                  </w:r>
                </w:p>
              </w:tc>
              <w:tc>
                <w:tcPr>
                  <w:tcW w:w="644" w:type="pct"/>
                  <w:vAlign w:val="center"/>
                </w:tcPr>
                <w:p w14:paraId="0C65446C">
                  <w:pPr>
                    <w:pStyle w:val="27"/>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highlight w:val="none"/>
                    </w:rPr>
                  </w:pPr>
                  <w:r>
                    <w:rPr>
                      <w:rFonts w:eastAsia="宋体"/>
                      <w:b/>
                      <w:color w:val="auto"/>
                      <w:sz w:val="21"/>
                      <w:highlight w:val="none"/>
                    </w:rPr>
                    <w:t>监测因子</w:t>
                  </w:r>
                </w:p>
              </w:tc>
              <w:tc>
                <w:tcPr>
                  <w:tcW w:w="713" w:type="pct"/>
                  <w:vAlign w:val="center"/>
                </w:tcPr>
                <w:p w14:paraId="23FE95F6">
                  <w:pPr>
                    <w:pStyle w:val="27"/>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highlight w:val="none"/>
                    </w:rPr>
                  </w:pPr>
                  <w:r>
                    <w:rPr>
                      <w:rFonts w:eastAsia="宋体"/>
                      <w:b/>
                      <w:color w:val="auto"/>
                      <w:sz w:val="21"/>
                      <w:highlight w:val="none"/>
                    </w:rPr>
                    <w:t>监测深度</w:t>
                  </w:r>
                </w:p>
              </w:tc>
              <w:tc>
                <w:tcPr>
                  <w:tcW w:w="713" w:type="pct"/>
                  <w:vAlign w:val="center"/>
                </w:tcPr>
                <w:p w14:paraId="78CBD714">
                  <w:pPr>
                    <w:pStyle w:val="27"/>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highlight w:val="none"/>
                    </w:rPr>
                  </w:pPr>
                  <w:r>
                    <w:rPr>
                      <w:rFonts w:eastAsia="宋体"/>
                      <w:b/>
                      <w:color w:val="auto"/>
                      <w:sz w:val="21"/>
                      <w:highlight w:val="none"/>
                    </w:rPr>
                    <w:t>监测频次</w:t>
                  </w:r>
                </w:p>
              </w:tc>
              <w:tc>
                <w:tcPr>
                  <w:tcW w:w="1705" w:type="pct"/>
                  <w:vAlign w:val="center"/>
                </w:tcPr>
                <w:p w14:paraId="3F071CDE">
                  <w:pPr>
                    <w:pStyle w:val="27"/>
                    <w:keepNext w:val="0"/>
                    <w:keepLines w:val="0"/>
                    <w:pageBreakBefore w:val="0"/>
                    <w:widowControl w:val="0"/>
                    <w:kinsoku/>
                    <w:wordWrap/>
                    <w:overflowPunct/>
                    <w:topLinePunct w:val="0"/>
                    <w:autoSpaceDE/>
                    <w:autoSpaceDN/>
                    <w:bidi w:val="0"/>
                    <w:spacing w:line="240" w:lineRule="auto"/>
                    <w:jc w:val="center"/>
                    <w:textAlignment w:val="auto"/>
                    <w:rPr>
                      <w:rFonts w:hint="default"/>
                      <w:color w:val="auto"/>
                      <w:highlight w:val="none"/>
                    </w:rPr>
                  </w:pPr>
                  <w:r>
                    <w:rPr>
                      <w:rFonts w:eastAsia="宋体"/>
                      <w:b/>
                      <w:color w:val="auto"/>
                      <w:sz w:val="21"/>
                      <w:highlight w:val="none"/>
                    </w:rPr>
                    <w:t>执行标准</w:t>
                  </w:r>
                </w:p>
              </w:tc>
            </w:tr>
            <w:tr w14:paraId="7C950B15">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97" w:hRule="atLeast"/>
                <w:jc w:val="center"/>
              </w:trPr>
              <w:tc>
                <w:tcPr>
                  <w:tcW w:w="223" w:type="pct"/>
                  <w:vAlign w:val="center"/>
                </w:tcPr>
                <w:p w14:paraId="714B097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color w:val="auto"/>
                      <w:highlight w:val="none"/>
                    </w:rPr>
                  </w:pPr>
                  <w:r>
                    <w:rPr>
                      <w:rFonts w:hint="eastAsia"/>
                      <w:color w:val="auto"/>
                      <w:highlight w:val="none"/>
                    </w:rPr>
                    <w:t>1</w:t>
                  </w:r>
                </w:p>
              </w:tc>
              <w:tc>
                <w:tcPr>
                  <w:tcW w:w="998" w:type="pct"/>
                  <w:vAlign w:val="center"/>
                </w:tcPr>
                <w:p w14:paraId="66B6F052">
                  <w:pPr>
                    <w:pStyle w:val="24"/>
                    <w:keepNext w:val="0"/>
                    <w:keepLines w:val="0"/>
                    <w:pageBreakBefore w:val="0"/>
                    <w:widowControl w:val="0"/>
                    <w:kinsoku/>
                    <w:wordWrap/>
                    <w:overflowPunct/>
                    <w:topLinePunct w:val="0"/>
                    <w:autoSpaceDE/>
                    <w:autoSpaceDN/>
                    <w:bidi w:val="0"/>
                    <w:spacing w:line="240" w:lineRule="auto"/>
                    <w:jc w:val="center"/>
                    <w:textAlignment w:val="auto"/>
                    <w:rPr>
                      <w:color w:val="auto"/>
                      <w:highlight w:val="none"/>
                    </w:rPr>
                  </w:pPr>
                  <w:r>
                    <w:rPr>
                      <w:rFonts w:hint="eastAsia"/>
                      <w:color w:val="auto"/>
                      <w:highlight w:val="none"/>
                    </w:rPr>
                    <w:t>厂区内</w:t>
                  </w:r>
                  <w:r>
                    <w:rPr>
                      <w:rFonts w:hint="eastAsia"/>
                      <w:color w:val="auto"/>
                      <w:highlight w:val="none"/>
                      <w:lang w:eastAsia="zh-CN"/>
                    </w:rPr>
                    <w:t>本</w:t>
                  </w:r>
                  <w:r>
                    <w:rPr>
                      <w:rFonts w:hint="eastAsia"/>
                      <w:color w:val="auto"/>
                      <w:highlight w:val="none"/>
                    </w:rPr>
                    <w:t>项目周围未硬化地面表层土</w:t>
                  </w:r>
                </w:p>
              </w:tc>
              <w:tc>
                <w:tcPr>
                  <w:tcW w:w="644" w:type="pct"/>
                  <w:vAlign w:val="center"/>
                </w:tcPr>
                <w:p w14:paraId="12A2CFB5">
                  <w:pPr>
                    <w:pStyle w:val="24"/>
                    <w:keepNext w:val="0"/>
                    <w:keepLines w:val="0"/>
                    <w:pageBreakBefore w:val="0"/>
                    <w:widowControl w:val="0"/>
                    <w:kinsoku/>
                    <w:wordWrap/>
                    <w:overflowPunct/>
                    <w:topLinePunct w:val="0"/>
                    <w:autoSpaceDE/>
                    <w:autoSpaceDN/>
                    <w:bidi w:val="0"/>
                    <w:spacing w:line="240" w:lineRule="auto"/>
                    <w:jc w:val="center"/>
                    <w:textAlignment w:val="auto"/>
                    <w:rPr>
                      <w:color w:val="auto"/>
                      <w:highlight w:val="none"/>
                    </w:rPr>
                  </w:pPr>
                  <w:r>
                    <w:rPr>
                      <w:rFonts w:hint="eastAsia"/>
                      <w:color w:val="auto"/>
                      <w:highlight w:val="none"/>
                    </w:rPr>
                    <w:t>pH、</w:t>
                  </w:r>
                  <w:r>
                    <w:rPr>
                      <w:rFonts w:hint="eastAsia"/>
                      <w:color w:val="auto"/>
                      <w:highlight w:val="none"/>
                      <w:lang w:val="en-US" w:eastAsia="zh-CN"/>
                    </w:rPr>
                    <w:t>Pb、硫酸盐、</w:t>
                  </w:r>
                  <w:r>
                    <w:rPr>
                      <w:rFonts w:hint="eastAsia"/>
                      <w:color w:val="auto"/>
                      <w:highlight w:val="none"/>
                    </w:rPr>
                    <w:t>石油类</w:t>
                  </w:r>
                </w:p>
              </w:tc>
              <w:tc>
                <w:tcPr>
                  <w:tcW w:w="713" w:type="pct"/>
                  <w:vAlign w:val="center"/>
                </w:tcPr>
                <w:p w14:paraId="0B070F39">
                  <w:pPr>
                    <w:pStyle w:val="24"/>
                    <w:keepNext w:val="0"/>
                    <w:keepLines w:val="0"/>
                    <w:pageBreakBefore w:val="0"/>
                    <w:widowControl w:val="0"/>
                    <w:kinsoku/>
                    <w:wordWrap/>
                    <w:overflowPunct/>
                    <w:topLinePunct w:val="0"/>
                    <w:autoSpaceDE/>
                    <w:autoSpaceDN/>
                    <w:bidi w:val="0"/>
                    <w:spacing w:line="240" w:lineRule="auto"/>
                    <w:jc w:val="center"/>
                    <w:textAlignment w:val="auto"/>
                    <w:rPr>
                      <w:color w:val="auto"/>
                      <w:highlight w:val="none"/>
                    </w:rPr>
                  </w:pPr>
                  <w:r>
                    <w:rPr>
                      <w:rFonts w:hint="eastAsia"/>
                      <w:color w:val="auto"/>
                      <w:highlight w:val="none"/>
                    </w:rPr>
                    <w:t>0-0.5m</w:t>
                  </w:r>
                </w:p>
              </w:tc>
              <w:tc>
                <w:tcPr>
                  <w:tcW w:w="713" w:type="pct"/>
                  <w:vAlign w:val="center"/>
                </w:tcPr>
                <w:p w14:paraId="28DFC797">
                  <w:pPr>
                    <w:pStyle w:val="24"/>
                    <w:keepNext w:val="0"/>
                    <w:keepLines w:val="0"/>
                    <w:pageBreakBefore w:val="0"/>
                    <w:widowControl w:val="0"/>
                    <w:kinsoku/>
                    <w:wordWrap/>
                    <w:overflowPunct/>
                    <w:topLinePunct w:val="0"/>
                    <w:autoSpaceDE/>
                    <w:autoSpaceDN/>
                    <w:bidi w:val="0"/>
                    <w:spacing w:line="240" w:lineRule="auto"/>
                    <w:jc w:val="center"/>
                    <w:textAlignment w:val="auto"/>
                    <w:rPr>
                      <w:color w:val="auto"/>
                      <w:highlight w:val="none"/>
                    </w:rPr>
                  </w:pPr>
                  <w:r>
                    <w:rPr>
                      <w:rFonts w:hint="eastAsia"/>
                      <w:color w:val="auto"/>
                      <w:highlight w:val="none"/>
                    </w:rPr>
                    <w:t>1年/次</w:t>
                  </w:r>
                </w:p>
              </w:tc>
              <w:tc>
                <w:tcPr>
                  <w:tcW w:w="1705" w:type="pct"/>
                  <w:vAlign w:val="center"/>
                </w:tcPr>
                <w:p w14:paraId="2BF8A314">
                  <w:pPr>
                    <w:pStyle w:val="24"/>
                    <w:keepNext w:val="0"/>
                    <w:keepLines w:val="0"/>
                    <w:pageBreakBefore w:val="0"/>
                    <w:widowControl w:val="0"/>
                    <w:kinsoku/>
                    <w:wordWrap/>
                    <w:overflowPunct/>
                    <w:topLinePunct w:val="0"/>
                    <w:autoSpaceDE/>
                    <w:autoSpaceDN/>
                    <w:bidi w:val="0"/>
                    <w:spacing w:line="240" w:lineRule="auto"/>
                    <w:jc w:val="center"/>
                    <w:textAlignment w:val="auto"/>
                    <w:rPr>
                      <w:color w:val="auto"/>
                      <w:highlight w:val="none"/>
                    </w:rPr>
                  </w:pPr>
                  <w:r>
                    <w:rPr>
                      <w:rFonts w:hint="eastAsia"/>
                      <w:color w:val="auto"/>
                      <w:highlight w:val="none"/>
                    </w:rPr>
                    <w:t>《土壤环境质量建设用地土壤污染风险管控标准（试行）》（GB36600-2018）</w:t>
                  </w:r>
                </w:p>
              </w:tc>
            </w:tr>
          </w:tbl>
          <w:p w14:paraId="03541434">
            <w:pPr>
              <w:keepNext w:val="0"/>
              <w:keepLines w:val="0"/>
              <w:pageBreakBefore w:val="0"/>
              <w:widowControl w:val="0"/>
              <w:kinsoku/>
              <w:wordWrap/>
              <w:overflowPunct/>
              <w:topLinePunct w:val="0"/>
              <w:autoSpaceDE/>
              <w:autoSpaceDN/>
              <w:bidi w:val="0"/>
              <w:adjustRightInd/>
              <w:snapToGrid/>
              <w:spacing w:before="0" w:beforeLines="0"/>
              <w:textAlignment w:val="auto"/>
              <w:rPr>
                <w:rFonts w:hint="default"/>
                <w:b/>
                <w:bCs/>
                <w:color w:val="auto"/>
                <w:highlight w:val="none"/>
              </w:rPr>
            </w:pPr>
            <w:r>
              <w:rPr>
                <w:rFonts w:hint="default"/>
                <w:b/>
                <w:bCs/>
                <w:color w:val="auto"/>
                <w:highlight w:val="none"/>
              </w:rPr>
              <w:t>7环境风险</w:t>
            </w:r>
          </w:p>
          <w:p w14:paraId="4B97C8A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t>环境风险是指突发性事故对环境（或健康）的危害程度。建设项目环境风险评价</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主要是对建设项目建设和运行期间发生的可预测突发性事件或事故（一般不包括人为破坏及自然灾害）引起有毒有害、易燃易爆等物质泄漏</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或突发事件产生的新的有毒有害物质</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所造成的对人身安全与环境的影响和损害</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进行评估</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提出防范、应急与减缓措施</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以使建设项目事故率、损失和环境影响达到可接受水平。</w:t>
            </w:r>
          </w:p>
          <w:p w14:paraId="18F9D6F6">
            <w:pPr>
              <w:pStyle w:val="13"/>
              <w:keepNext w:val="0"/>
              <w:keepLines w:val="0"/>
              <w:pageBreakBefore w:val="0"/>
              <w:widowControl w:val="0"/>
              <w:kinsoku/>
              <w:wordWrap/>
              <w:overflowPunct/>
              <w:topLinePunct w:val="0"/>
              <w:autoSpaceDE w:val="0"/>
              <w:autoSpaceDN w:val="0"/>
              <w:bidi w:val="0"/>
              <w:adjustRightInd w:val="0"/>
              <w:snapToGrid w:val="0"/>
              <w:spacing w:before="0" w:beforeLines="0"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7.1环境危险物质调查</w:t>
            </w:r>
          </w:p>
          <w:p w14:paraId="43B8647F">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对照《建设项目环境风险评价技术导则》（HJ169-2018）附录B中的危险物质名称及临界量情况，本项目所涉及的危险物质为</w:t>
            </w:r>
            <w:r>
              <w:rPr>
                <w:rFonts w:hint="eastAsia" w:ascii="Times New Roman" w:hAnsi="Times New Roman" w:eastAsia="Times New Roman" w:cs="Times New Roman"/>
                <w:color w:val="auto"/>
                <w:sz w:val="24"/>
                <w:szCs w:val="24"/>
                <w:highlight w:val="none"/>
                <w:lang w:val="en-US" w:eastAsia="zh-CN"/>
              </w:rPr>
              <w:t>油类物质。</w:t>
            </w:r>
          </w:p>
          <w:p w14:paraId="13F440C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计算所涉及的每种危险物质在厂界内的最大存在总量与其附录 B中对应临界量的比值Q。在不同厂区的同一种物质，按其在厂界内的最大存在总量计算。当只涉及一种危险物质时，计算该物质的总量与其临界量比值，即为 Q；当存在多种危险物质时，按下式计算物质总量与临界值比值（Q）：</w:t>
            </w:r>
          </w:p>
          <w:p w14:paraId="1C6576DF">
            <w:pPr>
              <w:pStyle w:val="13"/>
              <w:keepNext w:val="0"/>
              <w:keepLines w:val="0"/>
              <w:pageBreakBefore w:val="0"/>
              <w:widowControl w:val="0"/>
              <w:kinsoku/>
              <w:wordWrap/>
              <w:overflowPunct/>
              <w:topLinePunct w:val="0"/>
              <w:autoSpaceDE w:val="0"/>
              <w:autoSpaceDN w:val="0"/>
              <w:bidi w:val="0"/>
              <w:spacing w:line="360" w:lineRule="auto"/>
              <w:ind w:left="0" w:leftChars="0" w:firstLine="0" w:firstLineChars="0"/>
              <w:jc w:val="center"/>
              <w:textAlignment w:val="auto"/>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position w:val="-30"/>
                <w:sz w:val="24"/>
                <w:szCs w:val="24"/>
                <w:highlight w:val="none"/>
              </w:rPr>
              <w:object>
                <v:shape id="_x0000_i1026" o:spt="75" type="#_x0000_t75" style="height:34.3pt;width:109.7pt;" o:ole="t" filled="f" coordsize="21600,21600">
                  <v:path/>
                  <v:fill on="f" focussize="0,0"/>
                  <v:stroke/>
                  <v:imagedata r:id="rId19" o:title=""/>
                  <o:lock v:ext="edit" aspectratio="t"/>
                  <w10:wrap type="none"/>
                  <w10:anchorlock/>
                </v:shape>
                <o:OLEObject Type="Embed" ProgID="Equation.KSEE3" ShapeID="_x0000_i1026" DrawAspect="Content" ObjectID="_1468075726" r:id="rId18">
                  <o:LockedField>false</o:LockedField>
                </o:OLEObject>
              </w:object>
            </w:r>
          </w:p>
          <w:p w14:paraId="7B8E106A">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中：q</w:t>
            </w:r>
            <w:r>
              <w:rPr>
                <w:rFonts w:hint="eastAsia" w:ascii="Times New Roman" w:hAnsi="Times New Roman" w:eastAsia="Times New Roman" w:cs="Times New Roman"/>
                <w:color w:val="auto"/>
                <w:sz w:val="24"/>
                <w:szCs w:val="24"/>
                <w:highlight w:val="none"/>
                <w:vertAlign w:val="subscript"/>
              </w:rPr>
              <w:t>1</w:t>
            </w:r>
            <w:r>
              <w:rPr>
                <w:rFonts w:hint="eastAsia" w:ascii="Times New Roman" w:hAnsi="Times New Roman" w:eastAsia="Times New Roman" w:cs="Times New Roman"/>
                <w:color w:val="auto"/>
                <w:sz w:val="24"/>
                <w:szCs w:val="24"/>
                <w:highlight w:val="none"/>
              </w:rPr>
              <w:t>、q</w:t>
            </w:r>
            <w:r>
              <w:rPr>
                <w:rFonts w:hint="eastAsia" w:ascii="Times New Roman" w:hAnsi="Times New Roman" w:eastAsia="Times New Roman" w:cs="Times New Roman"/>
                <w:color w:val="auto"/>
                <w:sz w:val="24"/>
                <w:szCs w:val="24"/>
                <w:highlight w:val="none"/>
                <w:vertAlign w:val="subscript"/>
              </w:rPr>
              <w:t>2</w:t>
            </w:r>
            <w:r>
              <w:rPr>
                <w:rFonts w:hint="eastAsia" w:ascii="Times New Roman" w:hAnsi="Times New Roman" w:eastAsia="Times New Roman" w:cs="Times New Roman"/>
                <w:color w:val="auto"/>
                <w:sz w:val="24"/>
                <w:szCs w:val="24"/>
                <w:highlight w:val="none"/>
              </w:rPr>
              <w:t>……qn——每种危险物质的最大存在总量，t。</w:t>
            </w:r>
          </w:p>
          <w:p w14:paraId="1418B6AF">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Q</w:t>
            </w:r>
            <w:r>
              <w:rPr>
                <w:rFonts w:hint="eastAsia" w:ascii="Times New Roman" w:hAnsi="Times New Roman" w:eastAsia="Times New Roman" w:cs="Times New Roman"/>
                <w:color w:val="auto"/>
                <w:sz w:val="24"/>
                <w:szCs w:val="24"/>
                <w:highlight w:val="none"/>
                <w:vertAlign w:val="subscript"/>
              </w:rPr>
              <w:t>1</w:t>
            </w:r>
            <w:r>
              <w:rPr>
                <w:rFonts w:hint="eastAsia" w:ascii="Times New Roman" w:hAnsi="Times New Roman" w:eastAsia="Times New Roman" w:cs="Times New Roman"/>
                <w:color w:val="auto"/>
                <w:sz w:val="24"/>
                <w:szCs w:val="24"/>
                <w:highlight w:val="none"/>
              </w:rPr>
              <w:t>、Q</w:t>
            </w:r>
            <w:r>
              <w:rPr>
                <w:rFonts w:hint="eastAsia" w:ascii="Times New Roman" w:hAnsi="Times New Roman" w:eastAsia="Times New Roman" w:cs="Times New Roman"/>
                <w:color w:val="auto"/>
                <w:sz w:val="24"/>
                <w:szCs w:val="24"/>
                <w:highlight w:val="none"/>
                <w:vertAlign w:val="subscript"/>
              </w:rPr>
              <w:t>2</w:t>
            </w:r>
            <w:r>
              <w:rPr>
                <w:rFonts w:hint="eastAsia" w:ascii="Times New Roman" w:hAnsi="Times New Roman" w:eastAsia="Times New Roman" w:cs="Times New Roman"/>
                <w:color w:val="auto"/>
                <w:sz w:val="24"/>
                <w:szCs w:val="24"/>
                <w:highlight w:val="none"/>
              </w:rPr>
              <w:t>……Qn——每种危险物质的临界量，t。</w:t>
            </w:r>
          </w:p>
          <w:p w14:paraId="13251AF0">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当Q&lt;1时，该项目环境风险潜势为Ⅰ。</w:t>
            </w:r>
          </w:p>
          <w:p w14:paraId="280811F2">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当Q≥1时，将Q值划分为：（1）1≤Q&lt;10；（2）10≤Q&lt;100；（3）Q≥100</w:t>
            </w:r>
          </w:p>
          <w:p w14:paraId="091583E8">
            <w:pPr>
              <w:pStyle w:val="25"/>
              <w:bidi w:val="0"/>
              <w:rPr>
                <w:color w:val="auto"/>
                <w:highlight w:val="none"/>
              </w:rPr>
            </w:pPr>
            <w:r>
              <w:rPr>
                <w:rFonts w:hint="eastAsia"/>
                <w:color w:val="auto"/>
                <w:highlight w:val="none"/>
              </w:rPr>
              <w:t>本项目涉及的危险物质及Q值计算一览表</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1391"/>
              <w:gridCol w:w="1714"/>
              <w:gridCol w:w="1969"/>
              <w:gridCol w:w="1377"/>
              <w:gridCol w:w="1129"/>
            </w:tblGrid>
            <w:tr w14:paraId="6018C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 w:type="pct"/>
                  <w:tcBorders>
                    <w:tl2br w:val="nil"/>
                    <w:tr2bl w:val="nil"/>
                  </w:tcBorders>
                  <w:vAlign w:val="center"/>
                </w:tcPr>
                <w:p w14:paraId="197205D8">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rPr>
                  </w:pPr>
                  <w:r>
                    <w:rPr>
                      <w:rFonts w:eastAsia="宋体"/>
                      <w:b/>
                      <w:color w:val="auto"/>
                      <w:sz w:val="21"/>
                      <w:highlight w:val="none"/>
                    </w:rPr>
                    <w:t>序号</w:t>
                  </w:r>
                </w:p>
              </w:tc>
              <w:tc>
                <w:tcPr>
                  <w:tcW w:w="835" w:type="pct"/>
                  <w:tcBorders>
                    <w:tl2br w:val="nil"/>
                    <w:tr2bl w:val="nil"/>
                  </w:tcBorders>
                  <w:vAlign w:val="center"/>
                </w:tcPr>
                <w:p w14:paraId="4656E98A">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rPr>
                  </w:pPr>
                  <w:r>
                    <w:rPr>
                      <w:rFonts w:eastAsia="宋体"/>
                      <w:b/>
                      <w:color w:val="auto"/>
                      <w:sz w:val="21"/>
                      <w:highlight w:val="none"/>
                    </w:rPr>
                    <w:t>风险源</w:t>
                  </w:r>
                </w:p>
              </w:tc>
              <w:tc>
                <w:tcPr>
                  <w:tcW w:w="1029" w:type="pct"/>
                  <w:tcBorders>
                    <w:tl2br w:val="nil"/>
                    <w:tr2bl w:val="nil"/>
                  </w:tcBorders>
                  <w:vAlign w:val="center"/>
                </w:tcPr>
                <w:p w14:paraId="0F4A2435">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rPr>
                  </w:pPr>
                  <w:r>
                    <w:rPr>
                      <w:rFonts w:eastAsia="宋体"/>
                      <w:b/>
                      <w:color w:val="auto"/>
                      <w:sz w:val="21"/>
                      <w:highlight w:val="none"/>
                    </w:rPr>
                    <w:t>名称</w:t>
                  </w:r>
                </w:p>
              </w:tc>
              <w:tc>
                <w:tcPr>
                  <w:tcW w:w="1182" w:type="pct"/>
                  <w:tcBorders>
                    <w:tl2br w:val="nil"/>
                    <w:tr2bl w:val="nil"/>
                  </w:tcBorders>
                  <w:vAlign w:val="center"/>
                </w:tcPr>
                <w:p w14:paraId="2A5BCD43">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rPr>
                  </w:pPr>
                  <w:r>
                    <w:rPr>
                      <w:rFonts w:eastAsia="宋体"/>
                      <w:b/>
                      <w:color w:val="auto"/>
                      <w:sz w:val="21"/>
                      <w:highlight w:val="none"/>
                    </w:rPr>
                    <w:t>最大</w:t>
                  </w:r>
                  <w:r>
                    <w:rPr>
                      <w:rFonts w:hint="eastAsia" w:eastAsia="宋体"/>
                      <w:b/>
                      <w:color w:val="auto"/>
                      <w:sz w:val="21"/>
                      <w:highlight w:val="none"/>
                      <w:lang w:val="en-US" w:eastAsia="zh-CN"/>
                    </w:rPr>
                    <w:t>储存</w:t>
                  </w:r>
                  <w:r>
                    <w:rPr>
                      <w:rFonts w:eastAsia="宋体"/>
                      <w:b/>
                      <w:color w:val="auto"/>
                      <w:sz w:val="21"/>
                      <w:highlight w:val="none"/>
                    </w:rPr>
                    <w:t>量/（t）</w:t>
                  </w:r>
                </w:p>
              </w:tc>
              <w:tc>
                <w:tcPr>
                  <w:tcW w:w="827" w:type="pct"/>
                  <w:tcBorders>
                    <w:tl2br w:val="nil"/>
                    <w:tr2bl w:val="nil"/>
                  </w:tcBorders>
                  <w:vAlign w:val="center"/>
                </w:tcPr>
                <w:p w14:paraId="1EDE4C2C">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rPr>
                  </w:pPr>
                  <w:r>
                    <w:rPr>
                      <w:rFonts w:eastAsia="宋体"/>
                      <w:b/>
                      <w:color w:val="auto"/>
                      <w:sz w:val="21"/>
                      <w:highlight w:val="none"/>
                    </w:rPr>
                    <w:t>临界量（t）</w:t>
                  </w:r>
                </w:p>
              </w:tc>
              <w:tc>
                <w:tcPr>
                  <w:tcW w:w="678" w:type="pct"/>
                  <w:tcBorders>
                    <w:tl2br w:val="nil"/>
                    <w:tr2bl w:val="nil"/>
                  </w:tcBorders>
                  <w:vAlign w:val="center"/>
                </w:tcPr>
                <w:p w14:paraId="511CFCBD">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rPr>
                  </w:pPr>
                  <w:r>
                    <w:rPr>
                      <w:rFonts w:eastAsia="宋体"/>
                      <w:b/>
                      <w:color w:val="auto"/>
                      <w:sz w:val="21"/>
                      <w:highlight w:val="none"/>
                    </w:rPr>
                    <w:t>qi/Qi</w:t>
                  </w:r>
                </w:p>
              </w:tc>
            </w:tr>
            <w:tr w14:paraId="20E524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 w:type="pct"/>
                  <w:vMerge w:val="restart"/>
                  <w:tcBorders>
                    <w:tl2br w:val="nil"/>
                    <w:tr2bl w:val="nil"/>
                  </w:tcBorders>
                  <w:vAlign w:val="center"/>
                </w:tcPr>
                <w:p w14:paraId="318FDF79">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r>
                    <w:rPr>
                      <w:rFonts w:hint="eastAsia"/>
                      <w:color w:val="auto"/>
                      <w:highlight w:val="none"/>
                    </w:rPr>
                    <w:t>1</w:t>
                  </w:r>
                </w:p>
              </w:tc>
              <w:tc>
                <w:tcPr>
                  <w:tcW w:w="835" w:type="pct"/>
                  <w:vMerge w:val="restart"/>
                  <w:tcBorders>
                    <w:tl2br w:val="nil"/>
                    <w:tr2bl w:val="nil"/>
                  </w:tcBorders>
                  <w:vAlign w:val="center"/>
                </w:tcPr>
                <w:p w14:paraId="777CEA7D">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highlight w:val="none"/>
                      <w:lang w:eastAsia="zh-CN"/>
                    </w:rPr>
                  </w:pPr>
                  <w:r>
                    <w:rPr>
                      <w:rFonts w:hint="eastAsia"/>
                      <w:color w:val="auto"/>
                      <w:highlight w:val="none"/>
                      <w:lang w:eastAsia="zh-CN"/>
                    </w:rPr>
                    <w:t>危险废物贮存点</w:t>
                  </w:r>
                </w:p>
              </w:tc>
              <w:tc>
                <w:tcPr>
                  <w:tcW w:w="1029" w:type="pct"/>
                  <w:tcBorders>
                    <w:tl2br w:val="nil"/>
                    <w:tr2bl w:val="nil"/>
                  </w:tcBorders>
                  <w:vAlign w:val="center"/>
                </w:tcPr>
                <w:p w14:paraId="0E3CACD5">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Theme="minorEastAsia"/>
                      <w:color w:val="auto"/>
                      <w:highlight w:val="none"/>
                      <w:lang w:eastAsia="zh-CN"/>
                    </w:rPr>
                  </w:pPr>
                  <w:r>
                    <w:rPr>
                      <w:rFonts w:hint="eastAsia"/>
                      <w:color w:val="auto"/>
                      <w:highlight w:val="none"/>
                      <w:lang w:val="en-US" w:eastAsia="zh-CN"/>
                    </w:rPr>
                    <w:t>油类物质</w:t>
                  </w:r>
                </w:p>
              </w:tc>
              <w:tc>
                <w:tcPr>
                  <w:tcW w:w="1182" w:type="pct"/>
                  <w:tcBorders>
                    <w:tl2br w:val="nil"/>
                    <w:tr2bl w:val="nil"/>
                  </w:tcBorders>
                  <w:vAlign w:val="center"/>
                </w:tcPr>
                <w:p w14:paraId="48BF1EC0">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Theme="minorEastAsia"/>
                      <w:color w:val="auto"/>
                      <w:highlight w:val="none"/>
                      <w:lang w:val="en-US" w:eastAsia="zh-CN"/>
                    </w:rPr>
                  </w:pPr>
                  <w:r>
                    <w:rPr>
                      <w:rFonts w:hint="eastAsia"/>
                      <w:color w:val="auto"/>
                      <w:highlight w:val="none"/>
                      <w:lang w:val="en-US" w:eastAsia="zh-CN"/>
                    </w:rPr>
                    <w:t>1.334</w:t>
                  </w:r>
                </w:p>
              </w:tc>
              <w:tc>
                <w:tcPr>
                  <w:tcW w:w="827" w:type="pct"/>
                  <w:tcBorders>
                    <w:tl2br w:val="nil"/>
                    <w:tr2bl w:val="nil"/>
                  </w:tcBorders>
                  <w:vAlign w:val="center"/>
                </w:tcPr>
                <w:p w14:paraId="670B8E81">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r>
                    <w:rPr>
                      <w:rFonts w:hint="eastAsia"/>
                      <w:color w:val="auto"/>
                      <w:highlight w:val="none"/>
                    </w:rPr>
                    <w:t>2500</w:t>
                  </w:r>
                </w:p>
              </w:tc>
              <w:tc>
                <w:tcPr>
                  <w:tcW w:w="678" w:type="pct"/>
                  <w:tcBorders>
                    <w:tl2br w:val="nil"/>
                    <w:tr2bl w:val="nil"/>
                  </w:tcBorders>
                  <w:vAlign w:val="center"/>
                </w:tcPr>
                <w:p w14:paraId="4166D423">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Theme="minorEastAsia"/>
                      <w:color w:val="auto"/>
                      <w:highlight w:val="none"/>
                      <w:lang w:val="en-US" w:eastAsia="zh-CN"/>
                    </w:rPr>
                  </w:pPr>
                  <w:r>
                    <w:rPr>
                      <w:rFonts w:hint="eastAsia"/>
                      <w:color w:val="auto"/>
                      <w:highlight w:val="none"/>
                      <w:lang w:val="en-US" w:eastAsia="zh-CN"/>
                    </w:rPr>
                    <w:t>0.0005336</w:t>
                  </w:r>
                </w:p>
              </w:tc>
            </w:tr>
            <w:tr w14:paraId="27B309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 w:type="pct"/>
                  <w:vMerge w:val="continue"/>
                  <w:tcBorders>
                    <w:tl2br w:val="nil"/>
                    <w:tr2bl w:val="nil"/>
                  </w:tcBorders>
                  <w:vAlign w:val="center"/>
                </w:tcPr>
                <w:p w14:paraId="43AF83C5">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highlight w:val="none"/>
                    </w:rPr>
                  </w:pPr>
                </w:p>
              </w:tc>
              <w:tc>
                <w:tcPr>
                  <w:tcW w:w="835" w:type="pct"/>
                  <w:vMerge w:val="continue"/>
                  <w:tcBorders>
                    <w:tl2br w:val="nil"/>
                    <w:tr2bl w:val="nil"/>
                  </w:tcBorders>
                  <w:vAlign w:val="center"/>
                </w:tcPr>
                <w:p w14:paraId="49AC2C41">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highlight w:val="none"/>
                      <w:lang w:eastAsia="zh-CN"/>
                    </w:rPr>
                  </w:pPr>
                </w:p>
              </w:tc>
              <w:tc>
                <w:tcPr>
                  <w:tcW w:w="1029" w:type="pct"/>
                  <w:tcBorders>
                    <w:tl2br w:val="nil"/>
                    <w:tr2bl w:val="nil"/>
                  </w:tcBorders>
                  <w:vAlign w:val="center"/>
                </w:tcPr>
                <w:p w14:paraId="35D1F55A">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highlight w:val="none"/>
                      <w:lang w:val="en-US" w:eastAsia="zh-CN"/>
                    </w:rPr>
                  </w:pPr>
                  <w:r>
                    <w:rPr>
                      <w:rFonts w:hint="eastAsia"/>
                      <w:color w:val="auto"/>
                      <w:highlight w:val="none"/>
                      <w:lang w:val="en-US" w:eastAsia="zh-CN"/>
                    </w:rPr>
                    <w:t>电解液中的硫酸</w:t>
                  </w:r>
                </w:p>
              </w:tc>
              <w:tc>
                <w:tcPr>
                  <w:tcW w:w="1182" w:type="pct"/>
                  <w:tcBorders>
                    <w:tl2br w:val="nil"/>
                    <w:tr2bl w:val="nil"/>
                  </w:tcBorders>
                  <w:vAlign w:val="center"/>
                </w:tcPr>
                <w:p w14:paraId="2562DC38">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lang w:val="en-US" w:eastAsia="zh-CN"/>
                    </w:rPr>
                  </w:pPr>
                  <w:r>
                    <w:rPr>
                      <w:rFonts w:hint="eastAsia"/>
                      <w:color w:val="auto"/>
                      <w:highlight w:val="none"/>
                      <w:lang w:val="en-US" w:eastAsia="zh-CN"/>
                    </w:rPr>
                    <w:t>0.052</w:t>
                  </w:r>
                </w:p>
              </w:tc>
              <w:tc>
                <w:tcPr>
                  <w:tcW w:w="827" w:type="pct"/>
                  <w:tcBorders>
                    <w:tl2br w:val="nil"/>
                    <w:tr2bl w:val="nil"/>
                  </w:tcBorders>
                  <w:vAlign w:val="center"/>
                </w:tcPr>
                <w:p w14:paraId="6F286A80">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Theme="minorEastAsia"/>
                      <w:color w:val="auto"/>
                      <w:highlight w:val="none"/>
                      <w:lang w:val="en-US" w:eastAsia="zh-CN"/>
                    </w:rPr>
                  </w:pPr>
                  <w:r>
                    <w:rPr>
                      <w:rFonts w:hint="eastAsia"/>
                      <w:color w:val="auto"/>
                      <w:highlight w:val="none"/>
                      <w:lang w:val="en-US" w:eastAsia="zh-CN"/>
                    </w:rPr>
                    <w:t>10</w:t>
                  </w:r>
                </w:p>
              </w:tc>
              <w:tc>
                <w:tcPr>
                  <w:tcW w:w="678" w:type="pct"/>
                  <w:tcBorders>
                    <w:tl2br w:val="nil"/>
                    <w:tr2bl w:val="nil"/>
                  </w:tcBorders>
                  <w:vAlign w:val="center"/>
                </w:tcPr>
                <w:p w14:paraId="7A73B31D">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highlight w:val="none"/>
                      <w:lang w:val="en-US" w:eastAsia="zh-CN"/>
                    </w:rPr>
                  </w:pPr>
                  <w:r>
                    <w:rPr>
                      <w:rFonts w:hint="eastAsia"/>
                      <w:color w:val="auto"/>
                      <w:highlight w:val="none"/>
                      <w:lang w:val="en-US" w:eastAsia="zh-CN"/>
                    </w:rPr>
                    <w:t>0.0052</w:t>
                  </w:r>
                </w:p>
              </w:tc>
            </w:tr>
            <w:tr w14:paraId="791B85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1" w:type="pct"/>
                  <w:gridSpan w:val="2"/>
                  <w:tcBorders>
                    <w:tl2br w:val="nil"/>
                    <w:tr2bl w:val="nil"/>
                  </w:tcBorders>
                  <w:vAlign w:val="center"/>
                </w:tcPr>
                <w:p w14:paraId="5940C14C">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r>
                    <w:rPr>
                      <w:rFonts w:hint="eastAsia"/>
                      <w:color w:val="auto"/>
                      <w:highlight w:val="none"/>
                    </w:rPr>
                    <w:t>Q值合计</w:t>
                  </w:r>
                </w:p>
              </w:tc>
              <w:tc>
                <w:tcPr>
                  <w:tcW w:w="1029" w:type="pct"/>
                  <w:tcBorders>
                    <w:tl2br w:val="nil"/>
                    <w:tr2bl w:val="nil"/>
                  </w:tcBorders>
                  <w:vAlign w:val="center"/>
                </w:tcPr>
                <w:p w14:paraId="244475B9">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r>
                    <w:rPr>
                      <w:rFonts w:hint="eastAsia"/>
                      <w:color w:val="auto"/>
                      <w:highlight w:val="none"/>
                    </w:rPr>
                    <w:t>/</w:t>
                  </w:r>
                </w:p>
              </w:tc>
              <w:tc>
                <w:tcPr>
                  <w:tcW w:w="1182" w:type="pct"/>
                  <w:tcBorders>
                    <w:tl2br w:val="nil"/>
                    <w:tr2bl w:val="nil"/>
                  </w:tcBorders>
                  <w:vAlign w:val="center"/>
                </w:tcPr>
                <w:p w14:paraId="7165105F">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r>
                    <w:rPr>
                      <w:rFonts w:hint="eastAsia"/>
                      <w:color w:val="auto"/>
                      <w:highlight w:val="none"/>
                    </w:rPr>
                    <w:t>/</w:t>
                  </w:r>
                </w:p>
              </w:tc>
              <w:tc>
                <w:tcPr>
                  <w:tcW w:w="827" w:type="pct"/>
                  <w:tcBorders>
                    <w:tl2br w:val="nil"/>
                    <w:tr2bl w:val="nil"/>
                  </w:tcBorders>
                  <w:vAlign w:val="center"/>
                </w:tcPr>
                <w:p w14:paraId="4D32085E">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highlight w:val="none"/>
                    </w:rPr>
                  </w:pPr>
                  <w:r>
                    <w:rPr>
                      <w:rFonts w:hint="eastAsia"/>
                      <w:color w:val="auto"/>
                      <w:highlight w:val="none"/>
                    </w:rPr>
                    <w:t>/</w:t>
                  </w:r>
                </w:p>
              </w:tc>
              <w:tc>
                <w:tcPr>
                  <w:tcW w:w="678" w:type="pct"/>
                  <w:tcBorders>
                    <w:tl2br w:val="nil"/>
                    <w:tr2bl w:val="nil"/>
                  </w:tcBorders>
                  <w:vAlign w:val="center"/>
                </w:tcPr>
                <w:p w14:paraId="1377E1BB">
                  <w:pPr>
                    <w:pStyle w:val="2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Theme="minorEastAsia"/>
                      <w:color w:val="auto"/>
                      <w:highlight w:val="none"/>
                      <w:lang w:val="en-US" w:eastAsia="zh-CN"/>
                    </w:rPr>
                  </w:pPr>
                  <w:r>
                    <w:rPr>
                      <w:rFonts w:hint="eastAsia"/>
                      <w:color w:val="auto"/>
                      <w:highlight w:val="none"/>
                      <w:lang w:val="en-US" w:eastAsia="zh-CN"/>
                    </w:rPr>
                    <w:t>0.0057336</w:t>
                  </w:r>
                </w:p>
              </w:tc>
            </w:tr>
          </w:tbl>
          <w:p w14:paraId="231719F5">
            <w:pPr>
              <w:bidi w:val="0"/>
              <w:rPr>
                <w:color w:val="auto"/>
                <w:highlight w:val="none"/>
              </w:rPr>
            </w:pPr>
            <w:r>
              <w:rPr>
                <w:rFonts w:hint="eastAsia"/>
                <w:color w:val="auto"/>
                <w:highlight w:val="none"/>
              </w:rPr>
              <w:t>经计算，本项目风险物质Q值为</w:t>
            </w:r>
            <w:r>
              <w:rPr>
                <w:rFonts w:hint="eastAsia"/>
                <w:color w:val="auto"/>
                <w:highlight w:val="none"/>
                <w:lang w:val="en-US" w:eastAsia="zh-CN"/>
              </w:rPr>
              <w:t>0.0057336</w:t>
            </w:r>
            <w:r>
              <w:rPr>
                <w:rFonts w:hint="eastAsia"/>
                <w:color w:val="auto"/>
                <w:highlight w:val="none"/>
              </w:rPr>
              <w:t>，Q＜1。无需设置风险专项评价。</w:t>
            </w:r>
          </w:p>
          <w:p w14:paraId="484B943C">
            <w:pPr>
              <w:bidi w:val="0"/>
              <w:rPr>
                <w:b/>
                <w:bCs/>
                <w:color w:val="auto"/>
                <w:highlight w:val="none"/>
              </w:rPr>
            </w:pPr>
            <w:r>
              <w:rPr>
                <w:b/>
                <w:bCs/>
                <w:color w:val="auto"/>
                <w:highlight w:val="none"/>
              </w:rPr>
              <w:t>7.2</w:t>
            </w:r>
            <w:r>
              <w:rPr>
                <w:rFonts w:hint="eastAsia"/>
                <w:b/>
                <w:bCs/>
                <w:color w:val="auto"/>
                <w:highlight w:val="none"/>
              </w:rPr>
              <w:t>风险源分布情况及影响途径</w:t>
            </w:r>
          </w:p>
          <w:p w14:paraId="09293F9B">
            <w:pPr>
              <w:bidi w:val="0"/>
              <w:rPr>
                <w:rFonts w:hint="eastAsia"/>
                <w:color w:val="auto"/>
                <w:highlight w:val="none"/>
              </w:rPr>
            </w:pPr>
            <w:r>
              <w:rPr>
                <w:rFonts w:hint="eastAsia"/>
                <w:color w:val="auto"/>
                <w:highlight w:val="none"/>
              </w:rPr>
              <w:t>项目不涉及生产加工，风险主要来自厂内运输及贮存过程。收集、运输风险主要体现在人工转运或交通事故过程造成车辆倾覆、包装破损，继而使泄漏液体散落到环境中，进入水体、土壤，从而对环境造成危害。</w:t>
            </w:r>
          </w:p>
          <w:p w14:paraId="55AED4FC">
            <w:pPr>
              <w:bidi w:val="0"/>
              <w:rPr>
                <w:rFonts w:hint="eastAsia"/>
                <w:color w:val="auto"/>
                <w:highlight w:val="none"/>
              </w:rPr>
            </w:pPr>
            <w:r>
              <w:rPr>
                <w:rFonts w:hint="eastAsia"/>
                <w:color w:val="auto"/>
                <w:highlight w:val="none"/>
              </w:rPr>
              <w:t>贮存风险主要体现在工作人员在装卸过程中导致废矿物油泄漏，使其泄漏至外环境中，从而对环境造成危害，出现风险以泄漏、火灾、爆炸事故为主。</w:t>
            </w:r>
          </w:p>
          <w:p w14:paraId="16829F89">
            <w:pPr>
              <w:bidi w:val="0"/>
              <w:rPr>
                <w:rFonts w:hint="eastAsia"/>
                <w:color w:val="auto"/>
                <w:highlight w:val="none"/>
              </w:rPr>
            </w:pPr>
            <w:r>
              <w:rPr>
                <w:rFonts w:hint="eastAsia"/>
                <w:color w:val="auto"/>
                <w:highlight w:val="none"/>
              </w:rPr>
              <w:t>本项目危险物质、风险源分布情况及风险影响途径见下表。</w:t>
            </w:r>
          </w:p>
          <w:p w14:paraId="6D3CF4AC">
            <w:pPr>
              <w:bidi w:val="0"/>
              <w:rPr>
                <w:rFonts w:hint="eastAsia"/>
                <w:color w:val="auto"/>
                <w:highlight w:val="none"/>
              </w:rPr>
            </w:pPr>
          </w:p>
          <w:p w14:paraId="2C2F072A">
            <w:pPr>
              <w:pStyle w:val="25"/>
              <w:bidi w:val="0"/>
              <w:rPr>
                <w:color w:val="auto"/>
                <w:highlight w:val="none"/>
              </w:rPr>
            </w:pPr>
            <w:r>
              <w:rPr>
                <w:rFonts w:hint="eastAsia"/>
                <w:color w:val="auto"/>
                <w:highlight w:val="none"/>
              </w:rPr>
              <w:t>本项目危险物质、风险源的分布情况及风险影响途径</w:t>
            </w:r>
          </w:p>
          <w:tbl>
            <w:tblPr>
              <w:tblStyle w:val="16"/>
              <w:tblW w:w="4995"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autofit"/>
              <w:tblCellMar>
                <w:top w:w="0" w:type="dxa"/>
                <w:left w:w="108" w:type="dxa"/>
                <w:bottom w:w="0" w:type="dxa"/>
                <w:right w:w="108" w:type="dxa"/>
              </w:tblCellMar>
            </w:tblPr>
            <w:tblGrid>
              <w:gridCol w:w="753"/>
              <w:gridCol w:w="1118"/>
              <w:gridCol w:w="926"/>
              <w:gridCol w:w="861"/>
              <w:gridCol w:w="3171"/>
              <w:gridCol w:w="1494"/>
            </w:tblGrid>
            <w:tr w14:paraId="71998F13">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97" w:hRule="atLeast"/>
                <w:jc w:val="center"/>
              </w:trPr>
              <w:tc>
                <w:tcPr>
                  <w:tcW w:w="452" w:type="pct"/>
                  <w:vAlign w:val="center"/>
                </w:tcPr>
                <w:p w14:paraId="2332992C">
                  <w:pPr>
                    <w:pStyle w:val="27"/>
                    <w:spacing w:line="240" w:lineRule="auto"/>
                    <w:rPr>
                      <w:rFonts w:hint="default"/>
                      <w:color w:val="auto"/>
                      <w:highlight w:val="none"/>
                    </w:rPr>
                  </w:pPr>
                  <w:r>
                    <w:rPr>
                      <w:rFonts w:eastAsia="宋体"/>
                      <w:b/>
                      <w:color w:val="auto"/>
                      <w:sz w:val="21"/>
                      <w:highlight w:val="none"/>
                    </w:rPr>
                    <w:t>风险源</w:t>
                  </w:r>
                </w:p>
              </w:tc>
              <w:tc>
                <w:tcPr>
                  <w:tcW w:w="671" w:type="pct"/>
                  <w:vAlign w:val="center"/>
                </w:tcPr>
                <w:p w14:paraId="672AE853">
                  <w:pPr>
                    <w:pStyle w:val="27"/>
                    <w:spacing w:line="240" w:lineRule="auto"/>
                    <w:rPr>
                      <w:rFonts w:hint="default"/>
                      <w:color w:val="auto"/>
                      <w:highlight w:val="none"/>
                    </w:rPr>
                  </w:pPr>
                  <w:r>
                    <w:rPr>
                      <w:rFonts w:eastAsia="宋体"/>
                      <w:b/>
                      <w:color w:val="auto"/>
                      <w:sz w:val="21"/>
                      <w:highlight w:val="none"/>
                    </w:rPr>
                    <w:t>风险源分布情况</w:t>
                  </w:r>
                </w:p>
              </w:tc>
              <w:tc>
                <w:tcPr>
                  <w:tcW w:w="556" w:type="pct"/>
                  <w:vAlign w:val="center"/>
                </w:tcPr>
                <w:p w14:paraId="741FB2F5">
                  <w:pPr>
                    <w:pStyle w:val="27"/>
                    <w:spacing w:line="240" w:lineRule="auto"/>
                    <w:rPr>
                      <w:rFonts w:hint="default"/>
                      <w:color w:val="auto"/>
                      <w:highlight w:val="none"/>
                    </w:rPr>
                  </w:pPr>
                  <w:r>
                    <w:rPr>
                      <w:rFonts w:eastAsia="宋体"/>
                      <w:b/>
                      <w:color w:val="auto"/>
                      <w:sz w:val="21"/>
                      <w:highlight w:val="none"/>
                    </w:rPr>
                    <w:t>主要危险物质</w:t>
                  </w:r>
                </w:p>
              </w:tc>
              <w:tc>
                <w:tcPr>
                  <w:tcW w:w="517" w:type="pct"/>
                  <w:vAlign w:val="center"/>
                </w:tcPr>
                <w:p w14:paraId="7F21560A">
                  <w:pPr>
                    <w:pStyle w:val="27"/>
                    <w:spacing w:line="240" w:lineRule="auto"/>
                    <w:rPr>
                      <w:rFonts w:hint="default"/>
                      <w:color w:val="auto"/>
                      <w:highlight w:val="none"/>
                    </w:rPr>
                  </w:pPr>
                  <w:r>
                    <w:rPr>
                      <w:rFonts w:eastAsia="宋体"/>
                      <w:b/>
                      <w:color w:val="auto"/>
                      <w:sz w:val="21"/>
                      <w:highlight w:val="none"/>
                    </w:rPr>
                    <w:t>环境风险类型</w:t>
                  </w:r>
                </w:p>
              </w:tc>
              <w:tc>
                <w:tcPr>
                  <w:tcW w:w="1904" w:type="pct"/>
                  <w:vAlign w:val="center"/>
                </w:tcPr>
                <w:p w14:paraId="3CEEB358">
                  <w:pPr>
                    <w:pStyle w:val="27"/>
                    <w:spacing w:line="240" w:lineRule="auto"/>
                    <w:rPr>
                      <w:rFonts w:hint="default"/>
                      <w:color w:val="auto"/>
                      <w:highlight w:val="none"/>
                    </w:rPr>
                  </w:pPr>
                  <w:r>
                    <w:rPr>
                      <w:rFonts w:eastAsia="宋体"/>
                      <w:b/>
                      <w:color w:val="auto"/>
                      <w:sz w:val="21"/>
                      <w:highlight w:val="none"/>
                    </w:rPr>
                    <w:t>风险影响途径</w:t>
                  </w:r>
                </w:p>
              </w:tc>
              <w:tc>
                <w:tcPr>
                  <w:tcW w:w="897" w:type="pct"/>
                  <w:vAlign w:val="center"/>
                </w:tcPr>
                <w:p w14:paraId="2C631E99">
                  <w:pPr>
                    <w:pStyle w:val="27"/>
                    <w:spacing w:line="240" w:lineRule="auto"/>
                    <w:rPr>
                      <w:rFonts w:hint="default"/>
                      <w:color w:val="auto"/>
                      <w:highlight w:val="none"/>
                    </w:rPr>
                  </w:pPr>
                  <w:r>
                    <w:rPr>
                      <w:rFonts w:eastAsia="宋体"/>
                      <w:b/>
                      <w:color w:val="auto"/>
                      <w:sz w:val="21"/>
                      <w:highlight w:val="none"/>
                    </w:rPr>
                    <w:t>可能受到影响的环境目标</w:t>
                  </w:r>
                </w:p>
              </w:tc>
            </w:tr>
            <w:tr w14:paraId="22A96C51">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97" w:hRule="atLeast"/>
                <w:jc w:val="center"/>
              </w:trPr>
              <w:tc>
                <w:tcPr>
                  <w:tcW w:w="452" w:type="pct"/>
                  <w:vAlign w:val="center"/>
                </w:tcPr>
                <w:p w14:paraId="2B12AE49">
                  <w:pPr>
                    <w:pStyle w:val="24"/>
                    <w:spacing w:line="240" w:lineRule="auto"/>
                    <w:rPr>
                      <w:rFonts w:hint="eastAsia" w:eastAsiaTheme="minorEastAsia"/>
                      <w:color w:val="auto"/>
                      <w:highlight w:val="none"/>
                      <w:lang w:eastAsia="zh-CN"/>
                    </w:rPr>
                  </w:pPr>
                  <w:r>
                    <w:rPr>
                      <w:rFonts w:hint="eastAsia"/>
                      <w:color w:val="auto"/>
                      <w:highlight w:val="none"/>
                      <w:lang w:val="en-US" w:eastAsia="zh-CN"/>
                    </w:rPr>
                    <w:t>油类物质</w:t>
                  </w:r>
                </w:p>
              </w:tc>
              <w:tc>
                <w:tcPr>
                  <w:tcW w:w="671" w:type="pct"/>
                  <w:vMerge w:val="restart"/>
                  <w:shd w:val="clear" w:color="auto" w:fill="auto"/>
                  <w:vAlign w:val="center"/>
                </w:tcPr>
                <w:p w14:paraId="06B4ED08">
                  <w:pPr>
                    <w:pStyle w:val="24"/>
                    <w:spacing w:line="240" w:lineRule="auto"/>
                    <w:rPr>
                      <w:rFonts w:hint="eastAsia" w:eastAsiaTheme="minorEastAsia"/>
                      <w:color w:val="auto"/>
                      <w:highlight w:val="none"/>
                      <w:lang w:eastAsia="zh-CN"/>
                    </w:rPr>
                  </w:pPr>
                  <w:r>
                    <w:rPr>
                      <w:rFonts w:hint="eastAsia"/>
                      <w:color w:val="auto"/>
                      <w:highlight w:val="none"/>
                      <w:lang w:eastAsia="zh-CN"/>
                    </w:rPr>
                    <w:t>危险废物贮存点</w:t>
                  </w:r>
                </w:p>
              </w:tc>
              <w:tc>
                <w:tcPr>
                  <w:tcW w:w="556" w:type="pct"/>
                  <w:vAlign w:val="center"/>
                </w:tcPr>
                <w:p w14:paraId="65F5FC75">
                  <w:pPr>
                    <w:pStyle w:val="24"/>
                    <w:spacing w:line="240" w:lineRule="auto"/>
                    <w:rPr>
                      <w:rFonts w:hint="eastAsia" w:eastAsiaTheme="minorEastAsia"/>
                      <w:color w:val="auto"/>
                      <w:highlight w:val="none"/>
                      <w:lang w:eastAsia="zh-CN"/>
                    </w:rPr>
                  </w:pPr>
                  <w:r>
                    <w:rPr>
                      <w:rFonts w:hint="eastAsia"/>
                      <w:color w:val="auto"/>
                      <w:highlight w:val="none"/>
                      <w:lang w:val="en-US" w:eastAsia="zh-CN"/>
                    </w:rPr>
                    <w:t>油类物质</w:t>
                  </w:r>
                </w:p>
              </w:tc>
              <w:tc>
                <w:tcPr>
                  <w:tcW w:w="517" w:type="pct"/>
                  <w:vAlign w:val="center"/>
                </w:tcPr>
                <w:p w14:paraId="28E30952">
                  <w:pPr>
                    <w:pStyle w:val="24"/>
                    <w:spacing w:line="240" w:lineRule="auto"/>
                    <w:rPr>
                      <w:color w:val="auto"/>
                      <w:highlight w:val="none"/>
                    </w:rPr>
                  </w:pPr>
                  <w:r>
                    <w:rPr>
                      <w:rFonts w:hint="eastAsia" w:eastAsia="宋体"/>
                      <w:color w:val="auto"/>
                      <w:highlight w:val="none"/>
                    </w:rPr>
                    <w:t>火灾、泄漏</w:t>
                  </w:r>
                </w:p>
              </w:tc>
              <w:tc>
                <w:tcPr>
                  <w:tcW w:w="1904" w:type="pct"/>
                  <w:vAlign w:val="center"/>
                </w:tcPr>
                <w:p w14:paraId="28E94916">
                  <w:pPr>
                    <w:pStyle w:val="24"/>
                    <w:spacing w:line="240" w:lineRule="auto"/>
                    <w:rPr>
                      <w:color w:val="auto"/>
                      <w:highlight w:val="none"/>
                    </w:rPr>
                  </w:pPr>
                  <w:r>
                    <w:rPr>
                      <w:rFonts w:hint="eastAsia" w:eastAsia="宋体"/>
                      <w:color w:val="auto"/>
                      <w:highlight w:val="none"/>
                    </w:rPr>
                    <w:t>发生火灾后废气直接进入环境空气、发生火灾后消防废水由地表径流或雨水管网进入地表水、垂直入渗进入地下水；发生泄漏后由地表径流或雨水管网进入地表水、垂直入渗进入地下水</w:t>
                  </w:r>
                </w:p>
              </w:tc>
              <w:tc>
                <w:tcPr>
                  <w:tcW w:w="897" w:type="pct"/>
                  <w:vAlign w:val="center"/>
                </w:tcPr>
                <w:p w14:paraId="18A5909C">
                  <w:pPr>
                    <w:pStyle w:val="24"/>
                    <w:spacing w:line="240" w:lineRule="auto"/>
                    <w:rPr>
                      <w:color w:val="auto"/>
                      <w:highlight w:val="none"/>
                    </w:rPr>
                  </w:pPr>
                  <w:r>
                    <w:rPr>
                      <w:rFonts w:hint="eastAsia" w:eastAsia="宋体"/>
                      <w:color w:val="auto"/>
                      <w:highlight w:val="none"/>
                    </w:rPr>
                    <w:t>周边环境空气、地表水、地下水</w:t>
                  </w:r>
                </w:p>
              </w:tc>
            </w:tr>
            <w:tr w14:paraId="10CB73CA">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97" w:hRule="atLeast"/>
                <w:jc w:val="center"/>
              </w:trPr>
              <w:tc>
                <w:tcPr>
                  <w:tcW w:w="452" w:type="pct"/>
                  <w:vAlign w:val="center"/>
                </w:tcPr>
                <w:p w14:paraId="79B8E920">
                  <w:pPr>
                    <w:pStyle w:val="24"/>
                    <w:spacing w:line="240" w:lineRule="auto"/>
                    <w:rPr>
                      <w:rFonts w:hint="eastAsia"/>
                      <w:color w:val="auto"/>
                      <w:highlight w:val="none"/>
                      <w:lang w:val="en-US" w:eastAsia="zh-CN"/>
                    </w:rPr>
                  </w:pPr>
                  <w:r>
                    <w:rPr>
                      <w:rFonts w:hint="eastAsia"/>
                      <w:color w:val="auto"/>
                      <w:highlight w:val="none"/>
                      <w:lang w:val="en-US" w:eastAsia="zh-CN"/>
                    </w:rPr>
                    <w:t>废铅蓄电池</w:t>
                  </w:r>
                </w:p>
              </w:tc>
              <w:tc>
                <w:tcPr>
                  <w:tcW w:w="671" w:type="pct"/>
                  <w:vMerge w:val="continue"/>
                  <w:shd w:val="clear" w:color="auto" w:fill="auto"/>
                  <w:vAlign w:val="center"/>
                </w:tcPr>
                <w:p w14:paraId="1E83E347">
                  <w:pPr>
                    <w:pStyle w:val="24"/>
                    <w:spacing w:line="240" w:lineRule="auto"/>
                    <w:rPr>
                      <w:rFonts w:hint="eastAsia"/>
                      <w:color w:val="auto"/>
                      <w:highlight w:val="none"/>
                      <w:lang w:eastAsia="zh-CN"/>
                    </w:rPr>
                  </w:pPr>
                </w:p>
              </w:tc>
              <w:tc>
                <w:tcPr>
                  <w:tcW w:w="556" w:type="pct"/>
                  <w:vAlign w:val="center"/>
                </w:tcPr>
                <w:p w14:paraId="46FE7162">
                  <w:pPr>
                    <w:pStyle w:val="24"/>
                    <w:spacing w:line="240" w:lineRule="auto"/>
                    <w:rPr>
                      <w:rFonts w:hint="eastAsia"/>
                      <w:color w:val="auto"/>
                      <w:highlight w:val="none"/>
                      <w:lang w:val="en-US" w:eastAsia="zh-CN"/>
                    </w:rPr>
                  </w:pPr>
                  <w:r>
                    <w:rPr>
                      <w:rFonts w:hint="eastAsia" w:ascii="Times New Roman" w:hAnsi="Times New Roman" w:cs="Times New Roman"/>
                      <w:color w:val="auto"/>
                      <w:highlight w:val="none"/>
                      <w:lang w:eastAsia="zh-CN"/>
                    </w:rPr>
                    <w:t>硫酸</w:t>
                  </w:r>
                </w:p>
              </w:tc>
              <w:tc>
                <w:tcPr>
                  <w:tcW w:w="517" w:type="pct"/>
                  <w:vAlign w:val="center"/>
                </w:tcPr>
                <w:p w14:paraId="20E8C616">
                  <w:pPr>
                    <w:pStyle w:val="24"/>
                    <w:spacing w:line="240" w:lineRule="auto"/>
                    <w:rPr>
                      <w:rFonts w:hint="eastAsia" w:eastAsia="宋体"/>
                      <w:color w:val="auto"/>
                      <w:highlight w:val="none"/>
                    </w:rPr>
                  </w:pPr>
                  <w:r>
                    <w:rPr>
                      <w:rFonts w:hint="eastAsia" w:ascii="Times New Roman" w:hAnsi="Times New Roman" w:eastAsia="宋体" w:cs="Times New Roman"/>
                      <w:color w:val="auto"/>
                      <w:sz w:val="21"/>
                      <w:szCs w:val="21"/>
                      <w:highlight w:val="none"/>
                      <w:lang w:val="en-US" w:eastAsia="zh-CN"/>
                    </w:rPr>
                    <w:t>泄漏</w:t>
                  </w:r>
                </w:p>
              </w:tc>
              <w:tc>
                <w:tcPr>
                  <w:tcW w:w="1904" w:type="pct"/>
                  <w:vAlign w:val="center"/>
                </w:tcPr>
                <w:p w14:paraId="7416D6C9">
                  <w:pPr>
                    <w:pStyle w:val="24"/>
                    <w:spacing w:line="240" w:lineRule="auto"/>
                    <w:rPr>
                      <w:rFonts w:hint="eastAsia" w:eastAsia="宋体"/>
                      <w:color w:val="auto"/>
                      <w:highlight w:val="none"/>
                    </w:rPr>
                  </w:pPr>
                  <w:r>
                    <w:rPr>
                      <w:rFonts w:hint="eastAsia" w:ascii="Times New Roman" w:hAnsi="Times New Roman" w:eastAsia="宋体" w:cs="Times New Roman"/>
                      <w:color w:val="auto"/>
                      <w:sz w:val="21"/>
                      <w:szCs w:val="21"/>
                      <w:highlight w:val="none"/>
                      <w:lang w:val="en-US" w:eastAsia="zh-CN"/>
                    </w:rPr>
                    <w:t>发生泄漏后由地表径流或雨水管网进入地表水、垂直入渗进入地下水</w:t>
                  </w:r>
                </w:p>
              </w:tc>
              <w:tc>
                <w:tcPr>
                  <w:tcW w:w="897" w:type="pct"/>
                  <w:vAlign w:val="center"/>
                </w:tcPr>
                <w:p w14:paraId="771502A6">
                  <w:pPr>
                    <w:pStyle w:val="24"/>
                    <w:spacing w:line="240" w:lineRule="auto"/>
                    <w:rPr>
                      <w:rFonts w:hint="eastAsia" w:eastAsia="宋体"/>
                      <w:color w:val="auto"/>
                      <w:highlight w:val="none"/>
                      <w:lang w:eastAsia="zh-CN"/>
                    </w:rPr>
                  </w:pPr>
                  <w:r>
                    <w:rPr>
                      <w:rFonts w:hint="eastAsia" w:eastAsia="宋体"/>
                      <w:color w:val="auto"/>
                      <w:highlight w:val="none"/>
                      <w:lang w:eastAsia="zh-CN"/>
                    </w:rPr>
                    <w:t>地表水、地下水</w:t>
                  </w:r>
                </w:p>
              </w:tc>
            </w:tr>
          </w:tbl>
          <w:p w14:paraId="2F34AE2E">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7.3环境风险防范措施</w:t>
            </w:r>
          </w:p>
          <w:p w14:paraId="6B909C69">
            <w:pPr>
              <w:keepNext w:val="0"/>
              <w:keepLines w:val="0"/>
              <w:pageBreakBefore w:val="0"/>
              <w:widowControl w:val="0"/>
              <w:kinsoku/>
              <w:wordWrap/>
              <w:overflowPunct/>
              <w:topLinePunct w:val="0"/>
              <w:autoSpaceDE w:val="0"/>
              <w:autoSpaceDN w:val="0"/>
              <w:bidi w:val="0"/>
              <w:ind w:firstLineChars="200"/>
              <w:jc w:val="both"/>
              <w:textAlignment w:val="auto"/>
              <w:rPr>
                <w:rFonts w:hint="eastAsia"/>
                <w:color w:val="auto"/>
                <w:highlight w:val="none"/>
              </w:rPr>
            </w:pPr>
            <w:r>
              <w:rPr>
                <w:rFonts w:hint="eastAsia"/>
                <w:color w:val="auto"/>
                <w:highlight w:val="none"/>
              </w:rPr>
              <w:t>本项目作为危险废物仓储项目，虽不涉及生产加工过程，事故风险较小，但危险废物在贮存过程中可能存在泄漏，故企业也应加强安全管理，具体要求如下：</w:t>
            </w:r>
          </w:p>
          <w:p w14:paraId="07D60343">
            <w:pPr>
              <w:keepNext w:val="0"/>
              <w:keepLines w:val="0"/>
              <w:pageBreakBefore w:val="0"/>
              <w:widowControl w:val="0"/>
              <w:kinsoku/>
              <w:wordWrap/>
              <w:overflowPunct/>
              <w:topLinePunct w:val="0"/>
              <w:autoSpaceDE w:val="0"/>
              <w:autoSpaceDN w:val="0"/>
              <w:bidi w:val="0"/>
              <w:ind w:firstLineChars="200"/>
              <w:jc w:val="both"/>
              <w:textAlignment w:val="auto"/>
              <w:rPr>
                <w:rFonts w:hint="eastAsia"/>
                <w:color w:val="auto"/>
                <w:highlight w:val="none"/>
              </w:rPr>
            </w:pPr>
            <w:r>
              <w:rPr>
                <w:rFonts w:hint="eastAsia"/>
                <w:color w:val="auto"/>
                <w:highlight w:val="none"/>
              </w:rPr>
              <w:t>①必须将“安全第一，预防为主”作为公司经营的基本原则；</w:t>
            </w:r>
          </w:p>
          <w:p w14:paraId="65DB39A7">
            <w:pPr>
              <w:keepNext w:val="0"/>
              <w:keepLines w:val="0"/>
              <w:pageBreakBefore w:val="0"/>
              <w:widowControl w:val="0"/>
              <w:kinsoku/>
              <w:wordWrap/>
              <w:overflowPunct/>
              <w:topLinePunct w:val="0"/>
              <w:autoSpaceDE w:val="0"/>
              <w:autoSpaceDN w:val="0"/>
              <w:bidi w:val="0"/>
              <w:ind w:firstLineChars="200"/>
              <w:jc w:val="both"/>
              <w:textAlignment w:val="auto"/>
              <w:rPr>
                <w:rFonts w:hint="eastAsia"/>
                <w:color w:val="auto"/>
                <w:highlight w:val="none"/>
              </w:rPr>
            </w:pPr>
            <w:r>
              <w:rPr>
                <w:rFonts w:hint="eastAsia"/>
                <w:color w:val="auto"/>
                <w:highlight w:val="none"/>
              </w:rPr>
              <w:t>②必须进行广泛系统的培训，使所有操作人员熟悉自己的岗位，树立严谨规范的操作作风，并且在危险废物发生泄漏时，能及时、独立、正确地实施相关应急措施；</w:t>
            </w:r>
          </w:p>
          <w:p w14:paraId="5BC97A4E">
            <w:pPr>
              <w:keepNext w:val="0"/>
              <w:keepLines w:val="0"/>
              <w:pageBreakBefore w:val="0"/>
              <w:widowControl w:val="0"/>
              <w:kinsoku/>
              <w:wordWrap/>
              <w:overflowPunct/>
              <w:topLinePunct w:val="0"/>
              <w:autoSpaceDE w:val="0"/>
              <w:autoSpaceDN w:val="0"/>
              <w:bidi w:val="0"/>
              <w:ind w:firstLineChars="200"/>
              <w:jc w:val="both"/>
              <w:textAlignment w:val="auto"/>
              <w:rPr>
                <w:rFonts w:hint="eastAsia"/>
                <w:color w:val="auto"/>
                <w:highlight w:val="none"/>
              </w:rPr>
            </w:pPr>
            <w:r>
              <w:rPr>
                <w:rFonts w:hint="eastAsia"/>
                <w:color w:val="auto"/>
                <w:highlight w:val="none"/>
              </w:rPr>
              <w:t>③建立完备的应急组织体系。建立风险应急领导小组，小组分为厂内和厂外两部分。厂内部分落实厂内应急防范措施，厂外部分负责上报当地政府、安全、消防、环保、监测站等相关部门；</w:t>
            </w:r>
          </w:p>
          <w:p w14:paraId="30E1FE72">
            <w:pPr>
              <w:keepNext w:val="0"/>
              <w:keepLines w:val="0"/>
              <w:pageBreakBefore w:val="0"/>
              <w:widowControl w:val="0"/>
              <w:kinsoku/>
              <w:wordWrap/>
              <w:overflowPunct/>
              <w:topLinePunct w:val="0"/>
              <w:autoSpaceDE w:val="0"/>
              <w:autoSpaceDN w:val="0"/>
              <w:bidi w:val="0"/>
              <w:ind w:firstLineChars="200"/>
              <w:jc w:val="both"/>
              <w:textAlignment w:val="auto"/>
              <w:rPr>
                <w:rFonts w:hint="eastAsia"/>
                <w:color w:val="auto"/>
                <w:highlight w:val="none"/>
              </w:rPr>
            </w:pPr>
            <w:r>
              <w:rPr>
                <w:rFonts w:hint="eastAsia"/>
                <w:color w:val="auto"/>
                <w:highlight w:val="none"/>
              </w:rPr>
              <w:t>④按照《劳动法》有关规定，为职工提供劳动安全条件和劳动防护用品。本项目厂区配备防毒面具、防腐手套、工作服等个人防护用品。为使环境风险减少到最低限度，必须加强劳动、安全、卫生和环境的管理。从人、物、环境和管理四个方面寻找影响事故的原因，制定完备、有效的安全防范措施，尽可能降低本项目环境风险事故发生的概率，减少事故的损失和危害。</w:t>
            </w:r>
          </w:p>
          <w:p w14:paraId="130AF095">
            <w:pPr>
              <w:pStyle w:val="13"/>
              <w:keepNext w:val="0"/>
              <w:keepLines w:val="0"/>
              <w:pageBreakBefore w:val="0"/>
              <w:widowControl w:val="0"/>
              <w:kinsoku/>
              <w:wordWrap/>
              <w:overflowPunct/>
              <w:topLinePunct w:val="0"/>
              <w:autoSpaceDE w:val="0"/>
              <w:autoSpaceDN w:val="0"/>
              <w:bidi w:val="0"/>
              <w:spacing w:line="360" w:lineRule="auto"/>
              <w:ind w:firstLine="482" w:firstLineChars="200"/>
              <w:jc w:val="both"/>
              <w:textAlignment w:val="auto"/>
              <w:rPr>
                <w:rFonts w:ascii="Times New Roman" w:hAnsi="Times New Roman" w:eastAsia="Times New Roman" w:cs="Times New Roman"/>
                <w:b/>
                <w:bCs/>
                <w:color w:val="auto"/>
                <w:sz w:val="24"/>
                <w:szCs w:val="24"/>
                <w:highlight w:val="none"/>
              </w:rPr>
            </w:pPr>
            <w:r>
              <w:rPr>
                <w:rFonts w:hint="eastAsia" w:eastAsia="宋体" w:cs="Times New Roman"/>
                <w:b/>
                <w:bCs/>
                <w:color w:val="auto"/>
                <w:sz w:val="24"/>
                <w:szCs w:val="24"/>
                <w:highlight w:val="none"/>
                <w:lang w:val="en-US" w:eastAsia="zh-CN"/>
              </w:rPr>
              <w:t>1、</w:t>
            </w:r>
            <w:r>
              <w:rPr>
                <w:rFonts w:hint="eastAsia" w:ascii="Times New Roman" w:hAnsi="Times New Roman" w:eastAsia="Times New Roman" w:cs="Times New Roman"/>
                <w:b/>
                <w:bCs/>
                <w:color w:val="auto"/>
                <w:sz w:val="24"/>
                <w:szCs w:val="24"/>
                <w:highlight w:val="none"/>
              </w:rPr>
              <w:t>项目选址、总图布置和建筑风险防范措施</w:t>
            </w:r>
          </w:p>
          <w:p w14:paraId="25BC3DC0">
            <w:pPr>
              <w:pStyle w:val="13"/>
              <w:keepNext w:val="0"/>
              <w:keepLines w:val="0"/>
              <w:pageBreakBefore w:val="0"/>
              <w:widowControl w:val="0"/>
              <w:numPr>
                <w:ilvl w:val="0"/>
                <w:numId w:val="0"/>
              </w:numPr>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kern w:val="2"/>
                <w:sz w:val="24"/>
                <w:szCs w:val="24"/>
                <w:highlight w:val="none"/>
                <w:lang w:val="en-US" w:eastAsia="zh-CN" w:bidi="ar-SA"/>
              </w:rPr>
              <w:t>①</w:t>
            </w:r>
            <w:r>
              <w:rPr>
                <w:rFonts w:hint="eastAsia" w:ascii="Times New Roman" w:hAnsi="Times New Roman" w:eastAsia="宋体" w:cs="Times New Roman"/>
                <w:color w:val="auto"/>
                <w:sz w:val="24"/>
                <w:szCs w:val="24"/>
                <w:highlight w:val="none"/>
              </w:rPr>
              <w:t>选址：本项目厂址位于北票发电有限责任公司，项目不在生态保护红线区域、永久基本农田和其他需要特别保护的区域。</w:t>
            </w:r>
          </w:p>
          <w:p w14:paraId="4199BC60">
            <w:pPr>
              <w:pStyle w:val="13"/>
              <w:keepNext w:val="0"/>
              <w:keepLines w:val="0"/>
              <w:pageBreakBefore w:val="0"/>
              <w:widowControl w:val="0"/>
              <w:numPr>
                <w:ilvl w:val="0"/>
                <w:numId w:val="0"/>
              </w:numPr>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kern w:val="2"/>
                <w:sz w:val="24"/>
                <w:szCs w:val="24"/>
                <w:highlight w:val="none"/>
                <w:lang w:val="en-US" w:eastAsia="zh-CN" w:bidi="ar-SA"/>
              </w:rPr>
              <w:t>②</w:t>
            </w:r>
            <w:r>
              <w:rPr>
                <w:rFonts w:hint="eastAsia" w:ascii="Times New Roman" w:hAnsi="Times New Roman" w:eastAsia="宋体" w:cs="Times New Roman"/>
                <w:color w:val="auto"/>
                <w:sz w:val="24"/>
                <w:szCs w:val="24"/>
                <w:highlight w:val="none"/>
              </w:rPr>
              <w:t>平面布置：在厂区总平面布置中配套建设应急救援设施、救援通道等防护设施。</w:t>
            </w:r>
          </w:p>
          <w:p w14:paraId="41DC8F9C">
            <w:pPr>
              <w:pStyle w:val="13"/>
              <w:keepNext w:val="0"/>
              <w:keepLines w:val="0"/>
              <w:pageBreakBefore w:val="0"/>
              <w:widowControl w:val="0"/>
              <w:numPr>
                <w:ilvl w:val="0"/>
                <w:numId w:val="0"/>
              </w:numPr>
              <w:kinsoku/>
              <w:wordWrap/>
              <w:overflowPunct/>
              <w:topLinePunct w:val="0"/>
              <w:autoSpaceDE w:val="0"/>
              <w:autoSpaceDN w:val="0"/>
              <w:bidi w:val="0"/>
              <w:spacing w:line="360" w:lineRule="auto"/>
              <w:ind w:firstLine="480" w:firstLineChars="200"/>
              <w:jc w:val="both"/>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kern w:val="2"/>
                <w:sz w:val="24"/>
                <w:szCs w:val="24"/>
                <w:highlight w:val="none"/>
                <w:lang w:val="en-US" w:eastAsia="zh-CN" w:bidi="ar-SA"/>
              </w:rPr>
              <w:t>③</w:t>
            </w:r>
            <w:r>
              <w:rPr>
                <w:rFonts w:hint="eastAsia" w:ascii="Times New Roman" w:hAnsi="Times New Roman" w:eastAsia="宋体" w:cs="Times New Roman"/>
                <w:color w:val="auto"/>
                <w:sz w:val="24"/>
                <w:szCs w:val="24"/>
                <w:highlight w:val="none"/>
              </w:rPr>
              <w:t>建筑安全防范措施：凡禁火区均设置明显标志牌；易燃易爆物料均储存在阴凉、通风处，远离火源，避免与强氧化剂接触；安全出口及安全疏散距离应符合《建筑设计防火规范》（GB50016-2014）和《石油化工企业设计防火规范》（GB50160-2018）的要求。</w:t>
            </w:r>
          </w:p>
          <w:p w14:paraId="457E1A41">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b/>
                <w:bCs/>
                <w:color w:val="auto"/>
                <w:sz w:val="24"/>
                <w:szCs w:val="24"/>
                <w:highlight w:val="none"/>
              </w:rPr>
              <w:t>2</w:t>
            </w:r>
            <w:r>
              <w:rPr>
                <w:rFonts w:hint="eastAsia" w:eastAsia="宋体" w:cs="Times New Roman"/>
                <w:b/>
                <w:bCs/>
                <w:color w:val="auto"/>
                <w:sz w:val="24"/>
                <w:szCs w:val="24"/>
                <w:highlight w:val="none"/>
                <w:lang w:eastAsia="zh-CN"/>
              </w:rPr>
              <w:t>、</w:t>
            </w:r>
            <w:r>
              <w:rPr>
                <w:rFonts w:hint="eastAsia" w:ascii="Times New Roman" w:hAnsi="Times New Roman" w:eastAsia="Times New Roman" w:cs="Times New Roman"/>
                <w:b/>
                <w:bCs/>
                <w:color w:val="auto"/>
                <w:sz w:val="24"/>
                <w:szCs w:val="24"/>
                <w:highlight w:val="none"/>
              </w:rPr>
              <w:t>危险废物</w:t>
            </w:r>
            <w:r>
              <w:rPr>
                <w:rFonts w:hint="eastAsia" w:eastAsia="宋体" w:cs="Times New Roman"/>
                <w:b/>
                <w:bCs/>
                <w:color w:val="auto"/>
                <w:sz w:val="24"/>
                <w:szCs w:val="24"/>
                <w:highlight w:val="none"/>
                <w:lang w:eastAsia="zh-CN"/>
              </w:rPr>
              <w:t>运输</w:t>
            </w:r>
            <w:r>
              <w:rPr>
                <w:rFonts w:hint="eastAsia" w:ascii="Times New Roman" w:hAnsi="Times New Roman" w:eastAsia="Times New Roman" w:cs="Times New Roman"/>
                <w:b/>
                <w:bCs/>
                <w:color w:val="auto"/>
                <w:sz w:val="24"/>
                <w:szCs w:val="24"/>
                <w:highlight w:val="none"/>
              </w:rPr>
              <w:t>风险防范措施</w:t>
            </w:r>
          </w:p>
          <w:p w14:paraId="3AB283AB">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由于危险废物的运输较其他物品的运输有更大的危险性，因此在运输过程中应小心谨慎，确保安全。危险废物运输过程中主要要求如下：</w:t>
            </w:r>
          </w:p>
          <w:p w14:paraId="1A6EBDAE">
            <w:pPr>
              <w:pStyle w:val="13"/>
              <w:keepNext w:val="0"/>
              <w:keepLines w:val="0"/>
              <w:pageBreakBefore w:val="0"/>
              <w:widowControl w:val="0"/>
              <w:numPr>
                <w:ilvl w:val="0"/>
                <w:numId w:val="0"/>
              </w:numPr>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kern w:val="2"/>
                <w:sz w:val="24"/>
                <w:szCs w:val="24"/>
                <w:highlight w:val="none"/>
                <w:lang w:val="en-US" w:eastAsia="zh-CN" w:bidi="ar-SA"/>
              </w:rPr>
              <w:t>①</w:t>
            </w:r>
            <w:r>
              <w:rPr>
                <w:rFonts w:hint="eastAsia" w:ascii="Times New Roman" w:hAnsi="Times New Roman" w:eastAsia="Times New Roman" w:cs="Times New Roman"/>
                <w:color w:val="auto"/>
                <w:sz w:val="24"/>
                <w:szCs w:val="24"/>
                <w:highlight w:val="none"/>
              </w:rPr>
              <w:t>运输中对危险废物的运输要求安全可靠，严格执行危险废物货物运输管理规定进行危险废物的运输，减少运输过程中的二次污染和可能造成的环境风险。</w:t>
            </w:r>
          </w:p>
          <w:p w14:paraId="4A3D089C">
            <w:pPr>
              <w:pStyle w:val="13"/>
              <w:keepNext w:val="0"/>
              <w:keepLines w:val="0"/>
              <w:pageBreakBefore w:val="0"/>
              <w:widowControl w:val="0"/>
              <w:numPr>
                <w:ilvl w:val="0"/>
                <w:numId w:val="0"/>
              </w:numPr>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kern w:val="2"/>
                <w:sz w:val="24"/>
                <w:szCs w:val="24"/>
                <w:highlight w:val="none"/>
                <w:lang w:val="en-US" w:eastAsia="zh-CN" w:bidi="ar-SA"/>
              </w:rPr>
              <w:t>②</w:t>
            </w:r>
            <w:r>
              <w:rPr>
                <w:rFonts w:hint="eastAsia" w:ascii="Times New Roman" w:hAnsi="Times New Roman" w:eastAsia="Times New Roman" w:cs="Times New Roman"/>
                <w:color w:val="auto"/>
                <w:sz w:val="24"/>
                <w:szCs w:val="24"/>
                <w:highlight w:val="none"/>
              </w:rPr>
              <w:t>危险废物运输单位应制定详细的运输方案及路线，并制定事故应急预案，配备事故应急及个人防护设备，以保证在转运过程中发生事故时能有效地减少以防止对环境的污染。</w:t>
            </w:r>
          </w:p>
          <w:p w14:paraId="59A649B9">
            <w:pPr>
              <w:pStyle w:val="13"/>
              <w:keepNext w:val="0"/>
              <w:keepLines w:val="0"/>
              <w:pageBreakBefore w:val="0"/>
              <w:widowControl w:val="0"/>
              <w:numPr>
                <w:ilvl w:val="0"/>
                <w:numId w:val="0"/>
              </w:numPr>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kern w:val="2"/>
                <w:sz w:val="24"/>
                <w:szCs w:val="24"/>
                <w:highlight w:val="none"/>
                <w:lang w:val="en-US" w:eastAsia="zh-CN" w:bidi="ar-SA"/>
              </w:rPr>
              <w:t>③</w:t>
            </w:r>
            <w:r>
              <w:rPr>
                <w:rFonts w:hint="eastAsia" w:ascii="Times New Roman" w:hAnsi="Times New Roman" w:eastAsia="Times New Roman" w:cs="Times New Roman"/>
                <w:color w:val="auto"/>
                <w:sz w:val="24"/>
                <w:szCs w:val="24"/>
                <w:highlight w:val="none"/>
              </w:rPr>
              <w:t>危险废物运输时应采取有效防漏、防腐蚀的包装措施，不得将危险废物破碎、粉碎，以防止危险废物中有害成分的泄漏污染。</w:t>
            </w:r>
          </w:p>
          <w:p w14:paraId="5CF848BF">
            <w:pPr>
              <w:pStyle w:val="13"/>
              <w:keepNext w:val="0"/>
              <w:keepLines w:val="0"/>
              <w:pageBreakBefore w:val="0"/>
              <w:widowControl w:val="0"/>
              <w:numPr>
                <w:ilvl w:val="0"/>
                <w:numId w:val="0"/>
              </w:numPr>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kern w:val="2"/>
                <w:sz w:val="24"/>
                <w:szCs w:val="24"/>
                <w:highlight w:val="none"/>
                <w:lang w:val="en-US" w:eastAsia="zh-CN" w:bidi="ar-SA"/>
              </w:rPr>
              <w:t>④</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内严禁吸烟和使用明火。装卸、搬运危险废物时应按照规定进行，做到轻装轻卸，严禁摔、碰、撞击、倾斜和滚动</w:t>
            </w:r>
            <w:r>
              <w:rPr>
                <w:rFonts w:hint="eastAsia" w:ascii="Times New Roman" w:hAnsi="Times New Roman" w:eastAsia="宋体" w:cs="Times New Roman"/>
                <w:color w:val="auto"/>
                <w:sz w:val="24"/>
                <w:szCs w:val="24"/>
                <w:highlight w:val="none"/>
                <w:lang w:eastAsia="zh-CN"/>
              </w:rPr>
              <w:t>。</w:t>
            </w:r>
          </w:p>
          <w:p w14:paraId="64FDC191">
            <w:pPr>
              <w:pStyle w:val="13"/>
              <w:keepNext w:val="0"/>
              <w:keepLines w:val="0"/>
              <w:pageBreakBefore w:val="0"/>
              <w:widowControl w:val="0"/>
              <w:numPr>
                <w:ilvl w:val="0"/>
                <w:numId w:val="0"/>
              </w:numPr>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kern w:val="2"/>
                <w:sz w:val="24"/>
                <w:szCs w:val="24"/>
                <w:highlight w:val="none"/>
                <w:lang w:val="en-US" w:eastAsia="zh-CN" w:bidi="ar-SA"/>
              </w:rPr>
              <w:t>⑤</w:t>
            </w:r>
            <w:r>
              <w:rPr>
                <w:rFonts w:hint="eastAsia" w:ascii="Times New Roman" w:hAnsi="Times New Roman" w:eastAsia="Times New Roman" w:cs="Times New Roman"/>
                <w:color w:val="auto"/>
                <w:sz w:val="24"/>
                <w:szCs w:val="24"/>
                <w:highlight w:val="none"/>
              </w:rPr>
              <w:t>各危险废物分区存放，不得混合存放；</w:t>
            </w:r>
          </w:p>
          <w:p w14:paraId="19642D0D">
            <w:pPr>
              <w:pStyle w:val="13"/>
              <w:keepNext w:val="0"/>
              <w:keepLines w:val="0"/>
              <w:pageBreakBefore w:val="0"/>
              <w:widowControl w:val="0"/>
              <w:numPr>
                <w:ilvl w:val="0"/>
                <w:numId w:val="0"/>
              </w:numPr>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kern w:val="2"/>
                <w:sz w:val="24"/>
                <w:szCs w:val="24"/>
                <w:highlight w:val="none"/>
                <w:lang w:val="en-US" w:eastAsia="zh-CN" w:bidi="ar-SA"/>
              </w:rPr>
              <w:t>⑥</w:t>
            </w:r>
            <w:r>
              <w:rPr>
                <w:rFonts w:hint="eastAsia" w:ascii="Times New Roman" w:hAnsi="Times New Roman" w:eastAsia="Times New Roman" w:cs="Times New Roman"/>
                <w:color w:val="auto"/>
                <w:sz w:val="24"/>
                <w:szCs w:val="24"/>
                <w:highlight w:val="none"/>
              </w:rPr>
              <w:t>危险废物的运输包装必须定期检查，如出现破损，应及时更换。</w:t>
            </w:r>
          </w:p>
          <w:p w14:paraId="531439D8">
            <w:pPr>
              <w:pStyle w:val="13"/>
              <w:keepNext w:val="0"/>
              <w:keepLines w:val="0"/>
              <w:pageBreakBefore w:val="0"/>
              <w:widowControl w:val="0"/>
              <w:kinsoku/>
              <w:wordWrap/>
              <w:overflowPunct/>
              <w:topLinePunct w:val="0"/>
              <w:autoSpaceDE w:val="0"/>
              <w:autoSpaceDN w:val="0"/>
              <w:bidi w:val="0"/>
              <w:spacing w:line="360" w:lineRule="auto"/>
              <w:ind w:firstLine="482" w:firstLineChars="200"/>
              <w:jc w:val="both"/>
              <w:textAlignment w:val="auto"/>
              <w:rPr>
                <w:rFonts w:ascii="Times New Roman" w:hAnsi="Times New Roman" w:eastAsia="Times New Roman" w:cs="Times New Roman"/>
                <w:b/>
                <w:bCs/>
                <w:color w:val="auto"/>
                <w:sz w:val="24"/>
                <w:szCs w:val="24"/>
                <w:highlight w:val="none"/>
              </w:rPr>
            </w:pPr>
            <w:r>
              <w:rPr>
                <w:rFonts w:hint="eastAsia" w:eastAsia="宋体" w:cs="Times New Roman"/>
                <w:b/>
                <w:bCs/>
                <w:color w:val="auto"/>
                <w:sz w:val="24"/>
                <w:szCs w:val="24"/>
                <w:highlight w:val="none"/>
                <w:lang w:val="en-US" w:eastAsia="zh-CN"/>
              </w:rPr>
              <w:t>3、</w:t>
            </w:r>
            <w:r>
              <w:rPr>
                <w:rFonts w:hint="eastAsia" w:ascii="Times New Roman" w:hAnsi="Times New Roman" w:eastAsia="Times New Roman" w:cs="Times New Roman"/>
                <w:b/>
                <w:bCs/>
                <w:color w:val="auto"/>
                <w:sz w:val="24"/>
                <w:szCs w:val="24"/>
                <w:highlight w:val="none"/>
              </w:rPr>
              <w:t>危险废物贮存过程风险防范</w:t>
            </w:r>
          </w:p>
          <w:p w14:paraId="49FBEF5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宋体"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1）应急措施</w:t>
            </w:r>
          </w:p>
          <w:p w14:paraId="61195DE1">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宋体" w:cs="Times New Roman"/>
                <w:color w:val="auto"/>
                <w:sz w:val="24"/>
                <w:szCs w:val="24"/>
                <w:highlight w:val="none"/>
                <w:lang w:eastAsia="zh-CN"/>
              </w:rPr>
              <w:t>本项目危险废物贮存点</w:t>
            </w:r>
            <w:r>
              <w:rPr>
                <w:rFonts w:hint="eastAsia" w:ascii="Times New Roman" w:hAnsi="Times New Roman" w:eastAsia="Times New Roman" w:cs="Times New Roman"/>
                <w:color w:val="auto"/>
                <w:sz w:val="24"/>
                <w:szCs w:val="24"/>
                <w:highlight w:val="none"/>
              </w:rPr>
              <w:t>设置</w:t>
            </w:r>
            <w:r>
              <w:rPr>
                <w:rFonts w:ascii="Times New Roman" w:hAnsi="Times New Roman" w:eastAsia="Times New Roman" w:cs="Times New Roman"/>
                <w:color w:val="auto"/>
                <w:sz w:val="24"/>
                <w:szCs w:val="24"/>
                <w:highlight w:val="none"/>
              </w:rPr>
              <w:t>导流</w:t>
            </w:r>
            <w:r>
              <w:rPr>
                <w:rFonts w:hint="eastAsia" w:ascii="Times New Roman" w:hAnsi="Times New Roman" w:eastAsia="Times New Roman" w:cs="Times New Roman"/>
                <w:color w:val="auto"/>
                <w:sz w:val="24"/>
                <w:szCs w:val="24"/>
                <w:highlight w:val="none"/>
                <w:lang w:val="en-US" w:eastAsia="zh-CN"/>
              </w:rPr>
              <w:t>沟</w:t>
            </w:r>
            <w:r>
              <w:rPr>
                <w:rFonts w:ascii="Times New Roman" w:hAnsi="Times New Roman" w:eastAsia="Times New Roman" w:cs="Times New Roman"/>
                <w:color w:val="auto"/>
                <w:sz w:val="24"/>
                <w:szCs w:val="24"/>
                <w:highlight w:val="none"/>
              </w:rPr>
              <w:t>及</w:t>
            </w:r>
            <w:r>
              <w:rPr>
                <w:rFonts w:hint="eastAsia" w:ascii="Times New Roman" w:hAnsi="Times New Roman" w:eastAsia="Times New Roman" w:cs="Times New Roman"/>
                <w:color w:val="auto"/>
                <w:sz w:val="24"/>
                <w:szCs w:val="24"/>
                <w:highlight w:val="none"/>
              </w:rPr>
              <w:t>集液池</w:t>
            </w:r>
            <w:r>
              <w:rPr>
                <w:rFonts w:ascii="Times New Roman" w:hAnsi="Times New Roman" w:eastAsia="Times New Roman" w:cs="Times New Roman"/>
                <w:color w:val="auto"/>
                <w:sz w:val="24"/>
                <w:szCs w:val="24"/>
                <w:highlight w:val="none"/>
              </w:rPr>
              <w:t>，</w:t>
            </w:r>
            <w:r>
              <w:rPr>
                <w:rFonts w:hint="eastAsia" w:ascii="Times New Roman" w:hAnsi="Times New Roman" w:eastAsia="Times New Roman" w:cs="Times New Roman"/>
                <w:color w:val="auto"/>
                <w:sz w:val="24"/>
                <w:szCs w:val="24"/>
                <w:highlight w:val="none"/>
              </w:rPr>
              <w:t>参照《危险废物贮存污染控制标准》（GB 18597-2023）中“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本项目最大液态容器容积为200L废</w:t>
            </w:r>
            <w:r>
              <w:rPr>
                <w:rFonts w:hint="eastAsia" w:eastAsia="宋体" w:cs="Times New Roman"/>
                <w:color w:val="auto"/>
                <w:sz w:val="24"/>
                <w:szCs w:val="24"/>
                <w:highlight w:val="none"/>
                <w:lang w:eastAsia="zh-CN"/>
              </w:rPr>
              <w:t>油</w:t>
            </w:r>
            <w:r>
              <w:rPr>
                <w:rFonts w:hint="eastAsia" w:ascii="Times New Roman" w:hAnsi="Times New Roman" w:eastAsia="Times New Roman" w:cs="Times New Roman"/>
                <w:color w:val="auto"/>
                <w:sz w:val="24"/>
                <w:szCs w:val="24"/>
                <w:highlight w:val="none"/>
              </w:rPr>
              <w:t>桶，</w:t>
            </w:r>
            <w:r>
              <w:rPr>
                <w:rFonts w:hint="eastAsia" w:ascii="Times New Roman" w:hAnsi="Times New Roman" w:eastAsia="宋体" w:cs="Times New Roman"/>
                <w:color w:val="auto"/>
                <w:sz w:val="24"/>
                <w:szCs w:val="24"/>
                <w:highlight w:val="none"/>
                <w:lang w:val="en-US" w:eastAsia="zh-CN"/>
              </w:rPr>
              <w:t>即</w:t>
            </w:r>
            <w:r>
              <w:rPr>
                <w:rFonts w:hint="eastAsia" w:ascii="Times New Roman" w:hAnsi="Times New Roman" w:eastAsia="Times New Roman" w:cs="Times New Roman"/>
                <w:color w:val="auto"/>
                <w:sz w:val="24"/>
                <w:szCs w:val="24"/>
                <w:highlight w:val="none"/>
              </w:rPr>
              <w:t>容积为0.2m</w:t>
            </w:r>
            <w:r>
              <w:rPr>
                <w:rFonts w:hint="eastAsia" w:ascii="Times New Roman" w:hAnsi="Times New Roman" w:eastAsia="Times New Roman" w:cs="Times New Roman"/>
                <w:color w:val="auto"/>
                <w:sz w:val="24"/>
                <w:szCs w:val="24"/>
                <w:highlight w:val="none"/>
                <w:vertAlign w:val="superscript"/>
              </w:rPr>
              <w:t>3</w:t>
            </w:r>
            <w:r>
              <w:rPr>
                <w:rFonts w:hint="eastAsia" w:ascii="Times New Roman" w:hAnsi="Times New Roman" w:eastAsia="Times New Roman" w:cs="Times New Roman"/>
                <w:color w:val="auto"/>
                <w:sz w:val="24"/>
                <w:szCs w:val="24"/>
                <w:highlight w:val="none"/>
              </w:rPr>
              <w:t>，液态废物</w:t>
            </w:r>
            <w:r>
              <w:rPr>
                <w:rFonts w:hint="eastAsia" w:eastAsia="宋体" w:cs="Times New Roman"/>
                <w:color w:val="auto"/>
                <w:sz w:val="24"/>
                <w:szCs w:val="24"/>
                <w:highlight w:val="none"/>
                <w:lang w:eastAsia="zh-CN"/>
              </w:rPr>
              <w:t>最大贮存量</w:t>
            </w:r>
            <w:r>
              <w:rPr>
                <w:rFonts w:hint="eastAsia" w:ascii="Times New Roman" w:hAnsi="Times New Roman" w:eastAsia="宋体" w:cs="Times New Roman"/>
                <w:color w:val="auto"/>
                <w:sz w:val="24"/>
                <w:szCs w:val="24"/>
                <w:highlight w:val="none"/>
                <w:lang w:eastAsia="zh-CN"/>
              </w:rPr>
              <w:t>为</w:t>
            </w:r>
            <w:r>
              <w:rPr>
                <w:rFonts w:hint="eastAsia"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.38</w:t>
            </w:r>
            <w:r>
              <w:rPr>
                <w:rFonts w:hint="eastAsia" w:ascii="Times New Roman" w:hAnsi="Times New Roman" w:eastAsia="宋体" w:cs="Times New Roman"/>
                <w:color w:val="auto"/>
                <w:sz w:val="24"/>
                <w:szCs w:val="24"/>
                <w:highlight w:val="none"/>
                <w:lang w:val="en-US" w:eastAsia="zh-CN"/>
              </w:rPr>
              <w:t>t</w:t>
            </w:r>
            <w:r>
              <w:rPr>
                <w:rFonts w:hint="eastAsia" w:cs="Times New Roman"/>
                <w:color w:val="auto"/>
                <w:sz w:val="24"/>
                <w:szCs w:val="24"/>
                <w:highlight w:val="none"/>
                <w:lang w:val="en-US" w:eastAsia="zh-CN"/>
              </w:rPr>
              <w:t>，其中</w:t>
            </w:r>
            <w:r>
              <w:rPr>
                <w:rFonts w:hint="eastAsia" w:ascii="Times New Roman" w:hAnsi="Times New Roman" w:eastAsia="Times New Roman" w:cs="Times New Roman"/>
                <w:color w:val="auto"/>
                <w:sz w:val="24"/>
                <w:szCs w:val="24"/>
                <w:highlight w:val="none"/>
              </w:rPr>
              <w:t>废油密度约为895kg/m</w:t>
            </w:r>
            <w:r>
              <w:rPr>
                <w:rFonts w:hint="eastAsia" w:ascii="Times New Roman" w:hAnsi="Times New Roman" w:eastAsia="Times New Roman" w:cs="Times New Roman"/>
                <w:color w:val="auto"/>
                <w:sz w:val="24"/>
                <w:szCs w:val="24"/>
                <w:highlight w:val="none"/>
                <w:vertAlign w:val="superscript"/>
              </w:rPr>
              <w:t>3</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即液态废物总储量为</w:t>
            </w:r>
            <w:r>
              <w:rPr>
                <w:rFonts w:hint="eastAsia" w:cs="Times New Roman"/>
                <w:color w:val="auto"/>
                <w:sz w:val="24"/>
                <w:szCs w:val="24"/>
                <w:highlight w:val="none"/>
                <w:lang w:val="en-US" w:eastAsia="zh-CN"/>
              </w:rPr>
              <w:t>1.53</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，其1/10为</w:t>
            </w:r>
            <w:r>
              <w:rPr>
                <w:rFonts w:hint="eastAsia" w:cs="Times New Roman"/>
                <w:color w:val="auto"/>
                <w:sz w:val="24"/>
                <w:szCs w:val="24"/>
                <w:highlight w:val="none"/>
                <w:vertAlign w:val="baseline"/>
                <w:lang w:val="en-US" w:eastAsia="zh-CN"/>
              </w:rPr>
              <w:t>0.153</w:t>
            </w:r>
            <w:r>
              <w:rPr>
                <w:rFonts w:hint="eastAsia" w:ascii="Times New Roman" w:hAnsi="Times New Roman" w:eastAsia="宋体" w:cs="Times New Roman"/>
                <w:color w:val="auto"/>
                <w:sz w:val="24"/>
                <w:szCs w:val="24"/>
                <w:highlight w:val="none"/>
                <w:vertAlign w:val="baseli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Times New Roman" w:cs="Times New Roman"/>
                <w:color w:val="auto"/>
                <w:sz w:val="24"/>
                <w:szCs w:val="24"/>
                <w:highlight w:val="none"/>
              </w:rPr>
              <w:t>本项目集液池设置容积为</w:t>
            </w:r>
            <w:r>
              <w:rPr>
                <w:rFonts w:hint="eastAsia" w:eastAsia="宋体" w:cs="Times New Roman"/>
                <w:color w:val="auto"/>
                <w:sz w:val="24"/>
                <w:szCs w:val="24"/>
                <w:highlight w:val="none"/>
                <w:lang w:val="en-US" w:eastAsia="zh-CN"/>
              </w:rPr>
              <w:t>9.68</w:t>
            </w:r>
            <w:r>
              <w:rPr>
                <w:rFonts w:hint="eastAsia" w:ascii="Times New Roman" w:hAnsi="Times New Roman" w:eastAsia="Times New Roman" w:cs="Times New Roman"/>
                <w:color w:val="auto"/>
                <w:sz w:val="24"/>
                <w:szCs w:val="24"/>
                <w:highlight w:val="none"/>
              </w:rPr>
              <w:t>m</w:t>
            </w:r>
            <w:r>
              <w:rPr>
                <w:rFonts w:hint="eastAsia" w:ascii="Times New Roman" w:hAnsi="Times New Roman" w:eastAsia="Times New Roman" w:cs="Times New Roman"/>
                <w:color w:val="auto"/>
                <w:sz w:val="24"/>
                <w:szCs w:val="24"/>
                <w:highlight w:val="none"/>
                <w:vertAlign w:val="superscript"/>
              </w:rPr>
              <w:t>3</w:t>
            </w:r>
            <w:r>
              <w:rPr>
                <w:rFonts w:hint="eastAsia" w:ascii="Times New Roman" w:hAnsi="Times New Roman" w:eastAsia="Times New Roman" w:cs="Times New Roman"/>
                <w:color w:val="auto"/>
                <w:sz w:val="24"/>
                <w:szCs w:val="24"/>
                <w:highlight w:val="none"/>
              </w:rPr>
              <w:t>，可满足集液池要求。</w:t>
            </w:r>
          </w:p>
          <w:p w14:paraId="25335DF3">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宋体"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2）地面防渗</w:t>
            </w:r>
          </w:p>
          <w:p w14:paraId="3EA80B9E">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本项目</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（含导流</w:t>
            </w:r>
            <w:r>
              <w:rPr>
                <w:rFonts w:hint="eastAsia" w:ascii="Times New Roman" w:hAnsi="Times New Roman" w:eastAsia="Times New Roman" w:cs="Times New Roman"/>
                <w:color w:val="auto"/>
                <w:sz w:val="24"/>
                <w:szCs w:val="24"/>
                <w:highlight w:val="none"/>
                <w:lang w:val="en-US" w:eastAsia="zh-CN"/>
              </w:rPr>
              <w:t>沟、</w:t>
            </w:r>
            <w:r>
              <w:rPr>
                <w:rFonts w:hint="eastAsia" w:ascii="Times New Roman" w:hAnsi="Times New Roman" w:eastAsia="Times New Roman" w:cs="Times New Roman"/>
                <w:color w:val="auto"/>
                <w:sz w:val="24"/>
                <w:szCs w:val="24"/>
                <w:highlight w:val="none"/>
              </w:rPr>
              <w:t>集液池）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ascii="Times New Roman" w:hAnsi="Times New Roman" w:eastAsia="Times New Roman" w:cs="Times New Roman"/>
                <w:color w:val="auto"/>
                <w:sz w:val="24"/>
                <w:szCs w:val="24"/>
                <w:highlight w:val="none"/>
                <w:vertAlign w:val="superscript"/>
              </w:rPr>
              <w:t>-7</w:t>
            </w:r>
            <w:r>
              <w:rPr>
                <w:rFonts w:hint="eastAsia" w:ascii="Times New Roman" w:hAnsi="Times New Roman" w:eastAsia="Times New Roman" w:cs="Times New Roman"/>
                <w:color w:val="auto"/>
                <w:sz w:val="24"/>
                <w:szCs w:val="24"/>
                <w:highlight w:val="none"/>
              </w:rPr>
              <w:t>cm/s），或至少2mm厚高密度聚乙烯膜等人工防渗材料（渗透系数不大于10</w:t>
            </w:r>
            <w:r>
              <w:rPr>
                <w:rFonts w:hint="eastAsia" w:ascii="Times New Roman" w:hAnsi="Times New Roman" w:eastAsia="Times New Roman" w:cs="Times New Roman"/>
                <w:color w:val="auto"/>
                <w:sz w:val="24"/>
                <w:szCs w:val="24"/>
                <w:highlight w:val="none"/>
                <w:vertAlign w:val="superscript"/>
              </w:rPr>
              <w:t>-10</w:t>
            </w:r>
            <w:r>
              <w:rPr>
                <w:rFonts w:hint="eastAsia" w:ascii="Times New Roman" w:hAnsi="Times New Roman" w:eastAsia="Times New Roman" w:cs="Times New Roman"/>
                <w:color w:val="auto"/>
                <w:sz w:val="24"/>
                <w:szCs w:val="24"/>
                <w:highlight w:val="none"/>
              </w:rPr>
              <w:t>cm/s），或其他防渗性能等效的材料。</w:t>
            </w:r>
          </w:p>
          <w:p w14:paraId="74694C50">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eastAsia="宋体"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3）贮存过程中防止火灾事故</w:t>
            </w:r>
          </w:p>
          <w:p w14:paraId="46171E9B">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①贮存区旁边禁止有热源和明火，禁止员工在厂内吸烟。</w:t>
            </w:r>
          </w:p>
          <w:p w14:paraId="00F6208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②贮存区必须设有明显的禁火标志。</w:t>
            </w:r>
          </w:p>
          <w:p w14:paraId="0E5B6BCF">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③项目贮存区的消防设施、用电设施等必须符合国家规定的安全要求。</w:t>
            </w:r>
          </w:p>
          <w:p w14:paraId="4B0DA5B1">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④管理人员必须经过专业知识培训，熟悉贮存物品的特性、事故处理办法和防护知识，同时，必须配备有关的个人防护用品。</w:t>
            </w:r>
          </w:p>
          <w:p w14:paraId="1CFB4A0A">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b/>
                <w:bCs/>
                <w:color w:val="auto"/>
                <w:sz w:val="24"/>
                <w:szCs w:val="24"/>
                <w:highlight w:val="none"/>
              </w:rPr>
            </w:pPr>
            <w:r>
              <w:rPr>
                <w:rFonts w:hint="eastAsia" w:ascii="Times New Roman" w:hAnsi="Times New Roman" w:eastAsia="Times New Roman" w:cs="Times New Roman"/>
                <w:color w:val="auto"/>
                <w:sz w:val="24"/>
                <w:szCs w:val="24"/>
                <w:highlight w:val="none"/>
              </w:rPr>
              <w:t>⑤要严格遵守有关贮存的安全规定，具体包括《仓库防火安全管理规则》、《建筑设计防火规范》、《危险废物收集、贮存、运输技术规范》等。</w:t>
            </w:r>
          </w:p>
          <w:p w14:paraId="52447FDE">
            <w:pPr>
              <w:pStyle w:val="13"/>
              <w:keepNext w:val="0"/>
              <w:keepLines w:val="0"/>
              <w:pageBreakBefore w:val="0"/>
              <w:widowControl w:val="0"/>
              <w:kinsoku/>
              <w:wordWrap/>
              <w:overflowPunct/>
              <w:topLinePunct w:val="0"/>
              <w:autoSpaceDE w:val="0"/>
              <w:autoSpaceDN w:val="0"/>
              <w:bidi w:val="0"/>
              <w:spacing w:line="360" w:lineRule="auto"/>
              <w:ind w:firstLine="482" w:firstLineChars="200"/>
              <w:jc w:val="both"/>
              <w:textAlignment w:val="auto"/>
              <w:rPr>
                <w:rFonts w:hint="eastAsia" w:eastAsia="宋体" w:cs="Times New Roman"/>
                <w:b/>
                <w:bCs/>
                <w:color w:val="auto"/>
                <w:sz w:val="24"/>
                <w:szCs w:val="24"/>
                <w:highlight w:val="none"/>
                <w:lang w:val="en-US" w:eastAsia="zh-CN"/>
              </w:rPr>
            </w:pPr>
            <w:r>
              <w:rPr>
                <w:rFonts w:hint="eastAsia" w:eastAsia="宋体" w:cs="Times New Roman"/>
                <w:b/>
                <w:bCs/>
                <w:color w:val="auto"/>
                <w:sz w:val="24"/>
                <w:szCs w:val="24"/>
                <w:highlight w:val="none"/>
                <w:lang w:val="en-US" w:eastAsia="zh-CN"/>
              </w:rPr>
              <w:t>4、环保设施安全生产</w:t>
            </w:r>
          </w:p>
          <w:p w14:paraId="4DD0FA8C">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eastAsia="宋体" w:cs="Times New Roman"/>
                <w:b w:val="0"/>
                <w:bCs w:val="0"/>
                <w:color w:val="auto"/>
                <w:sz w:val="24"/>
                <w:szCs w:val="24"/>
                <w:highlight w:val="none"/>
                <w:lang w:val="en-US" w:eastAsia="zh-CN"/>
              </w:rPr>
            </w:pPr>
            <w:r>
              <w:rPr>
                <w:rFonts w:hint="eastAsia" w:eastAsia="宋体" w:cs="Times New Roman"/>
                <w:b w:val="0"/>
                <w:bCs w:val="0"/>
                <w:color w:val="auto"/>
                <w:sz w:val="24"/>
                <w:szCs w:val="24"/>
                <w:highlight w:val="none"/>
                <w:lang w:val="en-US" w:eastAsia="zh-CN"/>
              </w:rPr>
              <w:t>强化环境风险和环保设施安全生产。严格落实危险废物贮存点防渗地面、墙裙等环境风险防范措施，做好应急物资储备，按照相关规定编制和备案突发环境事件应急预案，并与当地政府及其相关部门应急预案做好衔接，定期进行应急培训和演练，有效防范和应对环境风险。严格落实环保设施安全生产工作要求，健全企业内部污染防治设施稳定运行和管理责任制度，委托有相应资质的设计单位对重点环保设施进行设计，并定期做好环保设备设施安全风险辨识评估和隐患排查治理。</w:t>
            </w:r>
          </w:p>
          <w:p w14:paraId="62FD42CF">
            <w:pPr>
              <w:pStyle w:val="13"/>
              <w:keepNext w:val="0"/>
              <w:keepLines w:val="0"/>
              <w:pageBreakBefore w:val="0"/>
              <w:widowControl w:val="0"/>
              <w:kinsoku/>
              <w:wordWrap/>
              <w:overflowPunct/>
              <w:topLinePunct w:val="0"/>
              <w:autoSpaceDE w:val="0"/>
              <w:autoSpaceDN w:val="0"/>
              <w:bidi w:val="0"/>
              <w:spacing w:line="360" w:lineRule="auto"/>
              <w:ind w:firstLine="482" w:firstLineChars="200"/>
              <w:jc w:val="both"/>
              <w:textAlignment w:val="auto"/>
              <w:rPr>
                <w:rFonts w:ascii="Times New Roman" w:hAnsi="Times New Roman" w:eastAsia="Times New Roman" w:cs="Times New Roman"/>
                <w:b/>
                <w:bCs/>
                <w:color w:val="auto"/>
                <w:sz w:val="24"/>
                <w:szCs w:val="24"/>
                <w:highlight w:val="none"/>
              </w:rPr>
            </w:pPr>
            <w:r>
              <w:rPr>
                <w:rFonts w:hint="eastAsia" w:eastAsia="宋体" w:cs="Times New Roman"/>
                <w:b/>
                <w:bCs/>
                <w:color w:val="auto"/>
                <w:sz w:val="24"/>
                <w:szCs w:val="24"/>
                <w:highlight w:val="none"/>
                <w:lang w:val="en-US" w:eastAsia="zh-CN"/>
              </w:rPr>
              <w:t>5、</w:t>
            </w:r>
            <w:r>
              <w:rPr>
                <w:rFonts w:hint="eastAsia" w:ascii="Times New Roman" w:hAnsi="Times New Roman" w:eastAsia="Times New Roman" w:cs="Times New Roman"/>
                <w:b/>
                <w:bCs/>
                <w:color w:val="auto"/>
                <w:sz w:val="24"/>
                <w:szCs w:val="24"/>
                <w:highlight w:val="none"/>
              </w:rPr>
              <w:t>大气风险防范措施</w:t>
            </w:r>
          </w:p>
          <w:p w14:paraId="28F8E7A7">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eastAsia="宋体" w:cs="Times New Roman"/>
                <w:color w:val="auto"/>
                <w:sz w:val="24"/>
                <w:szCs w:val="24"/>
                <w:highlight w:val="none"/>
                <w:lang w:eastAsia="zh-CN"/>
              </w:rPr>
              <w:t>（</w:t>
            </w:r>
            <w:r>
              <w:rPr>
                <w:rFonts w:hint="eastAsia" w:ascii="Times New Roman" w:hAnsi="Times New Roman" w:eastAsia="Times New Roman" w:cs="Times New Roman"/>
                <w:color w:val="auto"/>
                <w:sz w:val="24"/>
                <w:szCs w:val="24"/>
                <w:highlight w:val="none"/>
              </w:rPr>
              <w:t>1）安全管理措施</w:t>
            </w:r>
          </w:p>
          <w:p w14:paraId="6FDBAD15">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企业应严格按照有关危险废物贮存等国家有关规定，在设计、设备选材、生产、安全管理等方面应加强对易燃易爆物质的管理，同时应加强对各种火源的管理，防止火灾爆炸事故的发生。本项目潜在风险较高的风险源是各种易发生泄漏的装置设备等，在生产过程中应做好对设备的维护、检修，切实杜绝“跑、冒、滴、漏”现象发生，同时应加强关键部位的安全防护、报警措施，以便及时发现事故隐患，采取有效的应对措施以防事故的发生，确保安全生产。</w:t>
            </w:r>
          </w:p>
          <w:p w14:paraId="598C0067">
            <w:pPr>
              <w:bidi w:val="0"/>
              <w:rPr>
                <w:color w:val="auto"/>
                <w:highlight w:val="none"/>
              </w:rPr>
            </w:pPr>
            <w:r>
              <w:rPr>
                <w:rFonts w:hint="eastAsia"/>
                <w:color w:val="auto"/>
                <w:highlight w:val="none"/>
                <w:lang w:eastAsia="zh-CN"/>
              </w:rPr>
              <w:t>（</w:t>
            </w:r>
            <w:r>
              <w:rPr>
                <w:rFonts w:hint="eastAsia"/>
                <w:color w:val="auto"/>
                <w:highlight w:val="none"/>
              </w:rPr>
              <w:t>2）防火防爆措施</w:t>
            </w:r>
          </w:p>
          <w:p w14:paraId="6AF86055">
            <w:pPr>
              <w:bidi w:val="0"/>
              <w:rPr>
                <w:color w:val="auto"/>
                <w:highlight w:val="none"/>
              </w:rPr>
            </w:pPr>
            <w:r>
              <w:rPr>
                <w:color w:val="auto"/>
                <w:highlight w:val="none"/>
              </w:rPr>
              <w:t>根据各建筑物的使用性质，按《建筑物灭火器配置设计规范》（GBJ140-90）规定，分别配置足量的手提式干粉灭火器、泡沫灭火器、二氧化碳灭火器及推车式泡沫（或干粉）灭火器等消防器材。界区内的消防及检修通道与界区外的主要道路及消防道路相通，确保消防通道通畅。</w:t>
            </w:r>
          </w:p>
          <w:p w14:paraId="559492D1">
            <w:pPr>
              <w:bidi w:val="0"/>
              <w:rPr>
                <w:color w:val="auto"/>
                <w:highlight w:val="none"/>
              </w:rPr>
            </w:pPr>
            <w:r>
              <w:rPr>
                <w:rFonts w:hint="eastAsia"/>
                <w:color w:val="auto"/>
                <w:highlight w:val="none"/>
              </w:rPr>
              <w:t>在建、构筑物的设计中，建、构筑物的耐火等级、层数、长度、占地面积、防火间距、防爆及安全疏散等均按规定进行设计。</w:t>
            </w:r>
          </w:p>
          <w:p w14:paraId="3FD1322B">
            <w:pPr>
              <w:bidi w:val="0"/>
              <w:rPr>
                <w:color w:val="auto"/>
                <w:highlight w:val="none"/>
              </w:rPr>
            </w:pPr>
            <w:r>
              <w:rPr>
                <w:rFonts w:hint="eastAsia"/>
                <w:color w:val="auto"/>
                <w:highlight w:val="none"/>
              </w:rPr>
              <w:t>对与危险废物直接接触的设备、阀门选用合适的耐腐蚀材料制作。建构筑物设计采用耐腐蚀的建筑材料和涂料。</w:t>
            </w:r>
          </w:p>
          <w:p w14:paraId="577E7815">
            <w:pPr>
              <w:bidi w:val="0"/>
              <w:rPr>
                <w:b/>
                <w:bCs/>
                <w:color w:val="auto"/>
                <w:highlight w:val="none"/>
              </w:rPr>
            </w:pPr>
            <w:r>
              <w:rPr>
                <w:rFonts w:hint="eastAsia"/>
                <w:b/>
                <w:bCs/>
                <w:color w:val="auto"/>
                <w:highlight w:val="none"/>
                <w:lang w:val="en-US" w:eastAsia="zh-CN"/>
              </w:rPr>
              <w:t>6、</w:t>
            </w:r>
            <w:r>
              <w:rPr>
                <w:rFonts w:hint="eastAsia"/>
                <w:b/>
                <w:bCs/>
                <w:color w:val="auto"/>
                <w:highlight w:val="none"/>
              </w:rPr>
              <w:t>突发环境事件应急预案</w:t>
            </w:r>
          </w:p>
          <w:p w14:paraId="1099EA6C">
            <w:pPr>
              <w:bidi w:val="0"/>
              <w:rPr>
                <w:rFonts w:hint="eastAsia"/>
                <w:color w:val="auto"/>
                <w:highlight w:val="none"/>
              </w:rPr>
            </w:pPr>
            <w:r>
              <w:rPr>
                <w:rFonts w:hint="eastAsia"/>
                <w:color w:val="auto"/>
                <w:highlight w:val="none"/>
              </w:rPr>
              <w:t>根据生态环境部环发〔</w:t>
            </w:r>
            <w:r>
              <w:rPr>
                <w:rFonts w:hint="eastAsia"/>
                <w:color w:val="auto"/>
                <w:highlight w:val="none"/>
                <w:lang w:val="en-US" w:eastAsia="zh-CN"/>
              </w:rPr>
              <w:t>2015</w:t>
            </w:r>
            <w:r>
              <w:rPr>
                <w:rFonts w:hint="eastAsia"/>
                <w:color w:val="auto"/>
                <w:highlight w:val="none"/>
              </w:rPr>
              <w:t>〕4号《关于印发&lt;企业事业单位突发环境事件应急预案备案管理办法（试行）&gt;的通知》，《企业事业单位突发环境事件应急预案评审工作指南（试行）》等要求，编制本项目事故应急预案及编制说明，环境事件风险评估报告，环境应急资源调查报告，并按照《管理办法》要求进行备案。</w:t>
            </w:r>
          </w:p>
          <w:p w14:paraId="353CCA84">
            <w:pPr>
              <w:bidi w:val="0"/>
              <w:rPr>
                <w:rFonts w:hint="eastAsia"/>
                <w:color w:val="auto"/>
                <w:highlight w:val="none"/>
              </w:rPr>
            </w:pPr>
            <w:r>
              <w:rPr>
                <w:rFonts w:hint="eastAsia"/>
                <w:color w:val="auto"/>
                <w:highlight w:val="none"/>
              </w:rPr>
              <w:t>为保证企业及人民生命财产的安全，防止突发性重大环境突发事故发生，并在发生事故时，能迅速有序地开展救援工作，尽最大努力减少事故的危害和损失，企业应按《危险废物经营单位编制应急预案指南》制定《突发环境事件应急预案》和实施细则，并报当地环境主管部门备案，组织专业队伍学习和演练，提高队伍实战能力，防患于未然，以便应急救援工作的顺利开展。</w:t>
            </w:r>
          </w:p>
          <w:p w14:paraId="64BF39FC">
            <w:pPr>
              <w:pStyle w:val="13"/>
              <w:autoSpaceDE w:val="0"/>
              <w:autoSpaceDN w:val="0"/>
              <w:ind w:firstLine="480" w:firstLineChars="200"/>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应急预案的内容和要求见下表。</w:t>
            </w:r>
          </w:p>
          <w:p w14:paraId="760399F0">
            <w:pPr>
              <w:rPr>
                <w:rFonts w:hint="eastAsia" w:ascii="Times New Roman" w:hAnsi="Times New Roman" w:eastAsia="Times New Roman" w:cs="Times New Roman"/>
                <w:color w:val="auto"/>
                <w:sz w:val="24"/>
                <w:szCs w:val="24"/>
                <w:highlight w:val="none"/>
              </w:rPr>
            </w:pPr>
          </w:p>
          <w:p w14:paraId="42924BF4">
            <w:pPr>
              <w:rPr>
                <w:rFonts w:hint="eastAsia" w:ascii="Times New Roman" w:hAnsi="Times New Roman" w:eastAsia="Times New Roman" w:cs="Times New Roman"/>
                <w:color w:val="auto"/>
                <w:sz w:val="24"/>
                <w:szCs w:val="24"/>
                <w:highlight w:val="none"/>
              </w:rPr>
            </w:pPr>
          </w:p>
          <w:p w14:paraId="3D132F09">
            <w:pPr>
              <w:rPr>
                <w:rFonts w:hint="eastAsia" w:ascii="Times New Roman" w:hAnsi="Times New Roman" w:eastAsia="Times New Roman" w:cs="Times New Roman"/>
                <w:color w:val="auto"/>
                <w:sz w:val="24"/>
                <w:szCs w:val="24"/>
                <w:highlight w:val="none"/>
              </w:rPr>
            </w:pPr>
          </w:p>
          <w:p w14:paraId="166C35A2">
            <w:pPr>
              <w:rPr>
                <w:rFonts w:hint="eastAsia" w:ascii="Times New Roman" w:hAnsi="Times New Roman" w:eastAsia="Times New Roman" w:cs="Times New Roman"/>
                <w:color w:val="auto"/>
                <w:sz w:val="24"/>
                <w:szCs w:val="24"/>
                <w:highlight w:val="none"/>
              </w:rPr>
            </w:pPr>
          </w:p>
          <w:p w14:paraId="7F2A0CD8">
            <w:pPr>
              <w:rPr>
                <w:rFonts w:hint="eastAsia" w:ascii="Times New Roman" w:hAnsi="Times New Roman" w:eastAsia="Times New Roman" w:cs="Times New Roman"/>
                <w:color w:val="auto"/>
                <w:sz w:val="24"/>
                <w:szCs w:val="24"/>
                <w:highlight w:val="none"/>
              </w:rPr>
            </w:pPr>
          </w:p>
          <w:p w14:paraId="612191ED">
            <w:pPr>
              <w:rPr>
                <w:rFonts w:hint="eastAsia" w:ascii="Times New Roman" w:hAnsi="Times New Roman" w:eastAsia="Times New Roman" w:cs="Times New Roman"/>
                <w:color w:val="auto"/>
                <w:sz w:val="24"/>
                <w:szCs w:val="24"/>
                <w:highlight w:val="none"/>
              </w:rPr>
            </w:pPr>
          </w:p>
          <w:p w14:paraId="75633BC3">
            <w:pPr>
              <w:rPr>
                <w:rFonts w:hint="eastAsia" w:ascii="Times New Roman" w:hAnsi="Times New Roman" w:eastAsia="Times New Roman" w:cs="Times New Roman"/>
                <w:color w:val="auto"/>
                <w:sz w:val="24"/>
                <w:szCs w:val="24"/>
                <w:highlight w:val="none"/>
              </w:rPr>
            </w:pPr>
          </w:p>
          <w:p w14:paraId="7F9A2FAE">
            <w:pPr>
              <w:rPr>
                <w:rFonts w:hint="eastAsia" w:ascii="Times New Roman" w:hAnsi="Times New Roman" w:eastAsia="Times New Roman" w:cs="Times New Roman"/>
                <w:color w:val="auto"/>
                <w:sz w:val="24"/>
                <w:szCs w:val="24"/>
                <w:highlight w:val="none"/>
              </w:rPr>
            </w:pPr>
          </w:p>
          <w:p w14:paraId="0559433A">
            <w:pPr>
              <w:ind w:left="0" w:leftChars="0" w:firstLine="0" w:firstLineChars="0"/>
              <w:rPr>
                <w:rFonts w:hint="eastAsia" w:ascii="Times New Roman" w:hAnsi="Times New Roman" w:eastAsia="Times New Roman" w:cs="Times New Roman"/>
                <w:color w:val="auto"/>
                <w:sz w:val="24"/>
                <w:szCs w:val="24"/>
                <w:highlight w:val="none"/>
              </w:rPr>
            </w:pPr>
          </w:p>
          <w:p w14:paraId="231AAE01">
            <w:pPr>
              <w:pStyle w:val="25"/>
              <w:bidi w:val="0"/>
              <w:rPr>
                <w:color w:val="auto"/>
                <w:highlight w:val="none"/>
              </w:rPr>
            </w:pPr>
            <w:r>
              <w:rPr>
                <w:rFonts w:hint="eastAsia"/>
                <w:color w:val="auto"/>
                <w:highlight w:val="none"/>
              </w:rPr>
              <w:t>应急预案的内容和要求要点</w:t>
            </w:r>
          </w:p>
          <w:tbl>
            <w:tblPr>
              <w:tblStyle w:val="1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172"/>
              <w:gridCol w:w="6419"/>
            </w:tblGrid>
            <w:tr w14:paraId="71B3DE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tcBorders>
                    <w:tl2br w:val="nil"/>
                    <w:tr2bl w:val="nil"/>
                  </w:tcBorders>
                  <w:vAlign w:val="center"/>
                </w:tcPr>
                <w:p w14:paraId="51921FF3">
                  <w:pPr>
                    <w:pStyle w:val="27"/>
                    <w:spacing w:line="240" w:lineRule="auto"/>
                    <w:jc w:val="center"/>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序号</w:t>
                  </w:r>
                </w:p>
              </w:tc>
              <w:tc>
                <w:tcPr>
                  <w:tcW w:w="1152" w:type="dxa"/>
                  <w:tcBorders>
                    <w:tl2br w:val="nil"/>
                    <w:tr2bl w:val="nil"/>
                  </w:tcBorders>
                  <w:vAlign w:val="center"/>
                </w:tcPr>
                <w:p w14:paraId="6DE080F8">
                  <w:pPr>
                    <w:pStyle w:val="27"/>
                    <w:spacing w:line="240" w:lineRule="auto"/>
                    <w:jc w:val="center"/>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项目</w:t>
                  </w:r>
                </w:p>
              </w:tc>
              <w:tc>
                <w:tcPr>
                  <w:tcW w:w="6312" w:type="dxa"/>
                  <w:tcBorders>
                    <w:tl2br w:val="nil"/>
                    <w:tr2bl w:val="nil"/>
                  </w:tcBorders>
                  <w:vAlign w:val="center"/>
                </w:tcPr>
                <w:p w14:paraId="58C0A62C">
                  <w:pPr>
                    <w:pStyle w:val="27"/>
                    <w:spacing w:line="240" w:lineRule="auto"/>
                    <w:jc w:val="center"/>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内容及要求</w:t>
                  </w:r>
                </w:p>
              </w:tc>
            </w:tr>
            <w:tr w14:paraId="5F05E1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tcBorders>
                    <w:tl2br w:val="nil"/>
                    <w:tr2bl w:val="nil"/>
                  </w:tcBorders>
                  <w:shd w:val="clear" w:color="auto" w:fill="auto"/>
                  <w:vAlign w:val="center"/>
                </w:tcPr>
                <w:p w14:paraId="1C679E90">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1</w:t>
                  </w:r>
                </w:p>
              </w:tc>
              <w:tc>
                <w:tcPr>
                  <w:tcW w:w="1152" w:type="dxa"/>
                  <w:tcBorders>
                    <w:tl2br w:val="nil"/>
                    <w:tr2bl w:val="nil"/>
                  </w:tcBorders>
                  <w:shd w:val="clear" w:color="auto" w:fill="auto"/>
                  <w:vAlign w:val="center"/>
                </w:tcPr>
                <w:p w14:paraId="4E3AB415">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总则</w:t>
                  </w:r>
                </w:p>
              </w:tc>
              <w:tc>
                <w:tcPr>
                  <w:tcW w:w="6312" w:type="dxa"/>
                  <w:tcBorders>
                    <w:tl2br w:val="nil"/>
                    <w:tr2bl w:val="nil"/>
                  </w:tcBorders>
                  <w:shd w:val="clear" w:color="auto" w:fill="auto"/>
                  <w:vAlign w:val="center"/>
                </w:tcPr>
                <w:p w14:paraId="3D1B6531">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简述应急预案编制的目的、作用、编制依据、适用范围、应急预案体系构成情况等</w:t>
                  </w:r>
                </w:p>
              </w:tc>
            </w:tr>
            <w:tr w14:paraId="21860D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tcBorders>
                    <w:tl2br w:val="nil"/>
                    <w:tr2bl w:val="nil"/>
                  </w:tcBorders>
                  <w:shd w:val="clear" w:color="auto" w:fill="auto"/>
                  <w:vAlign w:val="center"/>
                </w:tcPr>
                <w:p w14:paraId="7FA0C193">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2</w:t>
                  </w:r>
                </w:p>
              </w:tc>
              <w:tc>
                <w:tcPr>
                  <w:tcW w:w="1152" w:type="dxa"/>
                  <w:tcBorders>
                    <w:tl2br w:val="nil"/>
                    <w:tr2bl w:val="nil"/>
                  </w:tcBorders>
                  <w:shd w:val="clear" w:color="auto" w:fill="auto"/>
                  <w:vAlign w:val="center"/>
                </w:tcPr>
                <w:p w14:paraId="552F219B">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基本情况</w:t>
                  </w:r>
                </w:p>
              </w:tc>
              <w:tc>
                <w:tcPr>
                  <w:tcW w:w="6312" w:type="dxa"/>
                  <w:tcBorders>
                    <w:tl2br w:val="nil"/>
                    <w:tr2bl w:val="nil"/>
                  </w:tcBorders>
                  <w:shd w:val="clear" w:color="auto" w:fill="auto"/>
                  <w:vAlign w:val="center"/>
                </w:tcPr>
                <w:p w14:paraId="0C29253B">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阐述项目基本情况、环境污染事故危险源基本情况、周边环境状况及环境保护目标调查结果</w:t>
                  </w:r>
                </w:p>
              </w:tc>
            </w:tr>
            <w:tr w14:paraId="60DAC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shd w:val="clear" w:color="auto" w:fill="auto"/>
                  <w:vAlign w:val="center"/>
                </w:tcPr>
                <w:p w14:paraId="2ECCEC69">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3</w:t>
                  </w:r>
                </w:p>
              </w:tc>
              <w:tc>
                <w:tcPr>
                  <w:tcW w:w="1152" w:type="dxa"/>
                  <w:shd w:val="clear" w:color="auto" w:fill="auto"/>
                  <w:vAlign w:val="center"/>
                </w:tcPr>
                <w:p w14:paraId="069637B0">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环境风险评价</w:t>
                  </w:r>
                </w:p>
              </w:tc>
              <w:tc>
                <w:tcPr>
                  <w:tcW w:w="6312" w:type="dxa"/>
                  <w:shd w:val="clear" w:color="auto" w:fill="auto"/>
                  <w:vAlign w:val="center"/>
                </w:tcPr>
                <w:p w14:paraId="4BE30F9D">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主要阐述项目存在的危险源及环境风险评价结果，以及可能发生事故的后果及波及范围</w:t>
                  </w:r>
                </w:p>
              </w:tc>
            </w:tr>
            <w:tr w14:paraId="1AA8A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shd w:val="clear" w:color="auto" w:fill="auto"/>
                  <w:vAlign w:val="center"/>
                </w:tcPr>
                <w:p w14:paraId="443BBE5A">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4</w:t>
                  </w:r>
                </w:p>
              </w:tc>
              <w:tc>
                <w:tcPr>
                  <w:tcW w:w="1152" w:type="dxa"/>
                  <w:shd w:val="clear" w:color="auto" w:fill="auto"/>
                  <w:vAlign w:val="center"/>
                </w:tcPr>
                <w:p w14:paraId="430256EA">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组织机构和职责</w:t>
                  </w:r>
                </w:p>
              </w:tc>
              <w:tc>
                <w:tcPr>
                  <w:tcW w:w="6312" w:type="dxa"/>
                  <w:shd w:val="clear" w:color="auto" w:fill="auto"/>
                  <w:vAlign w:val="center"/>
                </w:tcPr>
                <w:p w14:paraId="4BCD2F24">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一级～企业：成立公司应急指挥小组，由公司最高领导层担任小组长，负责现场全面指挥，专业救援队伍负责事故控制、救援和善后处理</w:t>
                  </w:r>
                </w:p>
                <w:p w14:paraId="199653A5">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二级～工业区：工业区应急中心负责工业区现场全面指挥，救援队伍负责事故所在区控制、监测、救援、善后处理</w:t>
                  </w:r>
                </w:p>
                <w:p w14:paraId="37139312">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三级～</w:t>
                  </w:r>
                  <w:r>
                    <w:rPr>
                      <w:rFonts w:hint="eastAsia" w:ascii="Times New Roman" w:hAnsi="Times New Roman" w:eastAsia="宋体" w:cs="Times New Roman"/>
                      <w:color w:val="auto"/>
                      <w:sz w:val="21"/>
                      <w:szCs w:val="21"/>
                      <w:highlight w:val="none"/>
                    </w:rPr>
                    <w:t>朝阳县</w:t>
                  </w:r>
                  <w:r>
                    <w:rPr>
                      <w:rFonts w:ascii="Times New Roman" w:hAnsi="Times New Roman" w:eastAsia="宋体" w:cs="Times New Roman"/>
                      <w:color w:val="auto"/>
                      <w:sz w:val="21"/>
                      <w:szCs w:val="21"/>
                      <w:highlight w:val="none"/>
                    </w:rPr>
                    <w:t>：应急中心负责工业区附近地区全面指挥、救援、管制、疏散，专业救援队伍负责对工业区专业救援队伍的支援</w:t>
                  </w:r>
                </w:p>
                <w:p w14:paraId="04FDE0E0">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联动关系：一级～二级～三级</w:t>
                  </w:r>
                </w:p>
              </w:tc>
            </w:tr>
            <w:tr w14:paraId="2D74F3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shd w:val="clear" w:color="auto" w:fill="auto"/>
                  <w:vAlign w:val="center"/>
                </w:tcPr>
                <w:p w14:paraId="5256160A">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5</w:t>
                  </w:r>
                </w:p>
              </w:tc>
              <w:tc>
                <w:tcPr>
                  <w:tcW w:w="1152" w:type="dxa"/>
                  <w:shd w:val="clear" w:color="auto" w:fill="auto"/>
                  <w:vAlign w:val="center"/>
                </w:tcPr>
                <w:p w14:paraId="4B986269">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预防与预警</w:t>
                  </w:r>
                </w:p>
              </w:tc>
              <w:tc>
                <w:tcPr>
                  <w:tcW w:w="6312" w:type="dxa"/>
                  <w:shd w:val="clear" w:color="auto" w:fill="auto"/>
                  <w:vAlign w:val="center"/>
                </w:tcPr>
                <w:p w14:paraId="30043BC0">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明确对危险源监测监控的方式、方法以及采取的预防措施，明确事故预警的条件、方式、方法</w:t>
                  </w:r>
                </w:p>
              </w:tc>
            </w:tr>
            <w:tr w14:paraId="647B5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shd w:val="clear" w:color="auto" w:fill="auto"/>
                  <w:vAlign w:val="center"/>
                </w:tcPr>
                <w:p w14:paraId="7ABE3690">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6</w:t>
                  </w:r>
                </w:p>
              </w:tc>
              <w:tc>
                <w:tcPr>
                  <w:tcW w:w="1152" w:type="dxa"/>
                  <w:shd w:val="clear" w:color="auto" w:fill="auto"/>
                  <w:vAlign w:val="center"/>
                </w:tcPr>
                <w:p w14:paraId="6E403B5B">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信息报告和通报</w:t>
                  </w:r>
                </w:p>
              </w:tc>
              <w:tc>
                <w:tcPr>
                  <w:tcW w:w="6312" w:type="dxa"/>
                  <w:shd w:val="clear" w:color="auto" w:fill="auto"/>
                  <w:vAlign w:val="center"/>
                </w:tcPr>
                <w:p w14:paraId="3131F471">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按照《国家突发环境事件应急预案》及国家有关规定，明确信息报告时段和发布的程序、内容和方式</w:t>
                  </w:r>
                </w:p>
              </w:tc>
            </w:tr>
            <w:tr w14:paraId="1251C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shd w:val="clear" w:color="auto" w:fill="auto"/>
                  <w:vAlign w:val="center"/>
                </w:tcPr>
                <w:p w14:paraId="6B2799DD">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7</w:t>
                  </w:r>
                </w:p>
              </w:tc>
              <w:tc>
                <w:tcPr>
                  <w:tcW w:w="1152" w:type="dxa"/>
                  <w:shd w:val="clear" w:color="auto" w:fill="auto"/>
                  <w:vAlign w:val="center"/>
                </w:tcPr>
                <w:p w14:paraId="6946A819">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应急响应和救援措施</w:t>
                  </w:r>
                </w:p>
              </w:tc>
              <w:tc>
                <w:tcPr>
                  <w:tcW w:w="6312" w:type="dxa"/>
                  <w:shd w:val="clear" w:color="auto" w:fill="auto"/>
                  <w:vAlign w:val="center"/>
                </w:tcPr>
                <w:p w14:paraId="56ABA7D0">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建立分级响应机制，明确污染事故现场应急救援措施说明，包括污染源控制方案、污染治理应急方案、应急救援方式、方法及安全保护措施以及应急救援队伍调度及物质保障供应程序</w:t>
                  </w:r>
                </w:p>
              </w:tc>
            </w:tr>
            <w:tr w14:paraId="75954A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shd w:val="clear" w:color="auto" w:fill="auto"/>
                  <w:vAlign w:val="center"/>
                </w:tcPr>
                <w:p w14:paraId="65C6301C">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8</w:t>
                  </w:r>
                </w:p>
              </w:tc>
              <w:tc>
                <w:tcPr>
                  <w:tcW w:w="1152" w:type="dxa"/>
                  <w:shd w:val="clear" w:color="auto" w:fill="auto"/>
                  <w:vAlign w:val="center"/>
                </w:tcPr>
                <w:p w14:paraId="7F3092DC">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应急监测</w:t>
                  </w:r>
                </w:p>
              </w:tc>
              <w:tc>
                <w:tcPr>
                  <w:tcW w:w="6312" w:type="dxa"/>
                  <w:shd w:val="clear" w:color="auto" w:fill="auto"/>
                  <w:vAlign w:val="center"/>
                </w:tcPr>
                <w:p w14:paraId="057F0952">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明确应急监测方案，由专业队伍负责对事故现场进行侦查监测，对事故性质、参数与后果进行评估，为指挥部门提供决策依据</w:t>
                  </w:r>
                </w:p>
              </w:tc>
            </w:tr>
            <w:tr w14:paraId="66A199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shd w:val="clear" w:color="auto" w:fill="auto"/>
                  <w:vAlign w:val="center"/>
                </w:tcPr>
                <w:p w14:paraId="7B696D5F">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9</w:t>
                  </w:r>
                </w:p>
              </w:tc>
              <w:tc>
                <w:tcPr>
                  <w:tcW w:w="1152" w:type="dxa"/>
                  <w:shd w:val="clear" w:color="auto" w:fill="auto"/>
                  <w:vAlign w:val="center"/>
                </w:tcPr>
                <w:p w14:paraId="1695C3BC">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现场保护</w:t>
                  </w:r>
                </w:p>
                <w:p w14:paraId="0A82BE45">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及现场洗消</w:t>
                  </w:r>
                </w:p>
              </w:tc>
              <w:tc>
                <w:tcPr>
                  <w:tcW w:w="6312" w:type="dxa"/>
                  <w:shd w:val="clear" w:color="auto" w:fill="auto"/>
                  <w:vAlign w:val="center"/>
                </w:tcPr>
                <w:p w14:paraId="54CA0EAB">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明确事故现场保护措施、现场净化方式方法、事故现场洗消工作负责人和专业队伍，并明确洗消后二次污染的防治方案</w:t>
                  </w:r>
                </w:p>
              </w:tc>
            </w:tr>
            <w:tr w14:paraId="3810D1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shd w:val="clear" w:color="auto" w:fill="auto"/>
                  <w:vAlign w:val="center"/>
                </w:tcPr>
                <w:p w14:paraId="6086D1BE">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10</w:t>
                  </w:r>
                </w:p>
              </w:tc>
              <w:tc>
                <w:tcPr>
                  <w:tcW w:w="1152" w:type="dxa"/>
                  <w:shd w:val="clear" w:color="auto" w:fill="auto"/>
                  <w:vAlign w:val="center"/>
                </w:tcPr>
                <w:p w14:paraId="2F29513F">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应急终止</w:t>
                  </w:r>
                </w:p>
              </w:tc>
              <w:tc>
                <w:tcPr>
                  <w:tcW w:w="6312" w:type="dxa"/>
                  <w:shd w:val="clear" w:color="auto" w:fill="auto"/>
                  <w:vAlign w:val="center"/>
                </w:tcPr>
                <w:p w14:paraId="5F1EB4F4">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明确应急终止条件、程序以及终止后的跟踪监测和评估方案</w:t>
                  </w:r>
                </w:p>
              </w:tc>
            </w:tr>
            <w:tr w14:paraId="1F5FD8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shd w:val="clear" w:color="auto" w:fill="auto"/>
                  <w:vAlign w:val="center"/>
                </w:tcPr>
                <w:p w14:paraId="782FD1F5">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11</w:t>
                  </w:r>
                </w:p>
              </w:tc>
              <w:tc>
                <w:tcPr>
                  <w:tcW w:w="1152" w:type="dxa"/>
                  <w:shd w:val="clear" w:color="auto" w:fill="auto"/>
                  <w:vAlign w:val="center"/>
                </w:tcPr>
                <w:p w14:paraId="5D968ABB">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应急终止后的行动</w:t>
                  </w:r>
                </w:p>
              </w:tc>
              <w:tc>
                <w:tcPr>
                  <w:tcW w:w="6312" w:type="dxa"/>
                  <w:shd w:val="clear" w:color="auto" w:fill="auto"/>
                  <w:vAlign w:val="center"/>
                </w:tcPr>
                <w:p w14:paraId="735502F8">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事故危险解除通知、应急过程评价、事故原因调查等</w:t>
                  </w:r>
                </w:p>
              </w:tc>
            </w:tr>
            <w:tr w14:paraId="17ECD0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shd w:val="clear" w:color="auto" w:fill="auto"/>
                  <w:vAlign w:val="center"/>
                </w:tcPr>
                <w:p w14:paraId="3B02BDBC">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12</w:t>
                  </w:r>
                </w:p>
              </w:tc>
              <w:tc>
                <w:tcPr>
                  <w:tcW w:w="1152" w:type="dxa"/>
                  <w:shd w:val="clear" w:color="auto" w:fill="auto"/>
                  <w:vAlign w:val="center"/>
                </w:tcPr>
                <w:p w14:paraId="7335B773">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善后处置</w:t>
                  </w:r>
                </w:p>
              </w:tc>
              <w:tc>
                <w:tcPr>
                  <w:tcW w:w="6312" w:type="dxa"/>
                  <w:shd w:val="clear" w:color="auto" w:fill="auto"/>
                  <w:vAlign w:val="center"/>
                </w:tcPr>
                <w:p w14:paraId="6ECBB507">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受灾人员的安置和损失赔偿，环境污染事故中长期环境影响评估，补偿和对遭受污染的生态进行恢复等</w:t>
                  </w:r>
                </w:p>
              </w:tc>
            </w:tr>
            <w:tr w14:paraId="53790B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shd w:val="clear" w:color="auto" w:fill="auto"/>
                  <w:vAlign w:val="center"/>
                </w:tcPr>
                <w:p w14:paraId="72FFA5BC">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13</w:t>
                  </w:r>
                </w:p>
              </w:tc>
              <w:tc>
                <w:tcPr>
                  <w:tcW w:w="1152" w:type="dxa"/>
                  <w:shd w:val="clear" w:color="auto" w:fill="auto"/>
                  <w:vAlign w:val="center"/>
                </w:tcPr>
                <w:p w14:paraId="54860AFE">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应急培训和演习</w:t>
                  </w:r>
                </w:p>
              </w:tc>
              <w:tc>
                <w:tcPr>
                  <w:tcW w:w="6312" w:type="dxa"/>
                  <w:shd w:val="clear" w:color="auto" w:fill="auto"/>
                  <w:vAlign w:val="center"/>
                </w:tcPr>
                <w:p w14:paraId="3560891E">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应急计划制定后，平时安排人员培训与训练，并对工厂邻近地区开展公众教育、培训和发布有关信息</w:t>
                  </w:r>
                </w:p>
              </w:tc>
            </w:tr>
            <w:tr w14:paraId="775E83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shd w:val="clear" w:color="auto" w:fill="auto"/>
                  <w:vAlign w:val="center"/>
                </w:tcPr>
                <w:p w14:paraId="65B66D04">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14</w:t>
                  </w:r>
                </w:p>
              </w:tc>
              <w:tc>
                <w:tcPr>
                  <w:tcW w:w="1152" w:type="dxa"/>
                  <w:shd w:val="clear" w:color="auto" w:fill="auto"/>
                  <w:vAlign w:val="center"/>
                </w:tcPr>
                <w:p w14:paraId="2281180F">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保障措施</w:t>
                  </w:r>
                </w:p>
              </w:tc>
              <w:tc>
                <w:tcPr>
                  <w:tcW w:w="6312" w:type="dxa"/>
                  <w:shd w:val="clear" w:color="auto" w:fill="auto"/>
                  <w:vAlign w:val="center"/>
                </w:tcPr>
                <w:p w14:paraId="4D84B69D">
                  <w:pPr>
                    <w:pStyle w:val="24"/>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建立信息通信系统和维护方案，明确各类应急响应的人力资源，明确应急物资装备以及应急专项经费，并应明确技术、医疗、后勤、交通运输的保障</w:t>
                  </w:r>
                </w:p>
              </w:tc>
            </w:tr>
          </w:tbl>
          <w:p w14:paraId="7FEB40E5">
            <w:pPr>
              <w:keepNext w:val="0"/>
              <w:keepLines w:val="0"/>
              <w:pageBreakBefore w:val="0"/>
              <w:widowControl w:val="0"/>
              <w:kinsoku/>
              <w:wordWrap/>
              <w:overflowPunct/>
              <w:topLinePunct w:val="0"/>
              <w:autoSpaceDE/>
              <w:autoSpaceDN/>
              <w:bidi w:val="0"/>
              <w:adjustRightInd/>
              <w:snapToGrid/>
              <w:spacing w:before="0" w:beforeLines="0"/>
              <w:textAlignment w:val="auto"/>
              <w:rPr>
                <w:b/>
                <w:bCs/>
                <w:color w:val="auto"/>
                <w:highlight w:val="none"/>
              </w:rPr>
            </w:pPr>
            <w:r>
              <w:rPr>
                <w:rFonts w:hint="eastAsia"/>
                <w:b/>
                <w:bCs/>
                <w:color w:val="auto"/>
                <w:highlight w:val="none"/>
                <w:lang w:val="en-US" w:eastAsia="zh-CN"/>
              </w:rPr>
              <w:t>7.4</w:t>
            </w:r>
            <w:r>
              <w:rPr>
                <w:rFonts w:hint="eastAsia"/>
                <w:b/>
                <w:bCs/>
                <w:color w:val="auto"/>
                <w:highlight w:val="none"/>
              </w:rPr>
              <w:t>小结</w:t>
            </w:r>
          </w:p>
          <w:p w14:paraId="65C9655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highlight w:val="none"/>
              </w:rPr>
            </w:pPr>
            <w:r>
              <w:rPr>
                <w:rFonts w:hint="eastAsia"/>
                <w:color w:val="auto"/>
                <w:highlight w:val="none"/>
              </w:rPr>
              <w:t>综上所述，针对项目存在的环境风险，本次评价进行了简要的分析，并在此基础上提出了相应的风险防范措施和事故风险应急预案，项目在运营期认真执行各项防范措施等，可以将环境风险降到最低，本项目的环境风险是可以接受的。</w:t>
            </w:r>
          </w:p>
          <w:p w14:paraId="616C25DA">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highlight w:val="none"/>
              </w:rPr>
            </w:pPr>
          </w:p>
          <w:p w14:paraId="28BFB56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highlight w:val="none"/>
              </w:rPr>
            </w:pPr>
          </w:p>
          <w:p w14:paraId="608F52B2">
            <w:pPr>
              <w:keepNext w:val="0"/>
              <w:keepLines w:val="0"/>
              <w:pageBreakBefore w:val="0"/>
              <w:widowControl w:val="0"/>
              <w:kinsoku/>
              <w:wordWrap/>
              <w:overflowPunct/>
              <w:topLinePunct w:val="0"/>
              <w:autoSpaceDE/>
              <w:autoSpaceDN/>
              <w:bidi w:val="0"/>
              <w:adjustRightInd/>
              <w:snapToGrid/>
              <w:spacing w:before="0" w:beforeLines="0"/>
              <w:textAlignment w:val="auto"/>
              <w:rPr>
                <w:rFonts w:hint="default"/>
                <w:b/>
                <w:bCs/>
                <w:color w:val="auto"/>
                <w:highlight w:val="none"/>
              </w:rPr>
            </w:pPr>
            <w:r>
              <w:rPr>
                <w:b/>
                <w:bCs/>
                <w:color w:val="auto"/>
                <w:highlight w:val="none"/>
              </w:rPr>
              <w:t>8运输对沿途敏感目标的环境的影响</w:t>
            </w:r>
          </w:p>
          <w:p w14:paraId="75644DA7">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本项目仅贮存本单位产生的危险废物，由各回收地点收集转运至本项目</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。本项目属于厂区内部转运，总体原则为：综合考虑厂区的实际情况确定转运路线，尽量避开办公区和生活区。</w:t>
            </w:r>
          </w:p>
          <w:p w14:paraId="2403FB74">
            <w:pPr>
              <w:keepNext w:val="0"/>
              <w:keepLines w:val="0"/>
              <w:pageBreakBefore w:val="0"/>
              <w:widowControl w:val="0"/>
              <w:kinsoku/>
              <w:wordWrap/>
              <w:overflowPunct/>
              <w:topLinePunct w:val="0"/>
              <w:autoSpaceDE/>
              <w:autoSpaceDN/>
              <w:bidi w:val="0"/>
              <w:adjustRightInd/>
              <w:snapToGrid/>
              <w:spacing w:before="0" w:beforeLines="0"/>
              <w:textAlignment w:val="auto"/>
              <w:rPr>
                <w:rFonts w:hint="default"/>
                <w:b/>
                <w:bCs/>
                <w:color w:val="auto"/>
                <w:highlight w:val="none"/>
              </w:rPr>
            </w:pPr>
            <w:r>
              <w:rPr>
                <w:b/>
                <w:bCs/>
                <w:color w:val="auto"/>
                <w:highlight w:val="none"/>
              </w:rPr>
              <w:t>9生态影响分析</w:t>
            </w:r>
          </w:p>
          <w:p w14:paraId="3FBF1B3B">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hint="eastAsia"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本项目位于北票发电有限责任公司厂区内，不新增用地。不涉及生态环境保护目标，不开展生态环境影响评价。</w:t>
            </w:r>
          </w:p>
          <w:p w14:paraId="7461EE81">
            <w:pPr>
              <w:pStyle w:val="13"/>
              <w:autoSpaceDE w:val="0"/>
              <w:autoSpaceDN w:val="0"/>
              <w:adjustRightInd w:val="0"/>
              <w:snapToGrid w:val="0"/>
              <w:spacing w:before="0" w:beforeLines="0"/>
              <w:ind w:firstLine="480" w:firstLineChars="200"/>
              <w:rPr>
                <w:rFonts w:hint="eastAsia" w:ascii="Times New Roman" w:hAnsi="Times New Roman" w:eastAsia="Times New Roman" w:cs="Times New Roman"/>
                <w:b/>
                <w:bCs/>
                <w:color w:val="auto"/>
                <w:kern w:val="44"/>
                <w:sz w:val="24"/>
                <w:szCs w:val="24"/>
                <w:highlight w:val="none"/>
              </w:rPr>
            </w:pPr>
            <w:r>
              <w:rPr>
                <w:rFonts w:hint="eastAsia" w:ascii="Times New Roman" w:hAnsi="Times New Roman" w:eastAsia="Times New Roman" w:cs="Times New Roman"/>
                <w:b/>
                <w:bCs/>
                <w:color w:val="auto"/>
                <w:kern w:val="44"/>
                <w:sz w:val="24"/>
                <w:szCs w:val="24"/>
                <w:highlight w:val="none"/>
              </w:rPr>
              <w:t>10三本账</w:t>
            </w:r>
          </w:p>
          <w:p w14:paraId="405DF6FE">
            <w:pPr>
              <w:pStyle w:val="25"/>
              <w:bidi w:val="0"/>
              <w:rPr>
                <w:color w:val="auto"/>
                <w:highlight w:val="none"/>
              </w:rPr>
            </w:pPr>
            <w:r>
              <w:rPr>
                <w:rFonts w:hint="eastAsia"/>
                <w:color w:val="auto"/>
                <w:highlight w:val="none"/>
              </w:rPr>
              <w:t>项目“三本账”表</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5"/>
              <w:gridCol w:w="1735"/>
              <w:gridCol w:w="988"/>
              <w:gridCol w:w="826"/>
              <w:gridCol w:w="1153"/>
              <w:gridCol w:w="1662"/>
              <w:gridCol w:w="1164"/>
            </w:tblGrid>
            <w:tr w14:paraId="44A78E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vAlign w:val="center"/>
                </w:tcPr>
                <w:p w14:paraId="6FD949FC">
                  <w:pPr>
                    <w:pStyle w:val="27"/>
                    <w:spacing w:line="240" w:lineRule="auto"/>
                    <w:rPr>
                      <w:rFonts w:hint="default"/>
                      <w:color w:val="auto"/>
                      <w:highlight w:val="none"/>
                    </w:rPr>
                  </w:pPr>
                  <w:r>
                    <w:rPr>
                      <w:rFonts w:eastAsia="宋体"/>
                      <w:b/>
                      <w:color w:val="auto"/>
                      <w:sz w:val="21"/>
                      <w:highlight w:val="none"/>
                    </w:rPr>
                    <w:t>污染因素</w:t>
                  </w:r>
                </w:p>
              </w:tc>
              <w:tc>
                <w:tcPr>
                  <w:tcW w:w="0" w:type="auto"/>
                  <w:vMerge w:val="restart"/>
                  <w:vAlign w:val="center"/>
                </w:tcPr>
                <w:p w14:paraId="7DF82EF8">
                  <w:pPr>
                    <w:pStyle w:val="27"/>
                    <w:spacing w:line="240" w:lineRule="auto"/>
                    <w:rPr>
                      <w:rFonts w:hint="default"/>
                      <w:color w:val="auto"/>
                      <w:highlight w:val="none"/>
                    </w:rPr>
                  </w:pPr>
                  <w:r>
                    <w:rPr>
                      <w:rFonts w:eastAsia="宋体"/>
                      <w:b/>
                      <w:color w:val="auto"/>
                      <w:sz w:val="21"/>
                      <w:highlight w:val="none"/>
                    </w:rPr>
                    <w:t>污染物名称</w:t>
                  </w:r>
                </w:p>
              </w:tc>
              <w:tc>
                <w:tcPr>
                  <w:tcW w:w="0" w:type="auto"/>
                  <w:gridSpan w:val="3"/>
                  <w:vAlign w:val="center"/>
                </w:tcPr>
                <w:p w14:paraId="352EEBFC">
                  <w:pPr>
                    <w:pStyle w:val="27"/>
                    <w:spacing w:line="240" w:lineRule="auto"/>
                    <w:rPr>
                      <w:rFonts w:hint="default" w:eastAsia="宋体"/>
                      <w:b/>
                      <w:color w:val="auto"/>
                      <w:sz w:val="21"/>
                      <w:highlight w:val="none"/>
                    </w:rPr>
                  </w:pPr>
                  <w:r>
                    <w:rPr>
                      <w:rFonts w:eastAsia="宋体"/>
                      <w:b/>
                      <w:color w:val="auto"/>
                      <w:sz w:val="21"/>
                      <w:highlight w:val="none"/>
                    </w:rPr>
                    <w:t>污染物排放量t/a</w:t>
                  </w:r>
                </w:p>
                <w:p w14:paraId="6420012E">
                  <w:pPr>
                    <w:pStyle w:val="27"/>
                    <w:spacing w:line="240" w:lineRule="auto"/>
                    <w:rPr>
                      <w:rFonts w:hint="default"/>
                      <w:color w:val="auto"/>
                      <w:highlight w:val="none"/>
                    </w:rPr>
                  </w:pPr>
                  <w:r>
                    <w:rPr>
                      <w:rFonts w:eastAsia="宋体"/>
                      <w:b/>
                      <w:color w:val="auto"/>
                      <w:sz w:val="21"/>
                      <w:highlight w:val="none"/>
                    </w:rPr>
                    <w:t>（固体废物产生量）</w:t>
                  </w:r>
                </w:p>
              </w:tc>
              <w:tc>
                <w:tcPr>
                  <w:tcW w:w="0" w:type="auto"/>
                  <w:vMerge w:val="restart"/>
                  <w:vAlign w:val="center"/>
                </w:tcPr>
                <w:p w14:paraId="3ADA2B5C">
                  <w:pPr>
                    <w:pStyle w:val="27"/>
                    <w:spacing w:line="240" w:lineRule="auto"/>
                    <w:rPr>
                      <w:rFonts w:hint="default"/>
                      <w:color w:val="auto"/>
                      <w:highlight w:val="none"/>
                    </w:rPr>
                  </w:pPr>
                  <w:r>
                    <w:rPr>
                      <w:rFonts w:eastAsia="宋体"/>
                      <w:b/>
                      <w:color w:val="auto"/>
                      <w:sz w:val="21"/>
                      <w:highlight w:val="none"/>
                    </w:rPr>
                    <w:t>“以新带老”削减量t/a</w:t>
                  </w:r>
                </w:p>
              </w:tc>
              <w:tc>
                <w:tcPr>
                  <w:tcW w:w="0" w:type="auto"/>
                  <w:vMerge w:val="restart"/>
                  <w:vAlign w:val="center"/>
                </w:tcPr>
                <w:p w14:paraId="5EBE469B">
                  <w:pPr>
                    <w:pStyle w:val="27"/>
                    <w:spacing w:line="240" w:lineRule="auto"/>
                    <w:rPr>
                      <w:rFonts w:hint="default"/>
                      <w:color w:val="auto"/>
                      <w:highlight w:val="none"/>
                    </w:rPr>
                  </w:pPr>
                  <w:r>
                    <w:rPr>
                      <w:rFonts w:eastAsia="宋体"/>
                      <w:b/>
                      <w:color w:val="auto"/>
                      <w:sz w:val="21"/>
                      <w:highlight w:val="none"/>
                    </w:rPr>
                    <w:t>增减变化t/a</w:t>
                  </w:r>
                </w:p>
              </w:tc>
            </w:tr>
            <w:tr w14:paraId="0F165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6B130823">
                  <w:pPr>
                    <w:pStyle w:val="27"/>
                    <w:spacing w:line="240" w:lineRule="auto"/>
                    <w:rPr>
                      <w:rFonts w:hint="default"/>
                      <w:color w:val="auto"/>
                      <w:highlight w:val="none"/>
                    </w:rPr>
                  </w:pPr>
                </w:p>
              </w:tc>
              <w:tc>
                <w:tcPr>
                  <w:tcW w:w="0" w:type="auto"/>
                  <w:vMerge w:val="continue"/>
                  <w:vAlign w:val="center"/>
                </w:tcPr>
                <w:p w14:paraId="542C0AAB">
                  <w:pPr>
                    <w:pStyle w:val="27"/>
                    <w:spacing w:line="240" w:lineRule="auto"/>
                    <w:rPr>
                      <w:rFonts w:hint="default"/>
                      <w:color w:val="auto"/>
                      <w:highlight w:val="none"/>
                    </w:rPr>
                  </w:pPr>
                </w:p>
              </w:tc>
              <w:tc>
                <w:tcPr>
                  <w:tcW w:w="0" w:type="auto"/>
                  <w:vAlign w:val="center"/>
                </w:tcPr>
                <w:p w14:paraId="38A227F3">
                  <w:pPr>
                    <w:pStyle w:val="27"/>
                    <w:spacing w:line="240" w:lineRule="auto"/>
                    <w:rPr>
                      <w:rFonts w:hint="default"/>
                      <w:color w:val="auto"/>
                      <w:highlight w:val="none"/>
                    </w:rPr>
                  </w:pPr>
                  <w:r>
                    <w:rPr>
                      <w:rFonts w:eastAsia="宋体"/>
                      <w:b/>
                      <w:color w:val="auto"/>
                      <w:sz w:val="21"/>
                      <w:highlight w:val="none"/>
                    </w:rPr>
                    <w:t>技改前</w:t>
                  </w:r>
                </w:p>
              </w:tc>
              <w:tc>
                <w:tcPr>
                  <w:tcW w:w="0" w:type="auto"/>
                  <w:vAlign w:val="center"/>
                </w:tcPr>
                <w:p w14:paraId="3FE36959">
                  <w:pPr>
                    <w:pStyle w:val="27"/>
                    <w:spacing w:line="240" w:lineRule="auto"/>
                    <w:rPr>
                      <w:rFonts w:hint="default"/>
                      <w:color w:val="auto"/>
                      <w:highlight w:val="none"/>
                    </w:rPr>
                  </w:pPr>
                  <w:r>
                    <w:rPr>
                      <w:rFonts w:eastAsia="宋体"/>
                      <w:b/>
                      <w:color w:val="auto"/>
                      <w:sz w:val="21"/>
                      <w:highlight w:val="none"/>
                    </w:rPr>
                    <w:t>本项目</w:t>
                  </w:r>
                </w:p>
              </w:tc>
              <w:tc>
                <w:tcPr>
                  <w:tcW w:w="0" w:type="auto"/>
                  <w:vAlign w:val="center"/>
                </w:tcPr>
                <w:p w14:paraId="124D4D88">
                  <w:pPr>
                    <w:pStyle w:val="27"/>
                    <w:spacing w:line="240" w:lineRule="auto"/>
                    <w:rPr>
                      <w:rFonts w:hint="default"/>
                      <w:color w:val="auto"/>
                      <w:highlight w:val="none"/>
                    </w:rPr>
                  </w:pPr>
                  <w:r>
                    <w:rPr>
                      <w:rFonts w:eastAsia="宋体"/>
                      <w:b/>
                      <w:color w:val="auto"/>
                      <w:sz w:val="21"/>
                      <w:highlight w:val="none"/>
                    </w:rPr>
                    <w:t>技改后全厂</w:t>
                  </w:r>
                </w:p>
              </w:tc>
              <w:tc>
                <w:tcPr>
                  <w:tcW w:w="0" w:type="auto"/>
                  <w:vMerge w:val="continue"/>
                  <w:vAlign w:val="center"/>
                </w:tcPr>
                <w:p w14:paraId="3AA417D9">
                  <w:pPr>
                    <w:pStyle w:val="27"/>
                    <w:spacing w:line="240" w:lineRule="auto"/>
                    <w:rPr>
                      <w:rFonts w:hint="default"/>
                      <w:color w:val="auto"/>
                      <w:highlight w:val="none"/>
                    </w:rPr>
                  </w:pPr>
                </w:p>
              </w:tc>
              <w:tc>
                <w:tcPr>
                  <w:tcW w:w="0" w:type="auto"/>
                  <w:vMerge w:val="continue"/>
                  <w:vAlign w:val="center"/>
                </w:tcPr>
                <w:p w14:paraId="4433B793">
                  <w:pPr>
                    <w:pStyle w:val="27"/>
                    <w:spacing w:line="240" w:lineRule="auto"/>
                    <w:rPr>
                      <w:rFonts w:hint="default"/>
                      <w:color w:val="auto"/>
                      <w:highlight w:val="none"/>
                    </w:rPr>
                  </w:pPr>
                </w:p>
              </w:tc>
            </w:tr>
            <w:tr w14:paraId="3B410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vAlign w:val="center"/>
                </w:tcPr>
                <w:p w14:paraId="6625BBFB">
                  <w:pPr>
                    <w:pStyle w:val="24"/>
                    <w:spacing w:line="240" w:lineRule="auto"/>
                    <w:ind w:firstLine="0" w:firstLineChars="0"/>
                    <w:rPr>
                      <w:color w:val="auto"/>
                      <w:highlight w:val="none"/>
                    </w:rPr>
                  </w:pPr>
                  <w:r>
                    <w:rPr>
                      <w:rFonts w:hint="eastAsia" w:ascii="Times New Roman" w:hAnsi="Times New Roman" w:eastAsia="宋体" w:cs="Times New Roman"/>
                      <w:color w:val="auto"/>
                      <w:sz w:val="21"/>
                      <w:szCs w:val="21"/>
                      <w:highlight w:val="none"/>
                      <w:lang w:eastAsia="zh-CN"/>
                    </w:rPr>
                    <w:t>废气</w:t>
                  </w:r>
                </w:p>
              </w:tc>
              <w:tc>
                <w:tcPr>
                  <w:tcW w:w="0" w:type="auto"/>
                  <w:shd w:val="clear" w:color="auto" w:fill="auto"/>
                  <w:vAlign w:val="center"/>
                </w:tcPr>
                <w:p w14:paraId="50A97648">
                  <w:pPr>
                    <w:pStyle w:val="24"/>
                    <w:spacing w:line="240" w:lineRule="auto"/>
                    <w:ind w:firstLine="0" w:firstLineChars="0"/>
                    <w:rPr>
                      <w:color w:val="auto"/>
                      <w:highlight w:val="none"/>
                    </w:rPr>
                  </w:pPr>
                  <w:r>
                    <w:rPr>
                      <w:rFonts w:hint="eastAsia" w:ascii="Times New Roman" w:hAnsi="Times New Roman" w:eastAsia="宋体" w:cs="Times New Roman"/>
                      <w:color w:val="auto"/>
                      <w:sz w:val="21"/>
                      <w:szCs w:val="21"/>
                      <w:highlight w:val="none"/>
                      <w:lang w:val="en-US" w:eastAsia="zh-CN"/>
                    </w:rPr>
                    <w:t>烟尘</w:t>
                  </w:r>
                </w:p>
              </w:tc>
              <w:tc>
                <w:tcPr>
                  <w:tcW w:w="0" w:type="auto"/>
                  <w:shd w:val="clear" w:color="auto" w:fill="auto"/>
                  <w:vAlign w:val="center"/>
                </w:tcPr>
                <w:p w14:paraId="102B89CB">
                  <w:pPr>
                    <w:pStyle w:val="24"/>
                    <w:spacing w:line="240" w:lineRule="auto"/>
                    <w:ind w:firstLine="0" w:firstLineChars="0"/>
                    <w:rPr>
                      <w:rFonts w:hint="default" w:eastAsiaTheme="minorEastAsia"/>
                      <w:color w:val="auto"/>
                      <w:highlight w:val="none"/>
                      <w:lang w:val="en-US" w:eastAsia="zh-CN"/>
                    </w:rPr>
                  </w:pPr>
                  <w:r>
                    <w:rPr>
                      <w:rFonts w:ascii="Times New Roman" w:hAnsi="Times New Roman" w:eastAsia="宋体" w:cs="Times New Roman"/>
                      <w:color w:val="auto"/>
                      <w:spacing w:val="-1"/>
                      <w:sz w:val="21"/>
                      <w:szCs w:val="21"/>
                      <w:highlight w:val="none"/>
                    </w:rPr>
                    <w:t>48.2749</w:t>
                  </w:r>
                </w:p>
              </w:tc>
              <w:tc>
                <w:tcPr>
                  <w:tcW w:w="0" w:type="auto"/>
                  <w:shd w:val="clear" w:color="auto" w:fill="auto"/>
                  <w:vAlign w:val="center"/>
                </w:tcPr>
                <w:p w14:paraId="7151D7DB">
                  <w:pPr>
                    <w:pStyle w:val="24"/>
                    <w:spacing w:line="240" w:lineRule="auto"/>
                    <w:rPr>
                      <w:rFonts w:hint="default" w:eastAsiaTheme="minorEastAsia"/>
                      <w:color w:val="auto"/>
                      <w:highlight w:val="none"/>
                      <w:lang w:val="en-US" w:eastAsia="zh-CN"/>
                    </w:rPr>
                  </w:pPr>
                  <w:r>
                    <w:rPr>
                      <w:rFonts w:hint="eastAsia"/>
                      <w:color w:val="auto"/>
                      <w:highlight w:val="none"/>
                      <w:lang w:val="en-US" w:eastAsia="zh-CN"/>
                    </w:rPr>
                    <w:t>-</w:t>
                  </w:r>
                </w:p>
              </w:tc>
              <w:tc>
                <w:tcPr>
                  <w:tcW w:w="0" w:type="auto"/>
                  <w:shd w:val="clear" w:color="auto" w:fill="auto"/>
                  <w:vAlign w:val="center"/>
                </w:tcPr>
                <w:p w14:paraId="6BD2E5B7">
                  <w:pPr>
                    <w:pStyle w:val="24"/>
                    <w:spacing w:line="240" w:lineRule="auto"/>
                    <w:ind w:firstLine="0" w:firstLineChars="0"/>
                    <w:rPr>
                      <w:rFonts w:hint="default" w:eastAsiaTheme="minorEastAsia"/>
                      <w:b/>
                      <w:bCs/>
                      <w:color w:val="auto"/>
                      <w:highlight w:val="none"/>
                      <w:lang w:val="en-US" w:eastAsia="zh-CN"/>
                    </w:rPr>
                  </w:pPr>
                  <w:r>
                    <w:rPr>
                      <w:rFonts w:ascii="Times New Roman" w:hAnsi="Times New Roman" w:eastAsia="宋体" w:cs="Times New Roman"/>
                      <w:color w:val="auto"/>
                      <w:spacing w:val="-1"/>
                      <w:sz w:val="21"/>
                      <w:szCs w:val="21"/>
                      <w:highlight w:val="none"/>
                    </w:rPr>
                    <w:t>48.2749</w:t>
                  </w:r>
                </w:p>
              </w:tc>
              <w:tc>
                <w:tcPr>
                  <w:tcW w:w="0" w:type="auto"/>
                  <w:shd w:val="clear" w:color="auto" w:fill="auto"/>
                  <w:vAlign w:val="center"/>
                </w:tcPr>
                <w:p w14:paraId="14C392BF">
                  <w:pPr>
                    <w:pStyle w:val="24"/>
                    <w:spacing w:line="240" w:lineRule="auto"/>
                    <w:ind w:firstLine="0" w:firstLineChars="0"/>
                    <w:rPr>
                      <w:rFonts w:hint="eastAsia" w:eastAsiaTheme="minorEastAsia"/>
                      <w:color w:val="auto"/>
                      <w:highlight w:val="none"/>
                      <w:lang w:eastAsia="zh-CN"/>
                    </w:rPr>
                  </w:pPr>
                  <w:r>
                    <w:rPr>
                      <w:rFonts w:hint="eastAsia"/>
                      <w:color w:val="auto"/>
                      <w:highlight w:val="none"/>
                      <w:lang w:val="en-US" w:eastAsia="zh-CN"/>
                    </w:rPr>
                    <w:t>-</w:t>
                  </w:r>
                </w:p>
              </w:tc>
              <w:tc>
                <w:tcPr>
                  <w:tcW w:w="0" w:type="auto"/>
                  <w:shd w:val="clear" w:color="auto" w:fill="auto"/>
                  <w:vAlign w:val="center"/>
                </w:tcPr>
                <w:p w14:paraId="2DE16734">
                  <w:pPr>
                    <w:pStyle w:val="24"/>
                    <w:spacing w:line="240" w:lineRule="auto"/>
                    <w:ind w:firstLine="0" w:firstLineChars="0"/>
                    <w:rPr>
                      <w:rFonts w:hint="default" w:eastAsiaTheme="minorEastAsia"/>
                      <w:color w:val="auto"/>
                      <w:highlight w:val="none"/>
                      <w:lang w:val="en-US" w:eastAsia="zh-CN"/>
                    </w:rPr>
                  </w:pPr>
                  <w:r>
                    <w:rPr>
                      <w:rFonts w:hint="eastAsia"/>
                      <w:color w:val="auto"/>
                      <w:highlight w:val="none"/>
                      <w:lang w:val="en-US" w:eastAsia="zh-CN"/>
                    </w:rPr>
                    <w:t>-</w:t>
                  </w:r>
                </w:p>
              </w:tc>
            </w:tr>
            <w:tr w14:paraId="02B4AE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1A15BFAB">
                  <w:pPr>
                    <w:pStyle w:val="24"/>
                    <w:spacing w:line="240" w:lineRule="auto"/>
                    <w:ind w:firstLine="0" w:firstLineChars="0"/>
                    <w:rPr>
                      <w:rFonts w:hint="eastAsia"/>
                      <w:color w:val="auto"/>
                      <w:highlight w:val="none"/>
                    </w:rPr>
                  </w:pPr>
                </w:p>
              </w:tc>
              <w:tc>
                <w:tcPr>
                  <w:tcW w:w="0" w:type="auto"/>
                  <w:shd w:val="clear" w:color="auto" w:fill="auto"/>
                  <w:vAlign w:val="center"/>
                </w:tcPr>
                <w:p w14:paraId="452ACC3E">
                  <w:pPr>
                    <w:pStyle w:val="24"/>
                    <w:spacing w:line="240" w:lineRule="auto"/>
                    <w:ind w:firstLine="0" w:firstLineChars="0"/>
                    <w:rPr>
                      <w:rFonts w:hint="eastAsia" w:eastAsia="宋体"/>
                      <w:color w:val="auto"/>
                      <w:highlight w:val="none"/>
                      <w:lang w:val="en-US" w:eastAsia="zh-CN"/>
                    </w:rPr>
                  </w:pPr>
                  <w:r>
                    <w:rPr>
                      <w:rFonts w:ascii="Times New Roman" w:hAnsi="Times New Roman" w:eastAsia="宋体" w:cs="Times New Roman"/>
                      <w:color w:val="auto"/>
                      <w:spacing w:val="-4"/>
                      <w:sz w:val="21"/>
                      <w:szCs w:val="21"/>
                      <w:highlight w:val="none"/>
                    </w:rPr>
                    <w:t>SO</w:t>
                  </w:r>
                  <w:r>
                    <w:rPr>
                      <w:rFonts w:hint="eastAsia" w:ascii="Times New Roman" w:hAnsi="Times New Roman" w:eastAsia="宋体" w:cs="Times New Roman"/>
                      <w:color w:val="auto"/>
                      <w:spacing w:val="-4"/>
                      <w:sz w:val="21"/>
                      <w:szCs w:val="21"/>
                      <w:highlight w:val="none"/>
                      <w:vertAlign w:val="subscript"/>
                      <w:lang w:val="en-US" w:eastAsia="zh-CN"/>
                    </w:rPr>
                    <w:t>2</w:t>
                  </w:r>
                </w:p>
              </w:tc>
              <w:tc>
                <w:tcPr>
                  <w:tcW w:w="0" w:type="auto"/>
                  <w:shd w:val="clear" w:color="auto" w:fill="auto"/>
                  <w:vAlign w:val="center"/>
                </w:tcPr>
                <w:p w14:paraId="38E0C42A">
                  <w:pPr>
                    <w:pStyle w:val="24"/>
                    <w:spacing w:line="240" w:lineRule="auto"/>
                    <w:ind w:firstLine="0" w:firstLineChars="0"/>
                    <w:rPr>
                      <w:rFonts w:hint="eastAsia"/>
                      <w:color w:val="auto"/>
                      <w:highlight w:val="none"/>
                      <w:lang w:val="en-US" w:eastAsia="zh-CN"/>
                    </w:rPr>
                  </w:pPr>
                  <w:r>
                    <w:rPr>
                      <w:rFonts w:ascii="Times New Roman" w:hAnsi="Times New Roman" w:eastAsia="宋体" w:cs="Times New Roman"/>
                      <w:color w:val="auto"/>
                      <w:spacing w:val="-3"/>
                      <w:sz w:val="21"/>
                      <w:szCs w:val="21"/>
                      <w:highlight w:val="none"/>
                    </w:rPr>
                    <w:t>169.6608</w:t>
                  </w:r>
                </w:p>
              </w:tc>
              <w:tc>
                <w:tcPr>
                  <w:tcW w:w="0" w:type="auto"/>
                  <w:shd w:val="clear" w:color="auto" w:fill="auto"/>
                  <w:vAlign w:val="center"/>
                </w:tcPr>
                <w:p w14:paraId="684188C9">
                  <w:pPr>
                    <w:pStyle w:val="24"/>
                    <w:spacing w:line="240" w:lineRule="auto"/>
                    <w:rPr>
                      <w:rFonts w:hint="default"/>
                      <w:color w:val="auto"/>
                      <w:highlight w:val="none"/>
                      <w:lang w:val="en-US" w:eastAsia="zh-CN"/>
                    </w:rPr>
                  </w:pPr>
                  <w:r>
                    <w:rPr>
                      <w:rFonts w:hint="eastAsia"/>
                      <w:color w:val="auto"/>
                      <w:highlight w:val="none"/>
                      <w:lang w:val="en-US" w:eastAsia="zh-CN"/>
                    </w:rPr>
                    <w:t>-</w:t>
                  </w:r>
                </w:p>
              </w:tc>
              <w:tc>
                <w:tcPr>
                  <w:tcW w:w="0" w:type="auto"/>
                  <w:shd w:val="clear" w:color="auto" w:fill="auto"/>
                  <w:vAlign w:val="center"/>
                </w:tcPr>
                <w:p w14:paraId="312B997D">
                  <w:pPr>
                    <w:pStyle w:val="24"/>
                    <w:spacing w:line="240" w:lineRule="auto"/>
                    <w:ind w:firstLine="0" w:firstLineChars="0"/>
                    <w:rPr>
                      <w:rFonts w:hint="eastAsia"/>
                      <w:color w:val="auto"/>
                      <w:highlight w:val="none"/>
                      <w:lang w:val="en-US" w:eastAsia="zh-CN"/>
                    </w:rPr>
                  </w:pPr>
                  <w:r>
                    <w:rPr>
                      <w:rFonts w:ascii="Times New Roman" w:hAnsi="Times New Roman" w:eastAsia="宋体" w:cs="Times New Roman"/>
                      <w:color w:val="auto"/>
                      <w:spacing w:val="-3"/>
                      <w:sz w:val="21"/>
                      <w:szCs w:val="21"/>
                      <w:highlight w:val="none"/>
                    </w:rPr>
                    <w:t>169.6608</w:t>
                  </w:r>
                </w:p>
              </w:tc>
              <w:tc>
                <w:tcPr>
                  <w:tcW w:w="0" w:type="auto"/>
                  <w:shd w:val="clear" w:color="auto" w:fill="auto"/>
                  <w:vAlign w:val="center"/>
                </w:tcPr>
                <w:p w14:paraId="3DA8B124">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w:t>
                  </w:r>
                </w:p>
              </w:tc>
              <w:tc>
                <w:tcPr>
                  <w:tcW w:w="0" w:type="auto"/>
                  <w:shd w:val="clear" w:color="auto" w:fill="auto"/>
                  <w:vAlign w:val="center"/>
                </w:tcPr>
                <w:p w14:paraId="284A8DBE">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w:t>
                  </w:r>
                </w:p>
              </w:tc>
            </w:tr>
            <w:tr w14:paraId="3B12AF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04352B6A">
                  <w:pPr>
                    <w:pStyle w:val="24"/>
                    <w:spacing w:line="240" w:lineRule="auto"/>
                    <w:ind w:firstLine="0" w:firstLineChars="0"/>
                    <w:rPr>
                      <w:rFonts w:hint="eastAsia"/>
                      <w:color w:val="auto"/>
                      <w:highlight w:val="none"/>
                    </w:rPr>
                  </w:pPr>
                </w:p>
              </w:tc>
              <w:tc>
                <w:tcPr>
                  <w:tcW w:w="0" w:type="auto"/>
                  <w:shd w:val="clear" w:color="auto" w:fill="auto"/>
                  <w:vAlign w:val="center"/>
                </w:tcPr>
                <w:p w14:paraId="24322D79">
                  <w:pPr>
                    <w:pStyle w:val="24"/>
                    <w:spacing w:line="240" w:lineRule="auto"/>
                    <w:ind w:firstLine="0" w:firstLineChars="0"/>
                    <w:rPr>
                      <w:rFonts w:hint="eastAsia"/>
                      <w:color w:val="auto"/>
                      <w:highlight w:val="none"/>
                    </w:rPr>
                  </w:pPr>
                  <w:r>
                    <w:rPr>
                      <w:rFonts w:ascii="Times New Roman" w:hAnsi="Times New Roman" w:eastAsia="宋体" w:cs="Times New Roman"/>
                      <w:color w:val="auto"/>
                      <w:spacing w:val="-1"/>
                      <w:sz w:val="21"/>
                      <w:szCs w:val="21"/>
                      <w:highlight w:val="none"/>
                    </w:rPr>
                    <w:t>NOx</w:t>
                  </w:r>
                </w:p>
              </w:tc>
              <w:tc>
                <w:tcPr>
                  <w:tcW w:w="0" w:type="auto"/>
                  <w:shd w:val="clear" w:color="auto" w:fill="auto"/>
                  <w:vAlign w:val="center"/>
                </w:tcPr>
                <w:p w14:paraId="35AF538A">
                  <w:pPr>
                    <w:pStyle w:val="24"/>
                    <w:spacing w:line="240" w:lineRule="auto"/>
                    <w:ind w:firstLine="0" w:firstLineChars="0"/>
                    <w:rPr>
                      <w:rFonts w:hint="eastAsia"/>
                      <w:color w:val="auto"/>
                      <w:highlight w:val="none"/>
                      <w:lang w:val="en-US" w:eastAsia="zh-CN"/>
                    </w:rPr>
                  </w:pPr>
                  <w:r>
                    <w:rPr>
                      <w:rFonts w:ascii="Times New Roman" w:hAnsi="Times New Roman" w:eastAsia="宋体" w:cs="Times New Roman"/>
                      <w:color w:val="auto"/>
                      <w:spacing w:val="-2"/>
                      <w:sz w:val="21"/>
                      <w:szCs w:val="21"/>
                      <w:highlight w:val="none"/>
                    </w:rPr>
                    <w:t>229.8088</w:t>
                  </w:r>
                </w:p>
              </w:tc>
              <w:tc>
                <w:tcPr>
                  <w:tcW w:w="0" w:type="auto"/>
                  <w:shd w:val="clear" w:color="auto" w:fill="auto"/>
                  <w:vAlign w:val="center"/>
                </w:tcPr>
                <w:p w14:paraId="229046C7">
                  <w:pPr>
                    <w:pStyle w:val="24"/>
                    <w:spacing w:line="240" w:lineRule="auto"/>
                    <w:rPr>
                      <w:rFonts w:hint="default"/>
                      <w:color w:val="auto"/>
                      <w:highlight w:val="none"/>
                      <w:lang w:val="en-US" w:eastAsia="zh-CN"/>
                    </w:rPr>
                  </w:pPr>
                  <w:r>
                    <w:rPr>
                      <w:rFonts w:hint="eastAsia"/>
                      <w:color w:val="auto"/>
                      <w:highlight w:val="none"/>
                      <w:lang w:val="en-US" w:eastAsia="zh-CN"/>
                    </w:rPr>
                    <w:t>-</w:t>
                  </w:r>
                </w:p>
              </w:tc>
              <w:tc>
                <w:tcPr>
                  <w:tcW w:w="0" w:type="auto"/>
                  <w:shd w:val="clear" w:color="auto" w:fill="auto"/>
                  <w:vAlign w:val="center"/>
                </w:tcPr>
                <w:p w14:paraId="2A686DC9">
                  <w:pPr>
                    <w:pStyle w:val="24"/>
                    <w:spacing w:line="240" w:lineRule="auto"/>
                    <w:ind w:firstLine="0" w:firstLineChars="0"/>
                    <w:rPr>
                      <w:rFonts w:hint="eastAsia"/>
                      <w:color w:val="auto"/>
                      <w:highlight w:val="none"/>
                      <w:lang w:val="en-US" w:eastAsia="zh-CN"/>
                    </w:rPr>
                  </w:pPr>
                  <w:r>
                    <w:rPr>
                      <w:rFonts w:ascii="Times New Roman" w:hAnsi="Times New Roman" w:eastAsia="宋体" w:cs="Times New Roman"/>
                      <w:color w:val="auto"/>
                      <w:spacing w:val="-2"/>
                      <w:sz w:val="21"/>
                      <w:szCs w:val="21"/>
                      <w:highlight w:val="none"/>
                    </w:rPr>
                    <w:t>229.8088</w:t>
                  </w:r>
                </w:p>
              </w:tc>
              <w:tc>
                <w:tcPr>
                  <w:tcW w:w="0" w:type="auto"/>
                  <w:shd w:val="clear" w:color="auto" w:fill="auto"/>
                  <w:vAlign w:val="center"/>
                </w:tcPr>
                <w:p w14:paraId="20A9EB07">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w:t>
                  </w:r>
                </w:p>
              </w:tc>
              <w:tc>
                <w:tcPr>
                  <w:tcW w:w="0" w:type="auto"/>
                  <w:shd w:val="clear" w:color="auto" w:fill="auto"/>
                  <w:vAlign w:val="center"/>
                </w:tcPr>
                <w:p w14:paraId="158600F6">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w:t>
                  </w:r>
                </w:p>
              </w:tc>
            </w:tr>
            <w:tr w14:paraId="30315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1A141B9C">
                  <w:pPr>
                    <w:pStyle w:val="24"/>
                    <w:spacing w:line="240" w:lineRule="auto"/>
                    <w:ind w:firstLine="0" w:firstLineChars="0"/>
                    <w:rPr>
                      <w:rFonts w:hint="eastAsia"/>
                      <w:color w:val="auto"/>
                      <w:highlight w:val="none"/>
                    </w:rPr>
                  </w:pPr>
                </w:p>
              </w:tc>
              <w:tc>
                <w:tcPr>
                  <w:tcW w:w="0" w:type="auto"/>
                  <w:shd w:val="clear" w:color="auto" w:fill="auto"/>
                  <w:vAlign w:val="center"/>
                </w:tcPr>
                <w:p w14:paraId="408762C8">
                  <w:pPr>
                    <w:pStyle w:val="24"/>
                    <w:spacing w:line="240" w:lineRule="auto"/>
                    <w:ind w:firstLine="0" w:firstLineChars="0"/>
                    <w:rPr>
                      <w:rFonts w:hint="eastAsia" w:ascii="Times New Roman" w:hAnsi="Times New Roman" w:eastAsia="宋体" w:cs="Times New Roman"/>
                      <w:color w:val="auto"/>
                      <w:spacing w:val="-1"/>
                      <w:sz w:val="21"/>
                      <w:szCs w:val="21"/>
                      <w:highlight w:val="none"/>
                      <w:lang w:eastAsia="zh-CN"/>
                    </w:rPr>
                  </w:pPr>
                  <w:r>
                    <w:rPr>
                      <w:rFonts w:hint="eastAsia" w:ascii="Times New Roman" w:hAnsi="Times New Roman" w:eastAsia="宋体" w:cs="Times New Roman"/>
                      <w:color w:val="auto"/>
                      <w:spacing w:val="-1"/>
                      <w:sz w:val="21"/>
                      <w:szCs w:val="21"/>
                      <w:highlight w:val="none"/>
                      <w:lang w:eastAsia="zh-CN"/>
                    </w:rPr>
                    <w:t>非甲烷总烃</w:t>
                  </w:r>
                </w:p>
              </w:tc>
              <w:tc>
                <w:tcPr>
                  <w:tcW w:w="0" w:type="auto"/>
                  <w:shd w:val="clear" w:color="auto" w:fill="auto"/>
                  <w:vAlign w:val="center"/>
                </w:tcPr>
                <w:p w14:paraId="01D539D2">
                  <w:pPr>
                    <w:pStyle w:val="24"/>
                    <w:spacing w:line="240" w:lineRule="auto"/>
                    <w:ind w:firstLine="0" w:firstLineChars="0"/>
                    <w:rPr>
                      <w:rFonts w:hint="eastAsia" w:ascii="Times New Roman" w:hAnsi="Times New Roman" w:eastAsia="宋体" w:cs="Times New Roman"/>
                      <w:color w:val="auto"/>
                      <w:spacing w:val="-2"/>
                      <w:sz w:val="21"/>
                      <w:szCs w:val="21"/>
                      <w:highlight w:val="none"/>
                      <w:lang w:val="en-US" w:eastAsia="zh-CN"/>
                    </w:rPr>
                  </w:pPr>
                  <w:r>
                    <w:rPr>
                      <w:rFonts w:hint="eastAsia" w:ascii="Times New Roman" w:hAnsi="Times New Roman" w:eastAsia="宋体" w:cs="Times New Roman"/>
                      <w:color w:val="auto"/>
                      <w:spacing w:val="-2"/>
                      <w:sz w:val="21"/>
                      <w:szCs w:val="21"/>
                      <w:highlight w:val="none"/>
                      <w:lang w:val="en-US" w:eastAsia="zh-CN"/>
                    </w:rPr>
                    <w:t>-</w:t>
                  </w:r>
                </w:p>
              </w:tc>
              <w:tc>
                <w:tcPr>
                  <w:tcW w:w="0" w:type="auto"/>
                  <w:shd w:val="clear" w:color="auto" w:fill="auto"/>
                  <w:vAlign w:val="center"/>
                </w:tcPr>
                <w:p w14:paraId="5BB149B7">
                  <w:pPr>
                    <w:pStyle w:val="24"/>
                    <w:spacing w:line="240" w:lineRule="auto"/>
                    <w:rPr>
                      <w:rFonts w:hint="default"/>
                      <w:color w:val="auto"/>
                      <w:highlight w:val="none"/>
                      <w:lang w:val="en-US" w:eastAsia="zh-CN"/>
                    </w:rPr>
                  </w:pPr>
                  <w:r>
                    <w:rPr>
                      <w:rFonts w:hint="eastAsia"/>
                      <w:color w:val="auto"/>
                      <w:highlight w:val="none"/>
                      <w:lang w:val="en-US" w:eastAsia="zh-CN"/>
                    </w:rPr>
                    <w:t>0.0016</w:t>
                  </w:r>
                </w:p>
              </w:tc>
              <w:tc>
                <w:tcPr>
                  <w:tcW w:w="0" w:type="auto"/>
                  <w:shd w:val="clear" w:color="auto" w:fill="auto"/>
                  <w:vAlign w:val="center"/>
                </w:tcPr>
                <w:p w14:paraId="620D7A75">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0" w:type="auto"/>
                  <w:shd w:val="clear" w:color="auto" w:fill="auto"/>
                  <w:vAlign w:val="center"/>
                </w:tcPr>
                <w:p w14:paraId="040AC938">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w:t>
                  </w:r>
                </w:p>
              </w:tc>
              <w:tc>
                <w:tcPr>
                  <w:tcW w:w="0" w:type="auto"/>
                  <w:shd w:val="clear" w:color="auto" w:fill="auto"/>
                  <w:vAlign w:val="center"/>
                </w:tcPr>
                <w:p w14:paraId="04CD5118">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+0.0016</w:t>
                  </w:r>
                </w:p>
              </w:tc>
            </w:tr>
            <w:tr w14:paraId="2D418E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restart"/>
                  <w:vAlign w:val="center"/>
                </w:tcPr>
                <w:p w14:paraId="329AE6AC">
                  <w:pPr>
                    <w:pStyle w:val="24"/>
                    <w:spacing w:line="240" w:lineRule="auto"/>
                    <w:ind w:firstLine="0" w:firstLineChars="0"/>
                    <w:rPr>
                      <w:rFonts w:hint="eastAsia"/>
                      <w:color w:val="auto"/>
                      <w:highlight w:val="none"/>
                    </w:rPr>
                  </w:pPr>
                  <w:r>
                    <w:rPr>
                      <w:rFonts w:hint="eastAsia" w:ascii="Times New Roman" w:hAnsi="Times New Roman" w:eastAsia="宋体" w:cs="Times New Roman"/>
                      <w:color w:val="auto"/>
                      <w:sz w:val="21"/>
                      <w:szCs w:val="21"/>
                      <w:highlight w:val="none"/>
                      <w:lang w:eastAsia="zh-CN"/>
                    </w:rPr>
                    <w:t>固体废物</w:t>
                  </w:r>
                </w:p>
              </w:tc>
              <w:tc>
                <w:tcPr>
                  <w:tcW w:w="0" w:type="auto"/>
                  <w:shd w:val="clear" w:color="auto" w:fill="auto"/>
                  <w:vAlign w:val="center"/>
                </w:tcPr>
                <w:p w14:paraId="5ECA86C4">
                  <w:pPr>
                    <w:pStyle w:val="24"/>
                    <w:spacing w:line="240" w:lineRule="auto"/>
                    <w:ind w:firstLine="0" w:firstLineChars="0"/>
                    <w:rPr>
                      <w:rFonts w:ascii="Times New Roman" w:hAnsi="Times New Roman" w:eastAsia="宋体" w:cs="Times New Roman"/>
                      <w:color w:val="auto"/>
                      <w:spacing w:val="3"/>
                      <w:sz w:val="21"/>
                      <w:szCs w:val="21"/>
                      <w:highlight w:val="none"/>
                    </w:rPr>
                  </w:pPr>
                  <w:r>
                    <w:rPr>
                      <w:rFonts w:ascii="Times New Roman" w:hAnsi="Times New Roman" w:eastAsia="宋体" w:cs="Times New Roman"/>
                      <w:color w:val="auto"/>
                      <w:spacing w:val="3"/>
                      <w:sz w:val="21"/>
                      <w:szCs w:val="21"/>
                      <w:highlight w:val="none"/>
                    </w:rPr>
                    <w:t>脱硫石膏</w:t>
                  </w:r>
                </w:p>
              </w:tc>
              <w:tc>
                <w:tcPr>
                  <w:tcW w:w="0" w:type="auto"/>
                  <w:shd w:val="clear" w:color="auto" w:fill="auto"/>
                  <w:vAlign w:val="center"/>
                </w:tcPr>
                <w:p w14:paraId="0A72B54B">
                  <w:pPr>
                    <w:pStyle w:val="24"/>
                    <w:spacing w:line="240" w:lineRule="auto"/>
                    <w:ind w:firstLine="0" w:firstLineChars="0"/>
                    <w:rPr>
                      <w:rFonts w:ascii="Times New Roman" w:hAnsi="Times New Roman" w:eastAsia="宋体" w:cs="Times New Roman"/>
                      <w:color w:val="auto"/>
                      <w:spacing w:val="-4"/>
                      <w:sz w:val="21"/>
                      <w:szCs w:val="21"/>
                      <w:highlight w:val="none"/>
                    </w:rPr>
                  </w:pPr>
                  <w:r>
                    <w:rPr>
                      <w:rFonts w:hint="eastAsia" w:ascii="Times New Roman" w:hAnsi="Times New Roman" w:eastAsia="宋体" w:cs="Times New Roman"/>
                      <w:color w:val="auto"/>
                      <w:spacing w:val="-4"/>
                      <w:sz w:val="21"/>
                      <w:szCs w:val="21"/>
                      <w:highlight w:val="none"/>
                    </w:rPr>
                    <w:t>6148.29</w:t>
                  </w:r>
                </w:p>
              </w:tc>
              <w:tc>
                <w:tcPr>
                  <w:tcW w:w="0" w:type="auto"/>
                  <w:shd w:val="clear" w:color="auto" w:fill="auto"/>
                  <w:vAlign w:val="center"/>
                </w:tcPr>
                <w:p w14:paraId="6517A132">
                  <w:pPr>
                    <w:pStyle w:val="24"/>
                    <w:spacing w:line="240" w:lineRule="auto"/>
                    <w:rPr>
                      <w:rFonts w:hint="eastAsia"/>
                      <w:color w:val="auto"/>
                      <w:highlight w:val="none"/>
                      <w:lang w:val="en-US" w:eastAsia="zh-CN"/>
                    </w:rPr>
                  </w:pPr>
                </w:p>
              </w:tc>
              <w:tc>
                <w:tcPr>
                  <w:tcW w:w="1153" w:type="dxa"/>
                  <w:shd w:val="clear" w:color="auto" w:fill="auto"/>
                  <w:vAlign w:val="center"/>
                </w:tcPr>
                <w:p w14:paraId="4BEFBBEC">
                  <w:pPr>
                    <w:pStyle w:val="24"/>
                    <w:spacing w:line="240" w:lineRule="auto"/>
                    <w:ind w:firstLine="0" w:firstLineChars="0"/>
                    <w:rPr>
                      <w:rFonts w:ascii="Times New Roman" w:hAnsi="Times New Roman" w:eastAsia="宋体" w:cs="Times New Roman"/>
                      <w:color w:val="auto"/>
                      <w:spacing w:val="-4"/>
                      <w:sz w:val="21"/>
                      <w:szCs w:val="21"/>
                      <w:highlight w:val="none"/>
                    </w:rPr>
                  </w:pPr>
                  <w:r>
                    <w:rPr>
                      <w:rFonts w:hint="eastAsia" w:ascii="Times New Roman" w:hAnsi="Times New Roman" w:eastAsia="宋体" w:cs="Times New Roman"/>
                      <w:color w:val="auto"/>
                      <w:spacing w:val="-4"/>
                      <w:sz w:val="21"/>
                      <w:szCs w:val="21"/>
                      <w:highlight w:val="none"/>
                    </w:rPr>
                    <w:t>6148.29</w:t>
                  </w:r>
                </w:p>
              </w:tc>
              <w:tc>
                <w:tcPr>
                  <w:tcW w:w="0" w:type="auto"/>
                  <w:shd w:val="clear" w:color="auto" w:fill="auto"/>
                  <w:vAlign w:val="center"/>
                </w:tcPr>
                <w:p w14:paraId="21DCF080">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w:t>
                  </w:r>
                </w:p>
              </w:tc>
              <w:tc>
                <w:tcPr>
                  <w:tcW w:w="0" w:type="auto"/>
                  <w:shd w:val="clear" w:color="auto" w:fill="auto"/>
                  <w:vAlign w:val="center"/>
                </w:tcPr>
                <w:p w14:paraId="446659DE">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w:t>
                  </w:r>
                </w:p>
              </w:tc>
            </w:tr>
            <w:tr w14:paraId="43B6E5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0F775FCC">
                  <w:pPr>
                    <w:pStyle w:val="24"/>
                    <w:spacing w:line="240" w:lineRule="auto"/>
                    <w:ind w:firstLine="0" w:firstLineChars="0"/>
                    <w:rPr>
                      <w:rFonts w:hint="eastAsia"/>
                      <w:color w:val="auto"/>
                      <w:highlight w:val="none"/>
                    </w:rPr>
                  </w:pPr>
                </w:p>
              </w:tc>
              <w:tc>
                <w:tcPr>
                  <w:tcW w:w="0" w:type="auto"/>
                  <w:shd w:val="clear" w:color="auto" w:fill="auto"/>
                  <w:vAlign w:val="center"/>
                </w:tcPr>
                <w:p w14:paraId="28FDC162">
                  <w:pPr>
                    <w:pStyle w:val="24"/>
                    <w:spacing w:line="240" w:lineRule="auto"/>
                    <w:ind w:firstLine="0" w:firstLineChars="0"/>
                    <w:rPr>
                      <w:rFonts w:hint="eastAsia"/>
                      <w:color w:val="auto"/>
                      <w:highlight w:val="none"/>
                    </w:rPr>
                  </w:pPr>
                  <w:r>
                    <w:rPr>
                      <w:rFonts w:hint="eastAsia"/>
                      <w:color w:val="auto"/>
                      <w:highlight w:val="none"/>
                    </w:rPr>
                    <w:t>除尘灰</w:t>
                  </w:r>
                </w:p>
              </w:tc>
              <w:tc>
                <w:tcPr>
                  <w:tcW w:w="0" w:type="auto"/>
                  <w:shd w:val="clear" w:color="auto" w:fill="auto"/>
                  <w:vAlign w:val="center"/>
                </w:tcPr>
                <w:p w14:paraId="78C63145">
                  <w:pPr>
                    <w:pStyle w:val="24"/>
                    <w:spacing w:line="240" w:lineRule="auto"/>
                    <w:ind w:firstLine="0" w:firstLineChars="0"/>
                    <w:rPr>
                      <w:rFonts w:hint="eastAsia"/>
                      <w:color w:val="auto"/>
                      <w:highlight w:val="none"/>
                      <w:lang w:val="en-US" w:eastAsia="zh-CN"/>
                    </w:rPr>
                  </w:pPr>
                  <w:r>
                    <w:rPr>
                      <w:rFonts w:hint="eastAsia" w:ascii="Times New Roman" w:hAnsi="Times New Roman" w:eastAsia="宋体" w:cs="Times New Roman"/>
                      <w:color w:val="auto"/>
                      <w:spacing w:val="-4"/>
                      <w:sz w:val="21"/>
                      <w:szCs w:val="21"/>
                      <w:highlight w:val="none"/>
                    </w:rPr>
                    <w:t>52619.56</w:t>
                  </w:r>
                </w:p>
              </w:tc>
              <w:tc>
                <w:tcPr>
                  <w:tcW w:w="0" w:type="auto"/>
                  <w:shd w:val="clear" w:color="auto" w:fill="auto"/>
                  <w:vAlign w:val="center"/>
                </w:tcPr>
                <w:p w14:paraId="117B6BC7">
                  <w:pPr>
                    <w:pStyle w:val="24"/>
                    <w:spacing w:line="240" w:lineRule="auto"/>
                    <w:rPr>
                      <w:rFonts w:hint="default"/>
                      <w:color w:val="auto"/>
                      <w:highlight w:val="none"/>
                      <w:lang w:val="en-US" w:eastAsia="zh-CN"/>
                    </w:rPr>
                  </w:pPr>
                  <w:r>
                    <w:rPr>
                      <w:rFonts w:hint="eastAsia"/>
                      <w:color w:val="auto"/>
                      <w:highlight w:val="none"/>
                      <w:lang w:val="en-US" w:eastAsia="zh-CN"/>
                    </w:rPr>
                    <w:t>-</w:t>
                  </w:r>
                </w:p>
              </w:tc>
              <w:tc>
                <w:tcPr>
                  <w:tcW w:w="1153" w:type="dxa"/>
                  <w:shd w:val="clear" w:color="auto" w:fill="auto"/>
                  <w:vAlign w:val="center"/>
                </w:tcPr>
                <w:p w14:paraId="0657B174">
                  <w:pPr>
                    <w:pStyle w:val="24"/>
                    <w:spacing w:line="240" w:lineRule="auto"/>
                    <w:ind w:firstLine="0" w:firstLineChars="0"/>
                    <w:rPr>
                      <w:rFonts w:hint="eastAsia"/>
                      <w:color w:val="auto"/>
                      <w:highlight w:val="none"/>
                      <w:lang w:val="en-US" w:eastAsia="zh-CN"/>
                    </w:rPr>
                  </w:pPr>
                  <w:r>
                    <w:rPr>
                      <w:rFonts w:hint="eastAsia" w:ascii="Times New Roman" w:hAnsi="Times New Roman" w:eastAsia="宋体" w:cs="Times New Roman"/>
                      <w:color w:val="auto"/>
                      <w:spacing w:val="-4"/>
                      <w:sz w:val="21"/>
                      <w:szCs w:val="21"/>
                      <w:highlight w:val="none"/>
                    </w:rPr>
                    <w:t>52619.56</w:t>
                  </w:r>
                </w:p>
              </w:tc>
              <w:tc>
                <w:tcPr>
                  <w:tcW w:w="0" w:type="auto"/>
                  <w:shd w:val="clear" w:color="auto" w:fill="auto"/>
                  <w:vAlign w:val="center"/>
                </w:tcPr>
                <w:p w14:paraId="341F0DA5">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w:t>
                  </w:r>
                </w:p>
              </w:tc>
              <w:tc>
                <w:tcPr>
                  <w:tcW w:w="0" w:type="auto"/>
                  <w:shd w:val="clear" w:color="auto" w:fill="auto"/>
                  <w:vAlign w:val="center"/>
                </w:tcPr>
                <w:p w14:paraId="6393AFAB">
                  <w:pPr>
                    <w:pStyle w:val="24"/>
                    <w:spacing w:line="240" w:lineRule="auto"/>
                    <w:ind w:firstLine="0" w:firstLineChars="0"/>
                    <w:rPr>
                      <w:rFonts w:hint="eastAsia"/>
                      <w:color w:val="auto"/>
                      <w:highlight w:val="none"/>
                      <w:lang w:val="en-US" w:eastAsia="zh-CN"/>
                    </w:rPr>
                  </w:pPr>
                  <w:r>
                    <w:rPr>
                      <w:rFonts w:hint="eastAsia"/>
                      <w:color w:val="auto"/>
                      <w:highlight w:val="none"/>
                      <w:lang w:val="en-US" w:eastAsia="zh-CN"/>
                    </w:rPr>
                    <w:t>-</w:t>
                  </w:r>
                </w:p>
              </w:tc>
            </w:tr>
            <w:tr w14:paraId="17AAD5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492DB44E">
                  <w:pPr>
                    <w:pStyle w:val="24"/>
                    <w:spacing w:line="240" w:lineRule="auto"/>
                    <w:ind w:firstLine="0" w:firstLineChars="0"/>
                    <w:rPr>
                      <w:color w:val="auto"/>
                      <w:highlight w:val="none"/>
                    </w:rPr>
                  </w:pPr>
                </w:p>
              </w:tc>
              <w:tc>
                <w:tcPr>
                  <w:tcW w:w="0" w:type="auto"/>
                  <w:vAlign w:val="center"/>
                </w:tcPr>
                <w:p w14:paraId="796AEFE5">
                  <w:pPr>
                    <w:pStyle w:val="24"/>
                    <w:spacing w:line="240" w:lineRule="auto"/>
                    <w:ind w:firstLine="0" w:firstLineChars="0"/>
                    <w:rPr>
                      <w:color w:val="auto"/>
                      <w:highlight w:val="none"/>
                    </w:rPr>
                  </w:pPr>
                  <w:r>
                    <w:rPr>
                      <w:rFonts w:hint="eastAsia" w:ascii="Times New Roman" w:hAnsi="Times New Roman" w:eastAsia="宋体" w:cs="Times New Roman"/>
                      <w:color w:val="auto"/>
                      <w:spacing w:val="2"/>
                      <w:sz w:val="21"/>
                      <w:szCs w:val="21"/>
                      <w:highlight w:val="none"/>
                    </w:rPr>
                    <w:t>炉渣</w:t>
                  </w:r>
                </w:p>
              </w:tc>
              <w:tc>
                <w:tcPr>
                  <w:tcW w:w="0" w:type="auto"/>
                  <w:shd w:val="clear" w:color="auto" w:fill="auto"/>
                  <w:vAlign w:val="center"/>
                </w:tcPr>
                <w:p w14:paraId="1682230C">
                  <w:pPr>
                    <w:pStyle w:val="24"/>
                    <w:spacing w:line="240" w:lineRule="auto"/>
                    <w:ind w:firstLine="0" w:firstLineChars="0"/>
                    <w:rPr>
                      <w:rFonts w:hint="default" w:eastAsiaTheme="minorEastAsia"/>
                      <w:color w:val="auto"/>
                      <w:highlight w:val="none"/>
                      <w:lang w:val="en-US" w:eastAsia="zh-CN"/>
                    </w:rPr>
                  </w:pPr>
                  <w:r>
                    <w:rPr>
                      <w:rFonts w:hint="eastAsia" w:ascii="Times New Roman" w:hAnsi="Times New Roman" w:eastAsia="宋体" w:cs="Times New Roman"/>
                      <w:color w:val="auto"/>
                      <w:spacing w:val="-2"/>
                      <w:sz w:val="21"/>
                      <w:szCs w:val="21"/>
                      <w:highlight w:val="none"/>
                    </w:rPr>
                    <w:t>29806.94</w:t>
                  </w:r>
                </w:p>
              </w:tc>
              <w:tc>
                <w:tcPr>
                  <w:tcW w:w="0" w:type="auto"/>
                  <w:shd w:val="clear" w:color="auto" w:fill="auto"/>
                  <w:vAlign w:val="center"/>
                </w:tcPr>
                <w:p w14:paraId="19874AC5">
                  <w:pPr>
                    <w:pStyle w:val="24"/>
                    <w:spacing w:line="240" w:lineRule="auto"/>
                    <w:rPr>
                      <w:color w:val="auto"/>
                      <w:highlight w:val="none"/>
                    </w:rPr>
                  </w:pPr>
                  <w:r>
                    <w:rPr>
                      <w:rFonts w:hint="eastAsia"/>
                      <w:color w:val="auto"/>
                      <w:highlight w:val="none"/>
                    </w:rPr>
                    <w:t>-</w:t>
                  </w:r>
                </w:p>
              </w:tc>
              <w:tc>
                <w:tcPr>
                  <w:tcW w:w="1153" w:type="dxa"/>
                  <w:shd w:val="clear" w:color="auto" w:fill="auto"/>
                  <w:vAlign w:val="center"/>
                </w:tcPr>
                <w:p w14:paraId="764C1F03">
                  <w:pPr>
                    <w:pStyle w:val="24"/>
                    <w:spacing w:line="240" w:lineRule="auto"/>
                    <w:ind w:firstLine="0" w:firstLineChars="0"/>
                    <w:rPr>
                      <w:color w:val="auto"/>
                      <w:highlight w:val="none"/>
                    </w:rPr>
                  </w:pPr>
                  <w:r>
                    <w:rPr>
                      <w:rFonts w:hint="eastAsia" w:ascii="Times New Roman" w:hAnsi="Times New Roman" w:eastAsia="宋体" w:cs="Times New Roman"/>
                      <w:color w:val="auto"/>
                      <w:spacing w:val="-2"/>
                      <w:sz w:val="21"/>
                      <w:szCs w:val="21"/>
                      <w:highlight w:val="none"/>
                    </w:rPr>
                    <w:t>29806.94</w:t>
                  </w:r>
                </w:p>
              </w:tc>
              <w:tc>
                <w:tcPr>
                  <w:tcW w:w="0" w:type="auto"/>
                  <w:vAlign w:val="center"/>
                </w:tcPr>
                <w:p w14:paraId="614E9FD0">
                  <w:pPr>
                    <w:pStyle w:val="24"/>
                    <w:spacing w:line="240" w:lineRule="auto"/>
                    <w:ind w:firstLine="0" w:firstLineChars="0"/>
                    <w:rPr>
                      <w:color w:val="auto"/>
                      <w:highlight w:val="none"/>
                    </w:rPr>
                  </w:pPr>
                  <w:r>
                    <w:rPr>
                      <w:rFonts w:hint="eastAsia"/>
                      <w:color w:val="auto"/>
                      <w:highlight w:val="none"/>
                      <w:lang w:val="en-US" w:eastAsia="zh-CN"/>
                    </w:rPr>
                    <w:t>-</w:t>
                  </w:r>
                </w:p>
              </w:tc>
              <w:tc>
                <w:tcPr>
                  <w:tcW w:w="0" w:type="auto"/>
                  <w:vAlign w:val="center"/>
                </w:tcPr>
                <w:p w14:paraId="2055D3CB">
                  <w:pPr>
                    <w:pStyle w:val="24"/>
                    <w:spacing w:line="240" w:lineRule="auto"/>
                    <w:ind w:firstLine="0" w:firstLineChars="0"/>
                    <w:rPr>
                      <w:color w:val="auto"/>
                      <w:highlight w:val="none"/>
                    </w:rPr>
                  </w:pPr>
                  <w:r>
                    <w:rPr>
                      <w:rFonts w:hint="eastAsia"/>
                      <w:color w:val="auto"/>
                      <w:highlight w:val="none"/>
                      <w:lang w:val="en-US" w:eastAsia="zh-CN"/>
                    </w:rPr>
                    <w:t>-</w:t>
                  </w:r>
                </w:p>
              </w:tc>
            </w:tr>
            <w:tr w14:paraId="10CD96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0FCAD021">
                  <w:pPr>
                    <w:pStyle w:val="24"/>
                    <w:spacing w:line="240" w:lineRule="auto"/>
                    <w:ind w:firstLine="0" w:firstLineChars="0"/>
                    <w:rPr>
                      <w:color w:val="auto"/>
                      <w:highlight w:val="none"/>
                    </w:rPr>
                  </w:pPr>
                </w:p>
              </w:tc>
              <w:tc>
                <w:tcPr>
                  <w:tcW w:w="0" w:type="auto"/>
                  <w:vAlign w:val="center"/>
                </w:tcPr>
                <w:p w14:paraId="729F3C6E">
                  <w:pPr>
                    <w:pStyle w:val="24"/>
                    <w:spacing w:line="240" w:lineRule="auto"/>
                    <w:ind w:firstLine="0" w:firstLineChars="0"/>
                    <w:rPr>
                      <w:rFonts w:hint="eastAsia" w:eastAsiaTheme="minorEastAsia"/>
                      <w:color w:val="auto"/>
                      <w:highlight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废蓄电池</w:t>
                  </w:r>
                </w:p>
              </w:tc>
              <w:tc>
                <w:tcPr>
                  <w:tcW w:w="0" w:type="auto"/>
                  <w:shd w:val="clear" w:color="auto" w:fill="auto"/>
                  <w:vAlign w:val="center"/>
                </w:tcPr>
                <w:p w14:paraId="61DE3BE0">
                  <w:pPr>
                    <w:pStyle w:val="24"/>
                    <w:spacing w:line="240" w:lineRule="auto"/>
                    <w:ind w:firstLine="0" w:firstLineChars="0"/>
                    <w:rPr>
                      <w:rFonts w:hint="eastAsia" w:eastAsiaTheme="minorEastAsia"/>
                      <w:color w:val="auto"/>
                      <w:highlight w:val="none"/>
                      <w:lang w:eastAsia="zh-CN"/>
                    </w:rPr>
                  </w:pPr>
                  <w:r>
                    <w:rPr>
                      <w:rFonts w:hint="eastAsia"/>
                      <w:color w:val="auto"/>
                      <w:highlight w:val="none"/>
                      <w:shd w:val="clear" w:color="auto" w:fill="auto"/>
                      <w:lang w:val="en-US" w:eastAsia="zh-CN"/>
                    </w:rPr>
                    <w:t>0.52</w:t>
                  </w:r>
                </w:p>
              </w:tc>
              <w:tc>
                <w:tcPr>
                  <w:tcW w:w="0" w:type="auto"/>
                  <w:shd w:val="clear" w:color="auto" w:fill="auto"/>
                  <w:vAlign w:val="center"/>
                </w:tcPr>
                <w:p w14:paraId="25ABDA37">
                  <w:pPr>
                    <w:pStyle w:val="24"/>
                    <w:spacing w:line="240" w:lineRule="auto"/>
                    <w:rPr>
                      <w:color w:val="auto"/>
                      <w:highlight w:val="none"/>
                    </w:rPr>
                  </w:pPr>
                  <w:r>
                    <w:rPr>
                      <w:rFonts w:hint="eastAsia"/>
                      <w:color w:val="auto"/>
                      <w:highlight w:val="none"/>
                    </w:rPr>
                    <w:t>-</w:t>
                  </w:r>
                </w:p>
              </w:tc>
              <w:tc>
                <w:tcPr>
                  <w:tcW w:w="0" w:type="auto"/>
                  <w:shd w:val="clear" w:color="auto" w:fill="auto"/>
                  <w:vAlign w:val="center"/>
                </w:tcPr>
                <w:p w14:paraId="4CDF41A7">
                  <w:pPr>
                    <w:pStyle w:val="24"/>
                    <w:spacing w:line="240" w:lineRule="auto"/>
                    <w:ind w:firstLine="0" w:firstLineChars="0"/>
                    <w:rPr>
                      <w:color w:val="auto"/>
                      <w:highlight w:val="none"/>
                    </w:rPr>
                  </w:pPr>
                  <w:r>
                    <w:rPr>
                      <w:rFonts w:hint="eastAsia"/>
                      <w:color w:val="auto"/>
                      <w:highlight w:val="none"/>
                      <w:shd w:val="clear" w:color="auto" w:fill="auto"/>
                      <w:lang w:val="en-US" w:eastAsia="zh-CN"/>
                    </w:rPr>
                    <w:t>0.52</w:t>
                  </w:r>
                </w:p>
              </w:tc>
              <w:tc>
                <w:tcPr>
                  <w:tcW w:w="0" w:type="auto"/>
                  <w:vAlign w:val="center"/>
                </w:tcPr>
                <w:p w14:paraId="2BE67D0F">
                  <w:pPr>
                    <w:pStyle w:val="24"/>
                    <w:spacing w:line="240" w:lineRule="auto"/>
                    <w:ind w:firstLine="0" w:firstLineChars="0"/>
                    <w:rPr>
                      <w:color w:val="auto"/>
                      <w:highlight w:val="none"/>
                    </w:rPr>
                  </w:pPr>
                  <w:r>
                    <w:rPr>
                      <w:rFonts w:hint="eastAsia"/>
                      <w:color w:val="auto"/>
                      <w:highlight w:val="none"/>
                      <w:lang w:val="en-US" w:eastAsia="zh-CN"/>
                    </w:rPr>
                    <w:t>-</w:t>
                  </w:r>
                </w:p>
              </w:tc>
              <w:tc>
                <w:tcPr>
                  <w:tcW w:w="0" w:type="auto"/>
                  <w:vAlign w:val="center"/>
                </w:tcPr>
                <w:p w14:paraId="445876AD">
                  <w:pPr>
                    <w:pStyle w:val="24"/>
                    <w:spacing w:line="240" w:lineRule="auto"/>
                    <w:ind w:firstLine="0" w:firstLineChars="0"/>
                    <w:rPr>
                      <w:color w:val="auto"/>
                      <w:highlight w:val="none"/>
                    </w:rPr>
                  </w:pPr>
                  <w:r>
                    <w:rPr>
                      <w:rFonts w:hint="eastAsia"/>
                      <w:color w:val="auto"/>
                      <w:highlight w:val="none"/>
                      <w:lang w:val="en-US" w:eastAsia="zh-CN"/>
                    </w:rPr>
                    <w:t>-</w:t>
                  </w:r>
                </w:p>
              </w:tc>
            </w:tr>
            <w:tr w14:paraId="2F4B15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3A175DEC">
                  <w:pPr>
                    <w:pStyle w:val="24"/>
                    <w:spacing w:line="240" w:lineRule="auto"/>
                    <w:ind w:firstLine="0" w:firstLineChars="0"/>
                    <w:rPr>
                      <w:color w:val="auto"/>
                      <w:highlight w:val="none"/>
                    </w:rPr>
                  </w:pPr>
                </w:p>
              </w:tc>
              <w:tc>
                <w:tcPr>
                  <w:tcW w:w="0" w:type="auto"/>
                  <w:vAlign w:val="center"/>
                </w:tcPr>
                <w:p w14:paraId="2D7B079E">
                  <w:pPr>
                    <w:pStyle w:val="24"/>
                    <w:spacing w:line="240" w:lineRule="auto"/>
                    <w:ind w:firstLine="0" w:firstLineChars="0"/>
                    <w:rPr>
                      <w:rFonts w:hint="eastAsia" w:eastAsiaTheme="minorEastAsia"/>
                      <w:color w:val="auto"/>
                      <w:highlight w:val="none"/>
                      <w:lang w:val="en-US" w:eastAsia="zh-CN"/>
                    </w:rPr>
                  </w:pPr>
                  <w:r>
                    <w:rPr>
                      <w:rFonts w:hint="eastAsia" w:ascii="Times New Roman" w:hAnsi="Times New Roman" w:eastAsia="宋体" w:cs="Times New Roman"/>
                      <w:color w:val="auto"/>
                      <w:sz w:val="21"/>
                      <w:szCs w:val="21"/>
                      <w:highlight w:val="none"/>
                      <w:shd w:val="clear" w:color="auto" w:fill="auto"/>
                      <w:lang w:eastAsia="zh-CN"/>
                    </w:rPr>
                    <w:t>废液压油</w:t>
                  </w:r>
                </w:p>
              </w:tc>
              <w:tc>
                <w:tcPr>
                  <w:tcW w:w="0" w:type="auto"/>
                  <w:shd w:val="clear" w:color="auto" w:fill="auto"/>
                  <w:vAlign w:val="center"/>
                </w:tcPr>
                <w:p w14:paraId="63E00CEA">
                  <w:pPr>
                    <w:pStyle w:val="24"/>
                    <w:spacing w:line="240" w:lineRule="auto"/>
                    <w:ind w:firstLine="0" w:firstLineChars="0"/>
                    <w:rPr>
                      <w:rFonts w:hint="default" w:eastAsiaTheme="minorEastAsia"/>
                      <w:color w:val="auto"/>
                      <w:highlight w:val="none"/>
                      <w:lang w:val="en-US" w:eastAsia="zh-CN"/>
                    </w:rPr>
                  </w:pPr>
                  <w:r>
                    <w:rPr>
                      <w:rFonts w:hint="eastAsia"/>
                      <w:color w:val="auto"/>
                      <w:highlight w:val="none"/>
                      <w:shd w:val="clear" w:color="auto" w:fill="auto"/>
                      <w:lang w:val="en-US" w:eastAsia="zh-CN"/>
                    </w:rPr>
                    <w:t>0.2</w:t>
                  </w:r>
                </w:p>
              </w:tc>
              <w:tc>
                <w:tcPr>
                  <w:tcW w:w="0" w:type="auto"/>
                  <w:shd w:val="clear" w:color="auto" w:fill="auto"/>
                  <w:vAlign w:val="center"/>
                </w:tcPr>
                <w:p w14:paraId="255C6904">
                  <w:pPr>
                    <w:pStyle w:val="24"/>
                    <w:spacing w:line="240" w:lineRule="auto"/>
                    <w:rPr>
                      <w:color w:val="auto"/>
                      <w:highlight w:val="none"/>
                    </w:rPr>
                  </w:pPr>
                  <w:r>
                    <w:rPr>
                      <w:rFonts w:hint="eastAsia"/>
                      <w:color w:val="auto"/>
                      <w:highlight w:val="none"/>
                    </w:rPr>
                    <w:t>-</w:t>
                  </w:r>
                </w:p>
              </w:tc>
              <w:tc>
                <w:tcPr>
                  <w:tcW w:w="0" w:type="auto"/>
                  <w:shd w:val="clear" w:color="auto" w:fill="auto"/>
                  <w:vAlign w:val="center"/>
                </w:tcPr>
                <w:p w14:paraId="65358988">
                  <w:pPr>
                    <w:pStyle w:val="24"/>
                    <w:spacing w:line="240" w:lineRule="auto"/>
                    <w:ind w:firstLine="0" w:firstLineChars="0"/>
                    <w:rPr>
                      <w:color w:val="auto"/>
                      <w:highlight w:val="none"/>
                    </w:rPr>
                  </w:pPr>
                  <w:r>
                    <w:rPr>
                      <w:rFonts w:hint="eastAsia"/>
                      <w:color w:val="auto"/>
                      <w:highlight w:val="none"/>
                      <w:shd w:val="clear" w:color="auto" w:fill="auto"/>
                      <w:lang w:val="en-US" w:eastAsia="zh-CN"/>
                    </w:rPr>
                    <w:t>0.2</w:t>
                  </w:r>
                </w:p>
              </w:tc>
              <w:tc>
                <w:tcPr>
                  <w:tcW w:w="0" w:type="auto"/>
                  <w:vAlign w:val="center"/>
                </w:tcPr>
                <w:p w14:paraId="51EA0065">
                  <w:pPr>
                    <w:pStyle w:val="24"/>
                    <w:spacing w:line="240" w:lineRule="auto"/>
                    <w:ind w:firstLine="0" w:firstLineChars="0"/>
                    <w:rPr>
                      <w:color w:val="auto"/>
                      <w:highlight w:val="none"/>
                    </w:rPr>
                  </w:pPr>
                  <w:r>
                    <w:rPr>
                      <w:rFonts w:hint="eastAsia"/>
                      <w:color w:val="auto"/>
                      <w:highlight w:val="none"/>
                      <w:lang w:val="en-US" w:eastAsia="zh-CN"/>
                    </w:rPr>
                    <w:t>-</w:t>
                  </w:r>
                </w:p>
              </w:tc>
              <w:tc>
                <w:tcPr>
                  <w:tcW w:w="0" w:type="auto"/>
                  <w:vAlign w:val="center"/>
                </w:tcPr>
                <w:p w14:paraId="191E024D">
                  <w:pPr>
                    <w:pStyle w:val="24"/>
                    <w:spacing w:line="240" w:lineRule="auto"/>
                    <w:ind w:firstLine="0" w:firstLineChars="0"/>
                    <w:rPr>
                      <w:color w:val="auto"/>
                      <w:highlight w:val="none"/>
                    </w:rPr>
                  </w:pPr>
                  <w:r>
                    <w:rPr>
                      <w:rFonts w:hint="eastAsia"/>
                      <w:color w:val="auto"/>
                      <w:highlight w:val="none"/>
                      <w:lang w:val="en-US" w:eastAsia="zh-CN"/>
                    </w:rPr>
                    <w:t>-</w:t>
                  </w:r>
                </w:p>
              </w:tc>
            </w:tr>
            <w:tr w14:paraId="7DA89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75C64F4D">
                  <w:pPr>
                    <w:pStyle w:val="24"/>
                    <w:spacing w:line="240" w:lineRule="auto"/>
                    <w:ind w:firstLine="0" w:firstLineChars="0"/>
                    <w:rPr>
                      <w:color w:val="auto"/>
                      <w:highlight w:val="none"/>
                    </w:rPr>
                  </w:pPr>
                </w:p>
              </w:tc>
              <w:tc>
                <w:tcPr>
                  <w:tcW w:w="0" w:type="auto"/>
                  <w:vAlign w:val="center"/>
                </w:tcPr>
                <w:p w14:paraId="14FD6F11">
                  <w:pPr>
                    <w:pStyle w:val="24"/>
                    <w:spacing w:line="240" w:lineRule="auto"/>
                    <w:ind w:firstLine="0" w:firstLineChars="0"/>
                    <w:rPr>
                      <w:rFonts w:hint="eastAsia"/>
                      <w:color w:val="auto"/>
                      <w:highlight w:val="none"/>
                      <w:lang w:val="en-US" w:eastAsia="zh-CN"/>
                    </w:rPr>
                  </w:pPr>
                  <w:r>
                    <w:rPr>
                      <w:rFonts w:hint="eastAsia" w:ascii="Times New Roman" w:hAnsi="Times New Roman" w:eastAsia="宋体" w:cs="Times New Roman"/>
                      <w:color w:val="auto"/>
                      <w:sz w:val="21"/>
                      <w:szCs w:val="21"/>
                      <w:highlight w:val="none"/>
                      <w:shd w:val="clear" w:color="auto" w:fill="auto"/>
                      <w:lang w:eastAsia="zh-CN"/>
                    </w:rPr>
                    <w:t>废空压机油、废汽轮机油</w:t>
                  </w:r>
                </w:p>
              </w:tc>
              <w:tc>
                <w:tcPr>
                  <w:tcW w:w="0" w:type="auto"/>
                  <w:shd w:val="clear" w:color="auto" w:fill="auto"/>
                  <w:vAlign w:val="center"/>
                </w:tcPr>
                <w:p w14:paraId="28A68083">
                  <w:pPr>
                    <w:pStyle w:val="24"/>
                    <w:spacing w:line="240" w:lineRule="auto"/>
                    <w:ind w:firstLine="0" w:firstLineChars="0"/>
                    <w:rPr>
                      <w:rFonts w:hint="eastAsia"/>
                      <w:color w:val="auto"/>
                      <w:highlight w:val="none"/>
                      <w:lang w:val="en-US" w:eastAsia="zh-CN"/>
                    </w:rPr>
                  </w:pPr>
                  <w:r>
                    <w:rPr>
                      <w:rFonts w:hint="eastAsia"/>
                      <w:color w:val="auto"/>
                      <w:highlight w:val="none"/>
                      <w:shd w:val="clear" w:color="auto" w:fill="auto"/>
                      <w:lang w:val="en-US" w:eastAsia="zh-CN"/>
                    </w:rPr>
                    <w:t>0.5</w:t>
                  </w:r>
                </w:p>
              </w:tc>
              <w:tc>
                <w:tcPr>
                  <w:tcW w:w="0" w:type="auto"/>
                  <w:shd w:val="clear" w:color="auto" w:fill="auto"/>
                  <w:vAlign w:val="center"/>
                </w:tcPr>
                <w:p w14:paraId="68EC6D38">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w:t>
                  </w:r>
                </w:p>
              </w:tc>
              <w:tc>
                <w:tcPr>
                  <w:tcW w:w="0" w:type="auto"/>
                  <w:shd w:val="clear" w:color="auto" w:fill="auto"/>
                  <w:vAlign w:val="center"/>
                </w:tcPr>
                <w:p w14:paraId="522D4ED1">
                  <w:pPr>
                    <w:pStyle w:val="24"/>
                    <w:spacing w:line="240" w:lineRule="auto"/>
                    <w:ind w:firstLine="0" w:firstLineChars="0"/>
                    <w:rPr>
                      <w:rFonts w:hint="eastAsia"/>
                      <w:color w:val="auto"/>
                      <w:highlight w:val="none"/>
                      <w:lang w:val="en-US" w:eastAsia="zh-CN"/>
                    </w:rPr>
                  </w:pPr>
                  <w:r>
                    <w:rPr>
                      <w:rFonts w:hint="eastAsia"/>
                      <w:color w:val="auto"/>
                      <w:highlight w:val="none"/>
                      <w:shd w:val="clear" w:color="auto" w:fill="auto"/>
                      <w:lang w:val="en-US" w:eastAsia="zh-CN"/>
                    </w:rPr>
                    <w:t>0.5</w:t>
                  </w:r>
                </w:p>
              </w:tc>
              <w:tc>
                <w:tcPr>
                  <w:tcW w:w="0" w:type="auto"/>
                  <w:vAlign w:val="center"/>
                </w:tcPr>
                <w:p w14:paraId="1C0706E9">
                  <w:pPr>
                    <w:pStyle w:val="24"/>
                    <w:spacing w:line="240" w:lineRule="auto"/>
                    <w:ind w:firstLine="0" w:firstLineChars="0"/>
                    <w:rPr>
                      <w:rFonts w:hint="eastAsia"/>
                      <w:color w:val="auto"/>
                      <w:highlight w:val="none"/>
                    </w:rPr>
                  </w:pPr>
                  <w:r>
                    <w:rPr>
                      <w:rFonts w:hint="eastAsia"/>
                      <w:color w:val="auto"/>
                      <w:highlight w:val="none"/>
                      <w:lang w:val="en-US" w:eastAsia="zh-CN"/>
                    </w:rPr>
                    <w:t>-</w:t>
                  </w:r>
                </w:p>
              </w:tc>
              <w:tc>
                <w:tcPr>
                  <w:tcW w:w="0" w:type="auto"/>
                  <w:vAlign w:val="center"/>
                </w:tcPr>
                <w:p w14:paraId="66F288D1">
                  <w:pPr>
                    <w:pStyle w:val="24"/>
                    <w:spacing w:line="240" w:lineRule="auto"/>
                    <w:ind w:firstLine="0" w:firstLineChars="0"/>
                    <w:rPr>
                      <w:rFonts w:hint="eastAsia"/>
                      <w:color w:val="auto"/>
                      <w:highlight w:val="none"/>
                    </w:rPr>
                  </w:pPr>
                  <w:r>
                    <w:rPr>
                      <w:rFonts w:hint="eastAsia"/>
                      <w:color w:val="auto"/>
                      <w:highlight w:val="none"/>
                      <w:lang w:val="en-US" w:eastAsia="zh-CN"/>
                    </w:rPr>
                    <w:t>-</w:t>
                  </w:r>
                </w:p>
              </w:tc>
            </w:tr>
            <w:tr w14:paraId="4E3870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1189A7C9">
                  <w:pPr>
                    <w:pStyle w:val="24"/>
                    <w:spacing w:line="240" w:lineRule="auto"/>
                    <w:ind w:firstLine="0" w:firstLineChars="0"/>
                    <w:rPr>
                      <w:color w:val="auto"/>
                      <w:highlight w:val="none"/>
                    </w:rPr>
                  </w:pPr>
                </w:p>
              </w:tc>
              <w:tc>
                <w:tcPr>
                  <w:tcW w:w="0" w:type="auto"/>
                  <w:vAlign w:val="center"/>
                </w:tcPr>
                <w:p w14:paraId="51631DC2">
                  <w:pPr>
                    <w:pStyle w:val="24"/>
                    <w:spacing w:line="240" w:lineRule="auto"/>
                    <w:ind w:firstLine="0" w:firstLineChars="0"/>
                    <w:rPr>
                      <w:rFonts w:hint="eastAsia"/>
                      <w:color w:val="auto"/>
                      <w:highlight w:val="none"/>
                      <w:lang w:val="en-US" w:eastAsia="zh-CN"/>
                    </w:rPr>
                  </w:pPr>
                  <w:r>
                    <w:rPr>
                      <w:rFonts w:hint="eastAsia" w:ascii="Times New Roman" w:hAnsi="Times New Roman" w:eastAsia="宋体" w:cs="Times New Roman"/>
                      <w:color w:val="auto"/>
                      <w:sz w:val="21"/>
                      <w:szCs w:val="21"/>
                      <w:highlight w:val="none"/>
                      <w:shd w:val="clear" w:color="auto" w:fill="auto"/>
                      <w:lang w:eastAsia="zh-CN"/>
                    </w:rPr>
                    <w:t>废变压器油</w:t>
                  </w:r>
                </w:p>
              </w:tc>
              <w:tc>
                <w:tcPr>
                  <w:tcW w:w="0" w:type="auto"/>
                  <w:shd w:val="clear" w:color="auto" w:fill="auto"/>
                  <w:vAlign w:val="center"/>
                </w:tcPr>
                <w:p w14:paraId="02439600">
                  <w:pPr>
                    <w:pStyle w:val="24"/>
                    <w:spacing w:line="240" w:lineRule="auto"/>
                    <w:ind w:firstLine="0" w:firstLineChars="0"/>
                    <w:rPr>
                      <w:rFonts w:hint="eastAsia"/>
                      <w:color w:val="auto"/>
                      <w:highlight w:val="none"/>
                      <w:lang w:val="en-US" w:eastAsia="zh-CN"/>
                    </w:rPr>
                  </w:pPr>
                  <w:r>
                    <w:rPr>
                      <w:rFonts w:hint="eastAsia"/>
                      <w:color w:val="auto"/>
                      <w:highlight w:val="none"/>
                      <w:shd w:val="clear" w:color="auto" w:fill="auto"/>
                      <w:lang w:val="en-US" w:eastAsia="zh-CN"/>
                    </w:rPr>
                    <w:t>0.5</w:t>
                  </w:r>
                </w:p>
              </w:tc>
              <w:tc>
                <w:tcPr>
                  <w:tcW w:w="0" w:type="auto"/>
                  <w:shd w:val="clear" w:color="auto" w:fill="auto"/>
                  <w:vAlign w:val="center"/>
                </w:tcPr>
                <w:p w14:paraId="77A9CA43">
                  <w:pPr>
                    <w:pStyle w:val="24"/>
                    <w:spacing w:line="240" w:lineRule="auto"/>
                    <w:rPr>
                      <w:rFonts w:hint="eastAsia" w:eastAsiaTheme="minorEastAsia"/>
                      <w:color w:val="auto"/>
                      <w:highlight w:val="none"/>
                      <w:lang w:val="en-US" w:eastAsia="zh-CN"/>
                    </w:rPr>
                  </w:pPr>
                  <w:r>
                    <w:rPr>
                      <w:rFonts w:hint="eastAsia"/>
                      <w:color w:val="auto"/>
                      <w:highlight w:val="none"/>
                      <w:lang w:val="en-US" w:eastAsia="zh-CN"/>
                    </w:rPr>
                    <w:t>-</w:t>
                  </w:r>
                </w:p>
              </w:tc>
              <w:tc>
                <w:tcPr>
                  <w:tcW w:w="0" w:type="auto"/>
                  <w:shd w:val="clear" w:color="auto" w:fill="auto"/>
                  <w:vAlign w:val="center"/>
                </w:tcPr>
                <w:p w14:paraId="0B739036">
                  <w:pPr>
                    <w:pStyle w:val="24"/>
                    <w:spacing w:line="240" w:lineRule="auto"/>
                    <w:ind w:firstLine="0" w:firstLineChars="0"/>
                    <w:rPr>
                      <w:rFonts w:hint="eastAsia"/>
                      <w:color w:val="auto"/>
                      <w:highlight w:val="none"/>
                      <w:lang w:val="en-US" w:eastAsia="zh-CN"/>
                    </w:rPr>
                  </w:pPr>
                  <w:r>
                    <w:rPr>
                      <w:rFonts w:hint="eastAsia"/>
                      <w:color w:val="auto"/>
                      <w:highlight w:val="none"/>
                      <w:shd w:val="clear" w:color="auto" w:fill="auto"/>
                      <w:lang w:val="en-US" w:eastAsia="zh-CN"/>
                    </w:rPr>
                    <w:t>0.5</w:t>
                  </w:r>
                </w:p>
              </w:tc>
              <w:tc>
                <w:tcPr>
                  <w:tcW w:w="0" w:type="auto"/>
                  <w:vAlign w:val="center"/>
                </w:tcPr>
                <w:p w14:paraId="53A12C13">
                  <w:pPr>
                    <w:pStyle w:val="24"/>
                    <w:spacing w:line="240" w:lineRule="auto"/>
                    <w:ind w:firstLine="0" w:firstLineChars="0"/>
                    <w:rPr>
                      <w:rFonts w:hint="eastAsia"/>
                      <w:color w:val="auto"/>
                      <w:highlight w:val="none"/>
                    </w:rPr>
                  </w:pPr>
                  <w:r>
                    <w:rPr>
                      <w:rFonts w:hint="eastAsia"/>
                      <w:color w:val="auto"/>
                      <w:highlight w:val="none"/>
                      <w:lang w:val="en-US" w:eastAsia="zh-CN"/>
                    </w:rPr>
                    <w:t>-</w:t>
                  </w:r>
                </w:p>
              </w:tc>
              <w:tc>
                <w:tcPr>
                  <w:tcW w:w="0" w:type="auto"/>
                  <w:vAlign w:val="center"/>
                </w:tcPr>
                <w:p w14:paraId="280D3223">
                  <w:pPr>
                    <w:pStyle w:val="24"/>
                    <w:spacing w:line="240" w:lineRule="auto"/>
                    <w:ind w:firstLine="0" w:firstLineChars="0"/>
                    <w:rPr>
                      <w:rFonts w:hint="eastAsia"/>
                      <w:color w:val="auto"/>
                      <w:highlight w:val="none"/>
                    </w:rPr>
                  </w:pPr>
                  <w:r>
                    <w:rPr>
                      <w:rFonts w:hint="eastAsia"/>
                      <w:color w:val="auto"/>
                      <w:highlight w:val="none"/>
                      <w:lang w:val="en-US" w:eastAsia="zh-CN"/>
                    </w:rPr>
                    <w:t>-</w:t>
                  </w:r>
                </w:p>
              </w:tc>
            </w:tr>
            <w:tr w14:paraId="1AE332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49812496">
                  <w:pPr>
                    <w:pStyle w:val="24"/>
                    <w:spacing w:line="240" w:lineRule="auto"/>
                    <w:ind w:firstLine="0" w:firstLineChars="0"/>
                    <w:rPr>
                      <w:color w:val="auto"/>
                      <w:highlight w:val="none"/>
                    </w:rPr>
                  </w:pPr>
                </w:p>
              </w:tc>
              <w:tc>
                <w:tcPr>
                  <w:tcW w:w="0" w:type="auto"/>
                  <w:vAlign w:val="center"/>
                </w:tcPr>
                <w:p w14:paraId="36A395B1">
                  <w:pPr>
                    <w:pStyle w:val="24"/>
                    <w:spacing w:line="240" w:lineRule="auto"/>
                    <w:ind w:firstLine="0" w:firstLineChars="0"/>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废润滑油</w:t>
                  </w:r>
                </w:p>
              </w:tc>
              <w:tc>
                <w:tcPr>
                  <w:tcW w:w="988" w:type="dxa"/>
                  <w:shd w:val="clear" w:color="auto" w:fill="auto"/>
                  <w:vAlign w:val="center"/>
                </w:tcPr>
                <w:p w14:paraId="103BC067">
                  <w:pPr>
                    <w:pStyle w:val="24"/>
                    <w:spacing w:line="240" w:lineRule="auto"/>
                    <w:ind w:firstLine="0" w:firstLineChars="0"/>
                    <w:rPr>
                      <w:rFonts w:hint="default" w:eastAsia="宋体" w:cs="Times New Roman"/>
                      <w:color w:val="auto"/>
                      <w:sz w:val="21"/>
                      <w:szCs w:val="21"/>
                      <w:highlight w:val="none"/>
                      <w:lang w:val="en-US" w:eastAsia="zh-CN"/>
                    </w:rPr>
                  </w:pPr>
                  <w:r>
                    <w:rPr>
                      <w:rFonts w:hint="eastAsia"/>
                      <w:color w:val="auto"/>
                      <w:highlight w:val="none"/>
                      <w:lang w:val="en-US" w:eastAsia="zh-CN"/>
                    </w:rPr>
                    <w:t>0.1</w:t>
                  </w:r>
                </w:p>
              </w:tc>
              <w:tc>
                <w:tcPr>
                  <w:tcW w:w="826" w:type="dxa"/>
                  <w:shd w:val="clear" w:color="auto" w:fill="auto"/>
                  <w:vAlign w:val="center"/>
                </w:tcPr>
                <w:p w14:paraId="4C6F610A">
                  <w:pPr>
                    <w:pStyle w:val="24"/>
                    <w:spacing w:line="240" w:lineRule="auto"/>
                    <w:ind w:firstLine="0" w:firstLineChars="0"/>
                    <w:rPr>
                      <w:rFonts w:hint="default"/>
                      <w:color w:val="auto"/>
                      <w:highlight w:val="none"/>
                      <w:lang w:val="en-US" w:eastAsia="zh-CN"/>
                    </w:rPr>
                  </w:pPr>
                  <w:r>
                    <w:rPr>
                      <w:rFonts w:hint="eastAsia"/>
                      <w:color w:val="auto"/>
                      <w:highlight w:val="none"/>
                    </w:rPr>
                    <w:t>-</w:t>
                  </w:r>
                </w:p>
              </w:tc>
              <w:tc>
                <w:tcPr>
                  <w:tcW w:w="0" w:type="auto"/>
                  <w:shd w:val="clear" w:color="auto" w:fill="auto"/>
                  <w:vAlign w:val="center"/>
                </w:tcPr>
                <w:p w14:paraId="510F1F71">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0.1</w:t>
                  </w:r>
                </w:p>
              </w:tc>
              <w:tc>
                <w:tcPr>
                  <w:tcW w:w="0" w:type="auto"/>
                  <w:vAlign w:val="center"/>
                </w:tcPr>
                <w:p w14:paraId="1AF514B9">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w:t>
                  </w:r>
                </w:p>
              </w:tc>
              <w:tc>
                <w:tcPr>
                  <w:tcW w:w="1164" w:type="dxa"/>
                  <w:vAlign w:val="center"/>
                </w:tcPr>
                <w:p w14:paraId="508D5ECD">
                  <w:pPr>
                    <w:pStyle w:val="24"/>
                    <w:spacing w:line="240" w:lineRule="auto"/>
                    <w:ind w:firstLine="0" w:firstLineChars="0"/>
                    <w:rPr>
                      <w:rFonts w:hint="eastAsia"/>
                      <w:color w:val="auto"/>
                      <w:highlight w:val="none"/>
                      <w:lang w:val="en-US" w:eastAsia="zh-CN"/>
                    </w:rPr>
                  </w:pPr>
                  <w:r>
                    <w:rPr>
                      <w:rFonts w:hint="eastAsia"/>
                      <w:color w:val="auto"/>
                      <w:highlight w:val="none"/>
                    </w:rPr>
                    <w:t>-</w:t>
                  </w:r>
                </w:p>
              </w:tc>
            </w:tr>
            <w:tr w14:paraId="3C001C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70E8F89C">
                  <w:pPr>
                    <w:pStyle w:val="24"/>
                    <w:spacing w:line="240" w:lineRule="auto"/>
                    <w:ind w:firstLine="0" w:firstLineChars="0"/>
                    <w:rPr>
                      <w:rFonts w:hint="eastAsia" w:ascii="Times New Roman" w:hAnsi="Times New Roman" w:eastAsia="宋体" w:cs="Times New Roman"/>
                      <w:color w:val="auto"/>
                      <w:sz w:val="21"/>
                      <w:szCs w:val="21"/>
                      <w:highlight w:val="none"/>
                      <w:lang w:eastAsia="zh-CN"/>
                    </w:rPr>
                  </w:pPr>
                </w:p>
              </w:tc>
              <w:tc>
                <w:tcPr>
                  <w:tcW w:w="0" w:type="auto"/>
                  <w:vAlign w:val="center"/>
                </w:tcPr>
                <w:p w14:paraId="12EA22F0">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废油桶、废油漆桶</w:t>
                  </w:r>
                </w:p>
              </w:tc>
              <w:tc>
                <w:tcPr>
                  <w:tcW w:w="988" w:type="dxa"/>
                  <w:shd w:val="clear" w:color="auto" w:fill="auto"/>
                  <w:vAlign w:val="center"/>
                </w:tcPr>
                <w:p w14:paraId="749B23DC">
                  <w:pPr>
                    <w:pStyle w:val="24"/>
                    <w:spacing w:line="240" w:lineRule="auto"/>
                    <w:ind w:firstLine="0" w:firstLineChars="0"/>
                    <w:rPr>
                      <w:rFonts w:hint="default" w:ascii="Times New Roman" w:hAnsi="Times New Roman" w:eastAsia="宋体" w:cs="Times New Roman"/>
                      <w:color w:val="auto"/>
                      <w:spacing w:val="-1"/>
                      <w:sz w:val="21"/>
                      <w:szCs w:val="21"/>
                      <w:highlight w:val="none"/>
                      <w:lang w:val="en-US"/>
                    </w:rPr>
                  </w:pPr>
                  <w:r>
                    <w:rPr>
                      <w:rFonts w:hint="eastAsia"/>
                      <w:color w:val="auto"/>
                      <w:highlight w:val="none"/>
                      <w:lang w:val="en-US" w:eastAsia="zh-CN"/>
                    </w:rPr>
                    <w:t>0.68</w:t>
                  </w:r>
                </w:p>
              </w:tc>
              <w:tc>
                <w:tcPr>
                  <w:tcW w:w="826" w:type="dxa"/>
                  <w:shd w:val="clear" w:color="auto" w:fill="auto"/>
                  <w:vAlign w:val="center"/>
                </w:tcPr>
                <w:p w14:paraId="764499E8">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w:t>
                  </w:r>
                </w:p>
              </w:tc>
              <w:tc>
                <w:tcPr>
                  <w:tcW w:w="0" w:type="auto"/>
                  <w:shd w:val="clear" w:color="auto" w:fill="auto"/>
                  <w:vAlign w:val="center"/>
                </w:tcPr>
                <w:p w14:paraId="04C47A60">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0.68</w:t>
                  </w:r>
                </w:p>
              </w:tc>
              <w:tc>
                <w:tcPr>
                  <w:tcW w:w="0" w:type="auto"/>
                  <w:vAlign w:val="center"/>
                </w:tcPr>
                <w:p w14:paraId="0148FCA6">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w:t>
                  </w:r>
                </w:p>
              </w:tc>
              <w:tc>
                <w:tcPr>
                  <w:tcW w:w="1164" w:type="dxa"/>
                  <w:vAlign w:val="center"/>
                </w:tcPr>
                <w:p w14:paraId="077D42F5">
                  <w:pPr>
                    <w:pStyle w:val="24"/>
                    <w:spacing w:line="240" w:lineRule="auto"/>
                    <w:ind w:firstLine="0" w:firstLineChars="0"/>
                    <w:rPr>
                      <w:rFonts w:hint="default" w:eastAsia="宋体" w:cs="Times New Roman"/>
                      <w:color w:val="auto"/>
                      <w:sz w:val="21"/>
                      <w:szCs w:val="21"/>
                      <w:highlight w:val="none"/>
                      <w:lang w:val="en-US" w:eastAsia="zh-CN"/>
                    </w:rPr>
                  </w:pPr>
                  <w:r>
                    <w:rPr>
                      <w:rFonts w:hint="eastAsia"/>
                      <w:color w:val="auto"/>
                      <w:highlight w:val="none"/>
                      <w:lang w:val="en-US" w:eastAsia="zh-CN"/>
                    </w:rPr>
                    <w:t>-</w:t>
                  </w:r>
                </w:p>
              </w:tc>
            </w:tr>
            <w:tr w14:paraId="76ED11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3A3A025B">
                  <w:pPr>
                    <w:pStyle w:val="24"/>
                    <w:spacing w:line="240" w:lineRule="auto"/>
                    <w:ind w:firstLine="0" w:firstLineChars="0"/>
                    <w:rPr>
                      <w:rFonts w:hint="eastAsia" w:ascii="Times New Roman" w:hAnsi="Times New Roman" w:eastAsia="宋体" w:cs="Times New Roman"/>
                      <w:color w:val="auto"/>
                      <w:sz w:val="21"/>
                      <w:szCs w:val="21"/>
                      <w:highlight w:val="none"/>
                      <w:lang w:eastAsia="zh-CN"/>
                    </w:rPr>
                  </w:pPr>
                </w:p>
              </w:tc>
              <w:tc>
                <w:tcPr>
                  <w:tcW w:w="0" w:type="auto"/>
                  <w:vAlign w:val="center"/>
                </w:tcPr>
                <w:p w14:paraId="53C1C204">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实验室废液及废试剂瓶</w:t>
                  </w:r>
                </w:p>
              </w:tc>
              <w:tc>
                <w:tcPr>
                  <w:tcW w:w="988" w:type="dxa"/>
                  <w:shd w:val="clear" w:color="auto" w:fill="auto"/>
                  <w:vAlign w:val="center"/>
                </w:tcPr>
                <w:p w14:paraId="6B2F3071">
                  <w:pPr>
                    <w:pStyle w:val="24"/>
                    <w:spacing w:line="240" w:lineRule="auto"/>
                    <w:ind w:firstLine="0" w:firstLineChars="0"/>
                    <w:rPr>
                      <w:rFonts w:hint="default" w:ascii="Times New Roman" w:hAnsi="Times New Roman" w:eastAsia="宋体" w:cs="Times New Roman"/>
                      <w:color w:val="auto"/>
                      <w:spacing w:val="-1"/>
                      <w:sz w:val="21"/>
                      <w:szCs w:val="21"/>
                      <w:highlight w:val="none"/>
                      <w:lang w:val="en-US" w:eastAsia="zh-CN"/>
                    </w:rPr>
                  </w:pPr>
                  <w:r>
                    <w:rPr>
                      <w:rFonts w:hint="eastAsia" w:eastAsia="宋体" w:cs="Times New Roman"/>
                      <w:color w:val="auto"/>
                      <w:spacing w:val="-1"/>
                      <w:sz w:val="21"/>
                      <w:szCs w:val="21"/>
                      <w:highlight w:val="none"/>
                      <w:lang w:val="en-US" w:eastAsia="zh-CN"/>
                    </w:rPr>
                    <w:t>0.08</w:t>
                  </w:r>
                </w:p>
              </w:tc>
              <w:tc>
                <w:tcPr>
                  <w:tcW w:w="826" w:type="dxa"/>
                  <w:shd w:val="clear" w:color="auto" w:fill="auto"/>
                  <w:vAlign w:val="center"/>
                </w:tcPr>
                <w:p w14:paraId="41A7957B">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w:t>
                  </w:r>
                </w:p>
              </w:tc>
              <w:tc>
                <w:tcPr>
                  <w:tcW w:w="0" w:type="auto"/>
                  <w:shd w:val="clear" w:color="auto" w:fill="auto"/>
                  <w:vAlign w:val="center"/>
                </w:tcPr>
                <w:p w14:paraId="4F08844D">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0.08</w:t>
                  </w:r>
                </w:p>
              </w:tc>
              <w:tc>
                <w:tcPr>
                  <w:tcW w:w="0" w:type="auto"/>
                  <w:vAlign w:val="center"/>
                </w:tcPr>
                <w:p w14:paraId="09830C7C">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w:t>
                  </w:r>
                </w:p>
              </w:tc>
              <w:tc>
                <w:tcPr>
                  <w:tcW w:w="1164" w:type="dxa"/>
                  <w:vAlign w:val="center"/>
                </w:tcPr>
                <w:p w14:paraId="63C708FE">
                  <w:pPr>
                    <w:pStyle w:val="24"/>
                    <w:spacing w:line="240" w:lineRule="auto"/>
                    <w:ind w:firstLine="0" w:firstLineChars="0"/>
                    <w:rPr>
                      <w:rFonts w:hint="default" w:eastAsia="宋体" w:cs="Times New Roman"/>
                      <w:color w:val="auto"/>
                      <w:sz w:val="21"/>
                      <w:szCs w:val="21"/>
                      <w:highlight w:val="none"/>
                      <w:lang w:val="en-US" w:eastAsia="zh-CN"/>
                    </w:rPr>
                  </w:pPr>
                  <w:r>
                    <w:rPr>
                      <w:rFonts w:hint="eastAsia"/>
                      <w:color w:val="auto"/>
                      <w:highlight w:val="none"/>
                      <w:lang w:val="en-US" w:eastAsia="zh-CN"/>
                    </w:rPr>
                    <w:t>-</w:t>
                  </w:r>
                </w:p>
              </w:tc>
            </w:tr>
            <w:tr w14:paraId="63BB3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5" w:type="dxa"/>
                  <w:vMerge w:val="continue"/>
                  <w:vAlign w:val="center"/>
                </w:tcPr>
                <w:p w14:paraId="2C735A10">
                  <w:pPr>
                    <w:pStyle w:val="24"/>
                    <w:spacing w:line="240" w:lineRule="auto"/>
                    <w:ind w:firstLine="0" w:firstLineChars="0"/>
                    <w:rPr>
                      <w:rFonts w:hint="eastAsia" w:ascii="Times New Roman" w:hAnsi="Times New Roman" w:eastAsia="宋体" w:cs="Times New Roman"/>
                      <w:color w:val="auto"/>
                      <w:sz w:val="21"/>
                      <w:szCs w:val="21"/>
                      <w:highlight w:val="none"/>
                      <w:lang w:eastAsia="zh-CN"/>
                    </w:rPr>
                  </w:pPr>
                </w:p>
              </w:tc>
              <w:tc>
                <w:tcPr>
                  <w:tcW w:w="0" w:type="auto"/>
                  <w:vAlign w:val="center"/>
                </w:tcPr>
                <w:p w14:paraId="3D73FF2A">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废劳保用品</w:t>
                  </w:r>
                </w:p>
              </w:tc>
              <w:tc>
                <w:tcPr>
                  <w:tcW w:w="0" w:type="auto"/>
                  <w:shd w:val="clear" w:color="auto" w:fill="auto"/>
                  <w:vAlign w:val="center"/>
                </w:tcPr>
                <w:p w14:paraId="0240FE84">
                  <w:pPr>
                    <w:pStyle w:val="24"/>
                    <w:spacing w:line="240" w:lineRule="auto"/>
                    <w:ind w:firstLine="0" w:firstLineChars="0"/>
                    <w:rPr>
                      <w:rFonts w:hint="default" w:ascii="Times New Roman" w:hAnsi="Times New Roman" w:eastAsia="宋体" w:cs="Times New Roman"/>
                      <w:color w:val="auto"/>
                      <w:spacing w:val="-1"/>
                      <w:sz w:val="21"/>
                      <w:szCs w:val="21"/>
                      <w:highlight w:val="none"/>
                      <w:lang w:val="en-US"/>
                    </w:rPr>
                  </w:pPr>
                  <w:r>
                    <w:rPr>
                      <w:rFonts w:hint="eastAsia"/>
                      <w:color w:val="auto"/>
                      <w:highlight w:val="none"/>
                      <w:lang w:val="en-US" w:eastAsia="zh-CN"/>
                    </w:rPr>
                    <w:t>0.01</w:t>
                  </w:r>
                </w:p>
              </w:tc>
              <w:tc>
                <w:tcPr>
                  <w:tcW w:w="0" w:type="auto"/>
                  <w:shd w:val="clear" w:color="auto" w:fill="auto"/>
                  <w:vAlign w:val="center"/>
                </w:tcPr>
                <w:p w14:paraId="5A5DE1EB">
                  <w:pPr>
                    <w:pStyle w:val="24"/>
                    <w:spacing w:line="240" w:lineRule="auto"/>
                    <w:rPr>
                      <w:rFonts w:hint="default"/>
                      <w:color w:val="auto"/>
                      <w:highlight w:val="none"/>
                      <w:lang w:val="en-US" w:eastAsia="zh-CN"/>
                    </w:rPr>
                  </w:pPr>
                  <w:r>
                    <w:rPr>
                      <w:rFonts w:hint="eastAsia"/>
                      <w:color w:val="auto"/>
                      <w:highlight w:val="none"/>
                      <w:lang w:val="en-US" w:eastAsia="zh-CN"/>
                    </w:rPr>
                    <w:t>0.01</w:t>
                  </w:r>
                </w:p>
              </w:tc>
              <w:tc>
                <w:tcPr>
                  <w:tcW w:w="0" w:type="auto"/>
                  <w:shd w:val="clear" w:color="auto" w:fill="auto"/>
                  <w:vAlign w:val="center"/>
                </w:tcPr>
                <w:p w14:paraId="1A376CDF">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0.02</w:t>
                  </w:r>
                </w:p>
              </w:tc>
              <w:tc>
                <w:tcPr>
                  <w:tcW w:w="0" w:type="auto"/>
                  <w:vAlign w:val="center"/>
                </w:tcPr>
                <w:p w14:paraId="11607F7D">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w:t>
                  </w:r>
                </w:p>
              </w:tc>
              <w:tc>
                <w:tcPr>
                  <w:tcW w:w="0" w:type="auto"/>
                  <w:vAlign w:val="center"/>
                </w:tcPr>
                <w:p w14:paraId="461616AD">
                  <w:pPr>
                    <w:pStyle w:val="24"/>
                    <w:spacing w:line="240" w:lineRule="auto"/>
                    <w:ind w:firstLine="0" w:firstLineChars="0"/>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+0.01</w:t>
                  </w:r>
                </w:p>
              </w:tc>
            </w:tr>
          </w:tbl>
          <w:p w14:paraId="2CB48DAF">
            <w:pPr>
              <w:ind w:left="0" w:leftChars="0" w:firstLine="0" w:firstLineChars="0"/>
              <w:rPr>
                <w:color w:val="auto"/>
                <w:highlight w:val="none"/>
              </w:rPr>
            </w:pPr>
          </w:p>
        </w:tc>
      </w:tr>
    </w:tbl>
    <w:p w14:paraId="4DCC9B8C">
      <w:pPr>
        <w:keepNext w:val="0"/>
        <w:keepLines w:val="0"/>
        <w:pageBreakBefore w:val="0"/>
        <w:kinsoku/>
        <w:wordWrap/>
        <w:overflowPunct/>
        <w:autoSpaceDE/>
        <w:autoSpaceDN/>
        <w:bidi w:val="0"/>
        <w:spacing w:line="240" w:lineRule="auto"/>
        <w:ind w:firstLine="0" w:firstLineChars="0"/>
        <w:jc w:val="both"/>
        <w:rPr>
          <w:color w:val="auto"/>
          <w:highlight w:val="none"/>
        </w:rPr>
        <w:sectPr>
          <w:pgSz w:w="11907" w:h="16840"/>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p>
    <w:p w14:paraId="441EE331">
      <w:pPr>
        <w:keepNext w:val="0"/>
        <w:keepLines w:val="0"/>
        <w:pageBreakBefore w:val="0"/>
        <w:kinsoku/>
        <w:wordWrap/>
        <w:overflowPunct/>
        <w:autoSpaceDE/>
        <w:autoSpaceDN/>
        <w:bidi w:val="0"/>
        <w:spacing w:line="240" w:lineRule="auto"/>
        <w:ind w:firstLine="0" w:firstLineChars="0"/>
        <w:jc w:val="center"/>
        <w:outlineLvl w:val="0"/>
        <w:rPr>
          <w:rFonts w:hint="eastAsia" w:ascii="宋体" w:hAnsi="宋体" w:eastAsia="宋体" w:cs="宋体"/>
          <w:b/>
          <w:bCs/>
          <w:snapToGrid w:val="0"/>
          <w:color w:val="auto"/>
          <w:sz w:val="30"/>
          <w:szCs w:val="30"/>
          <w:highlight w:val="none"/>
        </w:rPr>
      </w:pPr>
      <w:r>
        <w:rPr>
          <w:rFonts w:hint="eastAsia" w:ascii="宋体" w:hAnsi="宋体" w:eastAsia="宋体" w:cs="宋体"/>
          <w:b/>
          <w:bCs/>
          <w:snapToGrid w:val="0"/>
          <w:color w:val="auto"/>
          <w:sz w:val="30"/>
          <w:szCs w:val="30"/>
          <w:highlight w:val="none"/>
        </w:rPr>
        <w:t>五、</w:t>
      </w:r>
      <w:bookmarkStart w:id="2" w:name="_Hlk54167917"/>
      <w:r>
        <w:rPr>
          <w:rFonts w:hint="eastAsia" w:ascii="宋体" w:hAnsi="宋体" w:eastAsia="宋体" w:cs="宋体"/>
          <w:b/>
          <w:bCs/>
          <w:snapToGrid w:val="0"/>
          <w:color w:val="auto"/>
          <w:sz w:val="30"/>
          <w:szCs w:val="30"/>
          <w:highlight w:val="none"/>
        </w:rPr>
        <w:t>环境保护措施监督检查清单</w:t>
      </w:r>
      <w:bookmarkEnd w:id="2"/>
    </w:p>
    <w:tbl>
      <w:tblPr>
        <w:tblStyle w:val="16"/>
        <w:tblW w:w="88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63"/>
        <w:gridCol w:w="645"/>
        <w:gridCol w:w="1762"/>
        <w:gridCol w:w="1379"/>
        <w:gridCol w:w="1017"/>
        <w:gridCol w:w="3078"/>
      </w:tblGrid>
      <w:tr w14:paraId="3DC9A7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63" w:type="dxa"/>
            <w:tcBorders>
              <w:tl2br w:val="single" w:color="auto" w:sz="4" w:space="0"/>
            </w:tcBorders>
          </w:tcPr>
          <w:p w14:paraId="6FFEA617">
            <w:pPr>
              <w:keepNext w:val="0"/>
              <w:keepLines w:val="0"/>
              <w:pageBreakBefore w:val="0"/>
              <w:kinsoku/>
              <w:wordWrap/>
              <w:overflowPunct/>
              <w:autoSpaceDE/>
              <w:autoSpaceDN/>
              <w:bidi w:val="0"/>
              <w:adjustRightInd w:val="0"/>
              <w:snapToGrid w:val="0"/>
              <w:spacing w:line="360" w:lineRule="auto"/>
              <w:ind w:firstLine="0" w:firstLineChars="0"/>
              <w:jc w:val="left"/>
              <w:rPr>
                <w:rFonts w:hint="eastAsia" w:ascii="宋体" w:hAnsi="宋体" w:cs="宋体"/>
                <w:b/>
                <w:bCs/>
                <w:color w:val="auto"/>
                <w:szCs w:val="21"/>
                <w:highlight w:val="none"/>
              </w:rPr>
            </w:pPr>
            <w:r>
              <w:rPr>
                <w:rFonts w:hint="eastAsia" w:ascii="宋体" w:hAnsi="宋体" w:cs="宋体"/>
                <w:b/>
                <w:bCs/>
                <w:color w:val="auto"/>
                <w:szCs w:val="21"/>
                <w:highlight w:val="none"/>
              </w:rPr>
              <w:t>内容</w:t>
            </w:r>
          </w:p>
          <w:p w14:paraId="1736B1A6">
            <w:pPr>
              <w:keepNext w:val="0"/>
              <w:keepLines w:val="0"/>
              <w:pageBreakBefore w:val="0"/>
              <w:kinsoku/>
              <w:wordWrap/>
              <w:overflowPunct/>
              <w:autoSpaceDE/>
              <w:autoSpaceDN/>
              <w:bidi w:val="0"/>
              <w:adjustRightInd w:val="0"/>
              <w:snapToGrid w:val="0"/>
              <w:spacing w:line="360" w:lineRule="auto"/>
              <w:ind w:firstLine="0" w:firstLineChars="0"/>
              <w:jc w:val="left"/>
              <w:rPr>
                <w:rFonts w:hint="eastAsia" w:ascii="宋体" w:hAnsi="宋体" w:cs="宋体"/>
                <w:b/>
                <w:bCs/>
                <w:color w:val="auto"/>
                <w:szCs w:val="21"/>
                <w:highlight w:val="none"/>
              </w:rPr>
            </w:pPr>
            <w:r>
              <w:rPr>
                <w:rFonts w:hint="eastAsia" w:ascii="宋体" w:hAnsi="宋体" w:cs="宋体"/>
                <w:b/>
                <w:bCs/>
                <w:color w:val="auto"/>
                <w:szCs w:val="21"/>
                <w:highlight w:val="none"/>
              </w:rPr>
              <w:t>要素</w:t>
            </w:r>
          </w:p>
        </w:tc>
        <w:tc>
          <w:tcPr>
            <w:tcW w:w="2407" w:type="dxa"/>
            <w:gridSpan w:val="2"/>
            <w:vAlign w:val="center"/>
          </w:tcPr>
          <w:p w14:paraId="2849F95C">
            <w:pPr>
              <w:keepNext w:val="0"/>
              <w:keepLines w:val="0"/>
              <w:pageBreakBefore w:val="0"/>
              <w:kinsoku/>
              <w:wordWrap/>
              <w:overflowPunct/>
              <w:autoSpaceDE/>
              <w:autoSpaceDN/>
              <w:bidi w:val="0"/>
              <w:adjustRightInd w:val="0"/>
              <w:snapToGrid w:val="0"/>
              <w:spacing w:line="360" w:lineRule="auto"/>
              <w:ind w:firstLine="0" w:firstLineChars="0"/>
              <w:jc w:val="center"/>
              <w:rPr>
                <w:rFonts w:hint="eastAsia" w:ascii="宋体" w:hAnsi="宋体" w:cs="宋体"/>
                <w:b/>
                <w:bCs/>
                <w:color w:val="auto"/>
                <w:szCs w:val="21"/>
                <w:highlight w:val="none"/>
              </w:rPr>
            </w:pPr>
            <w:r>
              <w:rPr>
                <w:rFonts w:hint="eastAsia" w:ascii="宋体" w:hAnsi="宋体" w:cs="宋体"/>
                <w:b/>
                <w:bCs/>
                <w:color w:val="auto"/>
                <w:szCs w:val="21"/>
                <w:highlight w:val="none"/>
              </w:rPr>
              <w:t>排放口(编号、</w:t>
            </w:r>
          </w:p>
          <w:p w14:paraId="38EFFFE9">
            <w:pPr>
              <w:keepNext w:val="0"/>
              <w:keepLines w:val="0"/>
              <w:pageBreakBefore w:val="0"/>
              <w:kinsoku/>
              <w:wordWrap/>
              <w:overflowPunct/>
              <w:autoSpaceDE/>
              <w:autoSpaceDN/>
              <w:bidi w:val="0"/>
              <w:adjustRightInd w:val="0"/>
              <w:snapToGrid w:val="0"/>
              <w:spacing w:line="360" w:lineRule="auto"/>
              <w:ind w:firstLine="0" w:firstLineChars="0"/>
              <w:jc w:val="center"/>
              <w:rPr>
                <w:rFonts w:hint="eastAsia" w:ascii="宋体" w:hAnsi="宋体" w:cs="宋体"/>
                <w:b/>
                <w:bCs/>
                <w:color w:val="auto"/>
                <w:szCs w:val="21"/>
                <w:highlight w:val="none"/>
              </w:rPr>
            </w:pPr>
            <w:r>
              <w:rPr>
                <w:rFonts w:hint="eastAsia" w:ascii="宋体" w:hAnsi="宋体" w:cs="宋体"/>
                <w:b/>
                <w:bCs/>
                <w:color w:val="auto"/>
                <w:szCs w:val="21"/>
                <w:highlight w:val="none"/>
              </w:rPr>
              <w:t>名称)/污染源</w:t>
            </w:r>
          </w:p>
        </w:tc>
        <w:tc>
          <w:tcPr>
            <w:tcW w:w="1379" w:type="dxa"/>
            <w:vAlign w:val="center"/>
          </w:tcPr>
          <w:p w14:paraId="6A395E0A">
            <w:pPr>
              <w:keepNext w:val="0"/>
              <w:keepLines w:val="0"/>
              <w:pageBreakBefore w:val="0"/>
              <w:kinsoku/>
              <w:wordWrap/>
              <w:overflowPunct/>
              <w:autoSpaceDE/>
              <w:autoSpaceDN/>
              <w:bidi w:val="0"/>
              <w:adjustRightInd w:val="0"/>
              <w:snapToGrid w:val="0"/>
              <w:spacing w:line="360" w:lineRule="auto"/>
              <w:ind w:firstLine="0" w:firstLineChars="0"/>
              <w:jc w:val="center"/>
              <w:rPr>
                <w:rFonts w:hint="eastAsia" w:ascii="宋体" w:hAnsi="宋体" w:cs="宋体"/>
                <w:b/>
                <w:bCs/>
                <w:color w:val="auto"/>
                <w:szCs w:val="21"/>
                <w:highlight w:val="none"/>
              </w:rPr>
            </w:pPr>
            <w:r>
              <w:rPr>
                <w:rFonts w:hint="eastAsia" w:ascii="宋体" w:hAnsi="宋体" w:cs="宋体"/>
                <w:b/>
                <w:bCs/>
                <w:color w:val="auto"/>
                <w:szCs w:val="21"/>
                <w:highlight w:val="none"/>
              </w:rPr>
              <w:t>污染物项目</w:t>
            </w:r>
          </w:p>
        </w:tc>
        <w:tc>
          <w:tcPr>
            <w:tcW w:w="1017" w:type="dxa"/>
            <w:vAlign w:val="center"/>
          </w:tcPr>
          <w:p w14:paraId="35D9A204">
            <w:pPr>
              <w:keepNext w:val="0"/>
              <w:keepLines w:val="0"/>
              <w:pageBreakBefore w:val="0"/>
              <w:kinsoku/>
              <w:wordWrap/>
              <w:overflowPunct/>
              <w:autoSpaceDE/>
              <w:autoSpaceDN/>
              <w:bidi w:val="0"/>
              <w:adjustRightInd w:val="0"/>
              <w:snapToGrid w:val="0"/>
              <w:spacing w:line="360" w:lineRule="auto"/>
              <w:ind w:firstLine="0" w:firstLineChars="0"/>
              <w:jc w:val="center"/>
              <w:rPr>
                <w:rFonts w:hint="eastAsia" w:ascii="宋体" w:hAnsi="宋体" w:cs="宋体"/>
                <w:b/>
                <w:bCs/>
                <w:color w:val="auto"/>
                <w:szCs w:val="21"/>
                <w:highlight w:val="none"/>
              </w:rPr>
            </w:pPr>
            <w:r>
              <w:rPr>
                <w:rFonts w:hint="eastAsia" w:ascii="宋体" w:hAnsi="宋体" w:cs="宋体"/>
                <w:b/>
                <w:bCs/>
                <w:color w:val="auto"/>
                <w:szCs w:val="21"/>
                <w:highlight w:val="none"/>
              </w:rPr>
              <w:t>环境保护措施</w:t>
            </w:r>
          </w:p>
        </w:tc>
        <w:tc>
          <w:tcPr>
            <w:tcW w:w="3078" w:type="dxa"/>
            <w:vAlign w:val="center"/>
          </w:tcPr>
          <w:p w14:paraId="79293B02">
            <w:pPr>
              <w:keepNext w:val="0"/>
              <w:keepLines w:val="0"/>
              <w:pageBreakBefore w:val="0"/>
              <w:kinsoku/>
              <w:wordWrap/>
              <w:overflowPunct/>
              <w:autoSpaceDE/>
              <w:autoSpaceDN/>
              <w:bidi w:val="0"/>
              <w:adjustRightInd w:val="0"/>
              <w:snapToGrid w:val="0"/>
              <w:spacing w:line="360" w:lineRule="auto"/>
              <w:ind w:firstLine="0" w:firstLineChars="0"/>
              <w:jc w:val="center"/>
              <w:rPr>
                <w:rFonts w:hint="eastAsia" w:ascii="宋体" w:hAnsi="宋体" w:cs="宋体"/>
                <w:b/>
                <w:bCs/>
                <w:color w:val="auto"/>
                <w:szCs w:val="21"/>
                <w:highlight w:val="none"/>
              </w:rPr>
            </w:pPr>
            <w:r>
              <w:rPr>
                <w:rFonts w:hint="eastAsia" w:ascii="宋体" w:hAnsi="宋体" w:cs="宋体"/>
                <w:b/>
                <w:bCs/>
                <w:color w:val="auto"/>
                <w:szCs w:val="21"/>
                <w:highlight w:val="none"/>
              </w:rPr>
              <w:t>执行标准</w:t>
            </w:r>
          </w:p>
        </w:tc>
      </w:tr>
      <w:tr w14:paraId="3931B0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63" w:type="dxa"/>
            <w:vAlign w:val="center"/>
          </w:tcPr>
          <w:p w14:paraId="7C2AAE96">
            <w:pPr>
              <w:keepNext w:val="0"/>
              <w:keepLines w:val="0"/>
              <w:pageBreakBefore w:val="0"/>
              <w:kinsoku/>
              <w:wordWrap/>
              <w:overflowPunct/>
              <w:autoSpaceDE/>
              <w:autoSpaceDN/>
              <w:bidi w:val="0"/>
              <w:adjustRightInd w:val="0"/>
              <w:snapToGrid w:val="0"/>
              <w:spacing w:line="360" w:lineRule="auto"/>
              <w:ind w:firstLine="0" w:firstLineChars="0"/>
              <w:jc w:val="left"/>
              <w:rPr>
                <w:rFonts w:hint="eastAsia" w:ascii="宋体" w:hAnsi="宋体" w:cs="宋体"/>
                <w:b/>
                <w:bCs/>
                <w:color w:val="auto"/>
                <w:highlight w:val="none"/>
              </w:rPr>
            </w:pPr>
            <w:r>
              <w:rPr>
                <w:rFonts w:hint="eastAsia" w:ascii="宋体" w:hAnsi="宋体" w:cs="宋体"/>
                <w:b/>
                <w:bCs/>
                <w:color w:val="auto"/>
                <w:highlight w:val="none"/>
              </w:rPr>
              <w:t>大气环境</w:t>
            </w:r>
          </w:p>
        </w:tc>
        <w:tc>
          <w:tcPr>
            <w:tcW w:w="645" w:type="dxa"/>
            <w:vAlign w:val="center"/>
          </w:tcPr>
          <w:p w14:paraId="0C78A456">
            <w:pPr>
              <w:pStyle w:val="24"/>
              <w:spacing w:line="360" w:lineRule="auto"/>
              <w:rPr>
                <w:color w:val="auto"/>
                <w:sz w:val="24"/>
                <w:szCs w:val="24"/>
                <w:highlight w:val="none"/>
              </w:rPr>
            </w:pPr>
            <w:r>
              <w:rPr>
                <w:rFonts w:hint="eastAsia"/>
                <w:color w:val="auto"/>
                <w:sz w:val="24"/>
                <w:szCs w:val="24"/>
                <w:highlight w:val="none"/>
              </w:rPr>
              <w:t>无组织</w:t>
            </w:r>
          </w:p>
        </w:tc>
        <w:tc>
          <w:tcPr>
            <w:tcW w:w="1762" w:type="dxa"/>
            <w:shd w:val="clear" w:color="auto" w:fill="auto"/>
            <w:vAlign w:val="center"/>
          </w:tcPr>
          <w:p w14:paraId="0B4523D4">
            <w:pPr>
              <w:pStyle w:val="24"/>
              <w:spacing w:line="360" w:lineRule="auto"/>
              <w:rPr>
                <w:color w:val="auto"/>
                <w:sz w:val="24"/>
                <w:szCs w:val="24"/>
                <w:highlight w:val="none"/>
              </w:rPr>
            </w:pPr>
            <w:r>
              <w:rPr>
                <w:rFonts w:hint="eastAsia"/>
                <w:color w:val="auto"/>
                <w:sz w:val="24"/>
                <w:szCs w:val="24"/>
                <w:highlight w:val="none"/>
                <w:lang w:val="en-US" w:eastAsia="zh-CN"/>
              </w:rPr>
              <w:t>废油类物质、</w:t>
            </w:r>
            <w:r>
              <w:rPr>
                <w:rFonts w:hint="eastAsia"/>
                <w:color w:val="auto"/>
                <w:sz w:val="24"/>
                <w:szCs w:val="24"/>
                <w:highlight w:val="none"/>
              </w:rPr>
              <w:t>废油桶贮存产生的挥发性有机物废气</w:t>
            </w:r>
          </w:p>
        </w:tc>
        <w:tc>
          <w:tcPr>
            <w:tcW w:w="1379" w:type="dxa"/>
            <w:shd w:val="clear" w:color="auto" w:fill="auto"/>
            <w:vAlign w:val="center"/>
          </w:tcPr>
          <w:p w14:paraId="767C3269">
            <w:pPr>
              <w:pStyle w:val="24"/>
              <w:spacing w:line="360" w:lineRule="auto"/>
              <w:rPr>
                <w:color w:val="auto"/>
                <w:sz w:val="24"/>
                <w:szCs w:val="24"/>
                <w:highlight w:val="none"/>
              </w:rPr>
            </w:pPr>
            <w:r>
              <w:rPr>
                <w:rFonts w:hint="eastAsia"/>
                <w:color w:val="auto"/>
                <w:sz w:val="24"/>
                <w:szCs w:val="24"/>
                <w:highlight w:val="none"/>
              </w:rPr>
              <w:t>非甲烷总烃</w:t>
            </w:r>
          </w:p>
        </w:tc>
        <w:tc>
          <w:tcPr>
            <w:tcW w:w="1017" w:type="dxa"/>
            <w:shd w:val="clear" w:color="auto" w:fill="auto"/>
            <w:vAlign w:val="center"/>
          </w:tcPr>
          <w:p w14:paraId="15A6E168">
            <w:pPr>
              <w:pStyle w:val="24"/>
              <w:spacing w:line="360" w:lineRule="auto"/>
              <w:rPr>
                <w:rFonts w:hint="eastAsia" w:eastAsiaTheme="minorEastAsia"/>
                <w:color w:val="auto"/>
                <w:sz w:val="24"/>
                <w:szCs w:val="24"/>
                <w:highlight w:val="none"/>
                <w:lang w:eastAsia="zh-CN"/>
              </w:rPr>
            </w:pPr>
            <w:r>
              <w:rPr>
                <w:rFonts w:hint="eastAsia"/>
                <w:color w:val="auto"/>
                <w:sz w:val="24"/>
                <w:szCs w:val="24"/>
                <w:highlight w:val="none"/>
              </w:rPr>
              <w:t>加盖</w:t>
            </w:r>
            <w:r>
              <w:rPr>
                <w:rFonts w:hint="eastAsia"/>
                <w:color w:val="auto"/>
                <w:sz w:val="24"/>
                <w:szCs w:val="24"/>
                <w:highlight w:val="none"/>
                <w:lang w:eastAsia="zh-CN"/>
              </w:rPr>
              <w:t>密封</w:t>
            </w:r>
            <w:r>
              <w:rPr>
                <w:rFonts w:hint="eastAsia"/>
                <w:color w:val="auto"/>
                <w:sz w:val="24"/>
                <w:szCs w:val="24"/>
                <w:highlight w:val="none"/>
              </w:rPr>
              <w:t>贮存、封闭车间</w:t>
            </w:r>
            <w:r>
              <w:rPr>
                <w:rFonts w:hint="eastAsia"/>
                <w:color w:val="auto"/>
                <w:sz w:val="24"/>
                <w:szCs w:val="24"/>
                <w:highlight w:val="none"/>
                <w:lang w:eastAsia="zh-CN"/>
              </w:rPr>
              <w:t>、排气扇</w:t>
            </w:r>
          </w:p>
        </w:tc>
        <w:tc>
          <w:tcPr>
            <w:tcW w:w="3078" w:type="dxa"/>
            <w:vAlign w:val="center"/>
          </w:tcPr>
          <w:p w14:paraId="3E21FE9D">
            <w:pPr>
              <w:pStyle w:val="24"/>
              <w:spacing w:line="360" w:lineRule="auto"/>
              <w:rPr>
                <w:color w:val="auto"/>
                <w:sz w:val="24"/>
                <w:szCs w:val="24"/>
                <w:highlight w:val="none"/>
              </w:rPr>
            </w:pPr>
            <w:r>
              <w:rPr>
                <w:rFonts w:hint="eastAsia"/>
                <w:color w:val="auto"/>
                <w:sz w:val="24"/>
                <w:szCs w:val="24"/>
                <w:highlight w:val="none"/>
              </w:rPr>
              <w:t>厂界执行《大气污染物综合排放标准》（GB16297-1996）；厂区内执行《挥发性有机物无组织排放控制标准》（GB 37822-2019）厂房外监控点</w:t>
            </w:r>
          </w:p>
        </w:tc>
      </w:tr>
      <w:tr w14:paraId="06149A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3" w:type="dxa"/>
            <w:vAlign w:val="center"/>
          </w:tcPr>
          <w:p w14:paraId="17351A6A">
            <w:pPr>
              <w:keepNext w:val="0"/>
              <w:keepLines w:val="0"/>
              <w:pageBreakBefore w:val="0"/>
              <w:kinsoku/>
              <w:wordWrap/>
              <w:overflowPunct/>
              <w:autoSpaceDE/>
              <w:autoSpaceDN/>
              <w:bidi w:val="0"/>
              <w:adjustRightInd w:val="0"/>
              <w:snapToGrid w:val="0"/>
              <w:spacing w:line="360" w:lineRule="auto"/>
              <w:ind w:firstLine="0" w:firstLineChars="0"/>
              <w:jc w:val="left"/>
              <w:rPr>
                <w:rFonts w:hint="eastAsia" w:ascii="宋体" w:hAnsi="宋体" w:cs="宋体"/>
                <w:b/>
                <w:bCs/>
                <w:color w:val="auto"/>
                <w:highlight w:val="none"/>
              </w:rPr>
            </w:pPr>
            <w:r>
              <w:rPr>
                <w:rFonts w:hint="eastAsia" w:ascii="宋体" w:hAnsi="宋体" w:cs="宋体"/>
                <w:b/>
                <w:bCs/>
                <w:color w:val="auto"/>
                <w:highlight w:val="none"/>
              </w:rPr>
              <w:t>地表水环境</w:t>
            </w:r>
          </w:p>
        </w:tc>
        <w:tc>
          <w:tcPr>
            <w:tcW w:w="7881" w:type="dxa"/>
            <w:gridSpan w:val="5"/>
            <w:vAlign w:val="center"/>
          </w:tcPr>
          <w:p w14:paraId="6A16421C">
            <w:pPr>
              <w:keepNext w:val="0"/>
              <w:keepLines w:val="0"/>
              <w:pageBreakBefore w:val="0"/>
              <w:kinsoku/>
              <w:wordWrap/>
              <w:overflowPunct/>
              <w:autoSpaceDE/>
              <w:autoSpaceDN/>
              <w:bidi w:val="0"/>
              <w:spacing w:line="360" w:lineRule="auto"/>
              <w:ind w:firstLine="0" w:firstLineChars="0"/>
              <w:jc w:val="both"/>
              <w:rPr>
                <w:rFonts w:hint="eastAsia" w:eastAsia="宋体"/>
                <w:color w:val="auto"/>
                <w:highlight w:val="none"/>
                <w:lang w:eastAsia="zh-CN"/>
              </w:rPr>
            </w:pPr>
            <w:r>
              <w:rPr>
                <w:rFonts w:hint="eastAsia"/>
                <w:color w:val="auto"/>
                <w:highlight w:val="none"/>
              </w:rPr>
              <w:t>本项目员工为现有员工调配，不新增劳动定员</w:t>
            </w:r>
            <w:r>
              <w:rPr>
                <w:rFonts w:hint="eastAsia"/>
                <w:color w:val="auto"/>
                <w:highlight w:val="none"/>
                <w:lang w:eastAsia="zh-CN"/>
              </w:rPr>
              <w:t>，无新增生活污水排放，无生产废水排放</w:t>
            </w:r>
          </w:p>
        </w:tc>
      </w:tr>
      <w:tr w14:paraId="2764D7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63" w:type="dxa"/>
            <w:vAlign w:val="center"/>
          </w:tcPr>
          <w:p w14:paraId="5F791112">
            <w:pPr>
              <w:keepNext w:val="0"/>
              <w:keepLines w:val="0"/>
              <w:pageBreakBefore w:val="0"/>
              <w:kinsoku/>
              <w:wordWrap/>
              <w:overflowPunct/>
              <w:autoSpaceDE/>
              <w:autoSpaceDN/>
              <w:bidi w:val="0"/>
              <w:adjustRightInd w:val="0"/>
              <w:snapToGrid w:val="0"/>
              <w:spacing w:line="360" w:lineRule="auto"/>
              <w:ind w:firstLine="0" w:firstLineChars="0"/>
              <w:jc w:val="left"/>
              <w:rPr>
                <w:rFonts w:hint="eastAsia" w:ascii="宋体" w:hAnsi="宋体" w:cs="宋体"/>
                <w:b/>
                <w:bCs/>
                <w:color w:val="auto"/>
                <w:highlight w:val="none"/>
              </w:rPr>
            </w:pPr>
            <w:r>
              <w:rPr>
                <w:rFonts w:hint="eastAsia" w:ascii="宋体" w:hAnsi="宋体" w:cs="宋体"/>
                <w:b/>
                <w:bCs/>
                <w:color w:val="auto"/>
                <w:highlight w:val="none"/>
              </w:rPr>
              <w:t>声环境</w:t>
            </w:r>
          </w:p>
        </w:tc>
        <w:tc>
          <w:tcPr>
            <w:tcW w:w="2407" w:type="dxa"/>
            <w:gridSpan w:val="2"/>
            <w:vAlign w:val="center"/>
          </w:tcPr>
          <w:p w14:paraId="4290CC2F">
            <w:pPr>
              <w:pStyle w:val="24"/>
              <w:spacing w:line="360" w:lineRule="auto"/>
              <w:rPr>
                <w:color w:val="auto"/>
                <w:sz w:val="24"/>
                <w:szCs w:val="24"/>
                <w:highlight w:val="none"/>
              </w:rPr>
            </w:pPr>
            <w:r>
              <w:rPr>
                <w:rFonts w:hint="eastAsia"/>
                <w:color w:val="auto"/>
                <w:sz w:val="24"/>
                <w:szCs w:val="24"/>
                <w:highlight w:val="none"/>
              </w:rPr>
              <w:t>厂界噪声</w:t>
            </w:r>
          </w:p>
        </w:tc>
        <w:tc>
          <w:tcPr>
            <w:tcW w:w="1379" w:type="dxa"/>
            <w:vAlign w:val="center"/>
          </w:tcPr>
          <w:p w14:paraId="47F60F73">
            <w:pPr>
              <w:pStyle w:val="24"/>
              <w:spacing w:line="360" w:lineRule="auto"/>
              <w:rPr>
                <w:color w:val="auto"/>
                <w:sz w:val="24"/>
                <w:szCs w:val="24"/>
                <w:highlight w:val="none"/>
              </w:rPr>
            </w:pPr>
            <w:r>
              <w:rPr>
                <w:rFonts w:hint="eastAsia"/>
                <w:color w:val="auto"/>
                <w:sz w:val="24"/>
                <w:szCs w:val="24"/>
                <w:highlight w:val="none"/>
              </w:rPr>
              <w:t>Leq</w:t>
            </w:r>
            <w:r>
              <w:rPr>
                <w:rFonts w:hint="eastAsia"/>
                <w:color w:val="auto"/>
                <w:sz w:val="24"/>
                <w:szCs w:val="24"/>
                <w:highlight w:val="none"/>
                <w:lang w:eastAsia="zh-CN"/>
              </w:rPr>
              <w:t>(</w:t>
            </w:r>
            <w:r>
              <w:rPr>
                <w:rFonts w:hint="eastAsia"/>
                <w:color w:val="auto"/>
                <w:sz w:val="24"/>
                <w:szCs w:val="24"/>
                <w:highlight w:val="none"/>
              </w:rPr>
              <w:t>A</w:t>
            </w:r>
            <w:r>
              <w:rPr>
                <w:rFonts w:hint="eastAsia"/>
                <w:color w:val="auto"/>
                <w:sz w:val="24"/>
                <w:szCs w:val="24"/>
                <w:highlight w:val="none"/>
                <w:lang w:eastAsia="zh-CN"/>
              </w:rPr>
              <w:t>)</w:t>
            </w:r>
          </w:p>
        </w:tc>
        <w:tc>
          <w:tcPr>
            <w:tcW w:w="1017" w:type="dxa"/>
            <w:vAlign w:val="center"/>
          </w:tcPr>
          <w:p w14:paraId="45BB8997">
            <w:pPr>
              <w:pStyle w:val="24"/>
              <w:spacing w:line="360" w:lineRule="auto"/>
              <w:rPr>
                <w:color w:val="auto"/>
                <w:sz w:val="24"/>
                <w:szCs w:val="24"/>
                <w:highlight w:val="none"/>
              </w:rPr>
            </w:pPr>
            <w:r>
              <w:rPr>
                <w:rFonts w:hint="eastAsia"/>
                <w:color w:val="auto"/>
                <w:sz w:val="24"/>
                <w:szCs w:val="24"/>
                <w:highlight w:val="none"/>
              </w:rPr>
              <w:t>选用低噪声设备、基础减振</w:t>
            </w:r>
            <w:r>
              <w:rPr>
                <w:rFonts w:hint="eastAsia"/>
                <w:color w:val="auto"/>
                <w:sz w:val="24"/>
                <w:szCs w:val="24"/>
                <w:highlight w:val="none"/>
                <w:lang w:eastAsia="zh-CN"/>
              </w:rPr>
              <w:t>、软连接</w:t>
            </w:r>
            <w:r>
              <w:rPr>
                <w:rFonts w:hint="eastAsia"/>
                <w:color w:val="auto"/>
                <w:sz w:val="24"/>
                <w:szCs w:val="24"/>
                <w:highlight w:val="none"/>
              </w:rPr>
              <w:t>等</w:t>
            </w:r>
          </w:p>
        </w:tc>
        <w:tc>
          <w:tcPr>
            <w:tcW w:w="3078" w:type="dxa"/>
            <w:vAlign w:val="center"/>
          </w:tcPr>
          <w:p w14:paraId="469A4564">
            <w:pPr>
              <w:pStyle w:val="24"/>
              <w:spacing w:line="360" w:lineRule="auto"/>
              <w:rPr>
                <w:color w:val="auto"/>
                <w:sz w:val="24"/>
                <w:szCs w:val="24"/>
                <w:highlight w:val="none"/>
              </w:rPr>
            </w:pPr>
            <w:r>
              <w:rPr>
                <w:rFonts w:hint="eastAsia"/>
                <w:color w:val="auto"/>
                <w:sz w:val="24"/>
                <w:szCs w:val="24"/>
                <w:highlight w:val="none"/>
              </w:rPr>
              <w:t>《工业企业厂界环境噪声排放标准》（GB 12348-2008）</w:t>
            </w:r>
            <w:r>
              <w:rPr>
                <w:rFonts w:hint="eastAsia"/>
                <w:color w:val="auto"/>
                <w:sz w:val="24"/>
                <w:szCs w:val="24"/>
                <w:highlight w:val="none"/>
                <w:lang w:val="en-US" w:eastAsia="zh-CN"/>
              </w:rPr>
              <w:t>2</w:t>
            </w:r>
            <w:r>
              <w:rPr>
                <w:rFonts w:hint="eastAsia"/>
                <w:color w:val="auto"/>
                <w:sz w:val="24"/>
                <w:szCs w:val="24"/>
                <w:highlight w:val="none"/>
              </w:rPr>
              <w:t>类标准</w:t>
            </w:r>
          </w:p>
        </w:tc>
      </w:tr>
      <w:tr w14:paraId="61E6AB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63" w:type="dxa"/>
            <w:vAlign w:val="center"/>
          </w:tcPr>
          <w:p w14:paraId="62AC6952">
            <w:pPr>
              <w:keepNext w:val="0"/>
              <w:keepLines w:val="0"/>
              <w:pageBreakBefore w:val="0"/>
              <w:kinsoku/>
              <w:wordWrap/>
              <w:overflowPunct/>
              <w:autoSpaceDE/>
              <w:autoSpaceDN/>
              <w:bidi w:val="0"/>
              <w:adjustRightInd w:val="0"/>
              <w:snapToGrid w:val="0"/>
              <w:spacing w:line="360" w:lineRule="auto"/>
              <w:ind w:firstLine="0" w:firstLineChars="0"/>
              <w:jc w:val="left"/>
              <w:rPr>
                <w:rFonts w:hint="eastAsia" w:ascii="宋体" w:hAnsi="宋体" w:cs="宋体"/>
                <w:b/>
                <w:bCs/>
                <w:color w:val="auto"/>
                <w:highlight w:val="none"/>
              </w:rPr>
            </w:pPr>
            <w:r>
              <w:rPr>
                <w:rFonts w:hint="eastAsia" w:ascii="宋体" w:hAnsi="宋体" w:cs="宋体"/>
                <w:b/>
                <w:bCs/>
                <w:color w:val="auto"/>
                <w:highlight w:val="none"/>
              </w:rPr>
              <w:t>电磁辐射</w:t>
            </w:r>
          </w:p>
        </w:tc>
        <w:tc>
          <w:tcPr>
            <w:tcW w:w="2407" w:type="dxa"/>
            <w:gridSpan w:val="2"/>
            <w:vAlign w:val="center"/>
          </w:tcPr>
          <w:p w14:paraId="0B51597E">
            <w:pPr>
              <w:keepNext w:val="0"/>
              <w:keepLines w:val="0"/>
              <w:pageBreakBefore w:val="0"/>
              <w:kinsoku/>
              <w:wordWrap/>
              <w:overflowPunct/>
              <w:autoSpaceDE/>
              <w:autoSpaceDN/>
              <w:bidi w:val="0"/>
              <w:spacing w:line="360" w:lineRule="auto"/>
              <w:ind w:firstLine="0" w:firstLineChars="0"/>
              <w:jc w:val="both"/>
              <w:rPr>
                <w:rFonts w:eastAsiaTheme="minorEastAsia"/>
                <w:color w:val="auto"/>
                <w:highlight w:val="none"/>
              </w:rPr>
            </w:pPr>
            <w:r>
              <w:rPr>
                <w:rFonts w:hint="eastAsia"/>
                <w:color w:val="auto"/>
                <w:highlight w:val="none"/>
              </w:rPr>
              <w:t>/</w:t>
            </w:r>
          </w:p>
        </w:tc>
        <w:tc>
          <w:tcPr>
            <w:tcW w:w="1379" w:type="dxa"/>
            <w:vAlign w:val="center"/>
          </w:tcPr>
          <w:p w14:paraId="4AE2DD10">
            <w:pPr>
              <w:keepNext w:val="0"/>
              <w:keepLines w:val="0"/>
              <w:pageBreakBefore w:val="0"/>
              <w:kinsoku/>
              <w:wordWrap/>
              <w:overflowPunct/>
              <w:autoSpaceDE/>
              <w:autoSpaceDN/>
              <w:bidi w:val="0"/>
              <w:spacing w:line="360" w:lineRule="auto"/>
              <w:ind w:firstLine="0" w:firstLineChars="0"/>
              <w:jc w:val="both"/>
              <w:rPr>
                <w:rFonts w:eastAsiaTheme="minorEastAsia"/>
                <w:color w:val="auto"/>
                <w:highlight w:val="none"/>
              </w:rPr>
            </w:pPr>
            <w:r>
              <w:rPr>
                <w:rFonts w:hint="eastAsia"/>
                <w:color w:val="auto"/>
                <w:highlight w:val="none"/>
              </w:rPr>
              <w:t>/</w:t>
            </w:r>
          </w:p>
        </w:tc>
        <w:tc>
          <w:tcPr>
            <w:tcW w:w="1017" w:type="dxa"/>
            <w:vAlign w:val="center"/>
          </w:tcPr>
          <w:p w14:paraId="7C4781AE">
            <w:pPr>
              <w:keepNext w:val="0"/>
              <w:keepLines w:val="0"/>
              <w:pageBreakBefore w:val="0"/>
              <w:kinsoku/>
              <w:wordWrap/>
              <w:overflowPunct/>
              <w:autoSpaceDE/>
              <w:autoSpaceDN/>
              <w:bidi w:val="0"/>
              <w:spacing w:line="360" w:lineRule="auto"/>
              <w:ind w:firstLine="0" w:firstLineChars="0"/>
              <w:jc w:val="both"/>
              <w:rPr>
                <w:rFonts w:eastAsiaTheme="minorEastAsia"/>
                <w:color w:val="auto"/>
                <w:highlight w:val="none"/>
              </w:rPr>
            </w:pPr>
            <w:r>
              <w:rPr>
                <w:rFonts w:hint="eastAsia"/>
                <w:color w:val="auto"/>
                <w:highlight w:val="none"/>
              </w:rPr>
              <w:t>/</w:t>
            </w:r>
          </w:p>
        </w:tc>
        <w:tc>
          <w:tcPr>
            <w:tcW w:w="3078" w:type="dxa"/>
            <w:vAlign w:val="center"/>
          </w:tcPr>
          <w:p w14:paraId="5E46EC5E">
            <w:pPr>
              <w:keepNext w:val="0"/>
              <w:keepLines w:val="0"/>
              <w:pageBreakBefore w:val="0"/>
              <w:kinsoku/>
              <w:wordWrap/>
              <w:overflowPunct/>
              <w:autoSpaceDE/>
              <w:autoSpaceDN/>
              <w:bidi w:val="0"/>
              <w:spacing w:line="360" w:lineRule="auto"/>
              <w:ind w:firstLine="0" w:firstLineChars="0"/>
              <w:jc w:val="both"/>
              <w:rPr>
                <w:rFonts w:eastAsiaTheme="minorEastAsia"/>
                <w:color w:val="auto"/>
                <w:highlight w:val="none"/>
              </w:rPr>
            </w:pPr>
            <w:r>
              <w:rPr>
                <w:rFonts w:hint="eastAsia"/>
                <w:color w:val="auto"/>
                <w:highlight w:val="none"/>
              </w:rPr>
              <w:t>/</w:t>
            </w:r>
          </w:p>
        </w:tc>
      </w:tr>
      <w:tr w14:paraId="72981D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963" w:type="dxa"/>
            <w:vAlign w:val="center"/>
          </w:tcPr>
          <w:p w14:paraId="69441BE0">
            <w:pPr>
              <w:keepNext w:val="0"/>
              <w:keepLines w:val="0"/>
              <w:pageBreakBefore w:val="0"/>
              <w:kinsoku/>
              <w:wordWrap/>
              <w:overflowPunct/>
              <w:autoSpaceDE/>
              <w:autoSpaceDN/>
              <w:bidi w:val="0"/>
              <w:adjustRightInd w:val="0"/>
              <w:snapToGrid w:val="0"/>
              <w:spacing w:line="360" w:lineRule="auto"/>
              <w:ind w:firstLine="0" w:firstLineChars="0"/>
              <w:jc w:val="left"/>
              <w:rPr>
                <w:rFonts w:hint="eastAsia" w:ascii="宋体" w:hAnsi="宋体" w:cs="宋体"/>
                <w:b/>
                <w:bCs/>
                <w:color w:val="auto"/>
                <w:szCs w:val="21"/>
                <w:highlight w:val="none"/>
              </w:rPr>
            </w:pPr>
            <w:r>
              <w:rPr>
                <w:rFonts w:hint="eastAsia" w:ascii="宋体" w:hAnsi="宋体" w:cs="宋体"/>
                <w:b/>
                <w:bCs/>
                <w:color w:val="auto"/>
                <w:szCs w:val="21"/>
                <w:highlight w:val="none"/>
              </w:rPr>
              <w:t>固体废物</w:t>
            </w:r>
          </w:p>
        </w:tc>
        <w:tc>
          <w:tcPr>
            <w:tcW w:w="7881" w:type="dxa"/>
            <w:gridSpan w:val="5"/>
            <w:vAlign w:val="center"/>
          </w:tcPr>
          <w:p w14:paraId="74EE3C9C">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color w:val="auto"/>
                <w:highlight w:val="none"/>
              </w:rPr>
            </w:pPr>
            <w:r>
              <w:rPr>
                <w:rFonts w:hint="eastAsia" w:ascii="Times New Roman" w:hAnsi="Times New Roman" w:eastAsia="Times New Roman" w:cs="Times New Roman"/>
                <w:color w:val="auto"/>
                <w:sz w:val="24"/>
                <w:szCs w:val="24"/>
                <w:highlight w:val="none"/>
              </w:rPr>
              <w:t>本项目为北票发电有限责任公司配套建设的</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项目，</w:t>
            </w:r>
            <w:r>
              <w:rPr>
                <w:rFonts w:hint="eastAsia"/>
                <w:color w:val="auto"/>
                <w:highlight w:val="none"/>
              </w:rPr>
              <w:t>收集和存储</w:t>
            </w:r>
            <w:r>
              <w:rPr>
                <w:rFonts w:hint="eastAsia" w:ascii="Times New Roman" w:hAnsi="Times New Roman" w:eastAsia="Times New Roman" w:cs="Times New Roman"/>
                <w:color w:val="auto"/>
                <w:sz w:val="24"/>
                <w:szCs w:val="24"/>
                <w:highlight w:val="none"/>
              </w:rPr>
              <w:t>公司</w:t>
            </w:r>
            <w:r>
              <w:rPr>
                <w:rFonts w:hint="eastAsia" w:eastAsia="宋体" w:cs="Times New Roman"/>
                <w:color w:val="auto"/>
                <w:sz w:val="24"/>
                <w:szCs w:val="24"/>
                <w:highlight w:val="none"/>
                <w:lang w:eastAsia="zh-CN"/>
              </w:rPr>
              <w:t>厂区内</w:t>
            </w:r>
            <w:r>
              <w:rPr>
                <w:rFonts w:hint="eastAsia"/>
                <w:color w:val="auto"/>
                <w:highlight w:val="none"/>
              </w:rPr>
              <w:t>产生的废蓄电池、废液压油、废空压机油、废汽轮机油、废变压器油、废润滑油、废油漆桶、废油桶、</w:t>
            </w:r>
            <w:r>
              <w:rPr>
                <w:rFonts w:hint="eastAsia"/>
                <w:color w:val="auto"/>
                <w:highlight w:val="none"/>
                <w:lang w:eastAsia="zh-CN"/>
              </w:rPr>
              <w:t>实验室废液及废试剂瓶、</w:t>
            </w:r>
            <w:r>
              <w:rPr>
                <w:rFonts w:hint="eastAsia"/>
                <w:color w:val="auto"/>
                <w:highlight w:val="none"/>
              </w:rPr>
              <w:t>废劳保用品等危险废物</w:t>
            </w:r>
            <w:r>
              <w:rPr>
                <w:rFonts w:hint="eastAsia" w:ascii="Times New Roman" w:hAnsi="Times New Roman" w:eastAsia="Times New Roman" w:cs="Times New Roman"/>
                <w:color w:val="auto"/>
                <w:sz w:val="24"/>
                <w:szCs w:val="24"/>
                <w:highlight w:val="none"/>
              </w:rPr>
              <w:t>。根据种类和特性</w:t>
            </w:r>
            <w:r>
              <w:rPr>
                <w:rFonts w:hint="eastAsia" w:eastAsia="宋体" w:cs="Times New Roman"/>
                <w:color w:val="auto"/>
                <w:sz w:val="24"/>
                <w:szCs w:val="24"/>
                <w:highlight w:val="none"/>
                <w:lang w:eastAsia="zh-CN"/>
              </w:rPr>
              <w:t>对</w:t>
            </w:r>
            <w:r>
              <w:rPr>
                <w:rFonts w:hint="eastAsia" w:ascii="Times New Roman" w:hAnsi="Times New Roman" w:eastAsia="Times New Roman" w:cs="Times New Roman"/>
                <w:color w:val="auto"/>
                <w:sz w:val="24"/>
                <w:szCs w:val="24"/>
                <w:highlight w:val="none"/>
              </w:rPr>
              <w:t>危险废物进行分区贮存，定期委托有资质单位进行处置。</w:t>
            </w:r>
          </w:p>
        </w:tc>
      </w:tr>
      <w:tr w14:paraId="1AB1A5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963" w:type="dxa"/>
            <w:vAlign w:val="center"/>
          </w:tcPr>
          <w:p w14:paraId="50B119B5">
            <w:pPr>
              <w:keepNext w:val="0"/>
              <w:keepLines w:val="0"/>
              <w:pageBreakBefore w:val="0"/>
              <w:kinsoku/>
              <w:wordWrap/>
              <w:overflowPunct/>
              <w:autoSpaceDE/>
              <w:autoSpaceDN/>
              <w:bidi w:val="0"/>
              <w:adjustRightInd w:val="0"/>
              <w:snapToGrid w:val="0"/>
              <w:spacing w:line="360" w:lineRule="auto"/>
              <w:ind w:firstLine="0" w:firstLineChars="0"/>
              <w:jc w:val="left"/>
              <w:rPr>
                <w:rFonts w:hint="eastAsia" w:ascii="宋体" w:hAnsi="宋体" w:cs="宋体"/>
                <w:b/>
                <w:bCs/>
                <w:color w:val="auto"/>
                <w:szCs w:val="21"/>
                <w:highlight w:val="none"/>
              </w:rPr>
            </w:pPr>
            <w:r>
              <w:rPr>
                <w:rFonts w:hint="eastAsia" w:ascii="宋体" w:hAnsi="宋体" w:cs="宋体"/>
                <w:b/>
                <w:bCs/>
                <w:color w:val="auto"/>
                <w:szCs w:val="21"/>
                <w:highlight w:val="none"/>
              </w:rPr>
              <w:t>土壤及地下水污染防治措施</w:t>
            </w:r>
          </w:p>
        </w:tc>
        <w:tc>
          <w:tcPr>
            <w:tcW w:w="7881" w:type="dxa"/>
            <w:gridSpan w:val="5"/>
            <w:vAlign w:val="center"/>
          </w:tcPr>
          <w:p w14:paraId="35341CFB">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1定期对</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进行检查，发现地面或防渗层破损时及时处理。</w:t>
            </w:r>
          </w:p>
          <w:p w14:paraId="2B489610">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color w:val="auto"/>
                <w:highlight w:val="none"/>
              </w:rPr>
            </w:pPr>
            <w:r>
              <w:rPr>
                <w:rFonts w:hint="eastAsia" w:ascii="Times New Roman" w:hAnsi="Times New Roman" w:eastAsia="Times New Roman" w:cs="Times New Roman"/>
                <w:color w:val="auto"/>
                <w:sz w:val="24"/>
                <w:szCs w:val="24"/>
                <w:highlight w:val="none"/>
              </w:rPr>
              <w:t>2</w:t>
            </w:r>
            <w:r>
              <w:rPr>
                <w:rFonts w:hint="eastAsia" w:eastAsia="宋体" w:cs="Times New Roman"/>
                <w:color w:val="auto"/>
                <w:sz w:val="24"/>
                <w:szCs w:val="24"/>
                <w:highlight w:val="none"/>
                <w:lang w:eastAsia="zh-CN"/>
              </w:rPr>
              <w:t>危险废物贮存点</w:t>
            </w:r>
            <w:r>
              <w:rPr>
                <w:rFonts w:hint="eastAsia" w:ascii="Times New Roman" w:hAnsi="Times New Roman" w:eastAsia="Times New Roman" w:cs="Times New Roman"/>
                <w:color w:val="auto"/>
                <w:sz w:val="24"/>
                <w:szCs w:val="24"/>
                <w:highlight w:val="none"/>
              </w:rPr>
              <w:t>地面及裙脚采取防渗。</w:t>
            </w:r>
          </w:p>
        </w:tc>
      </w:tr>
      <w:tr w14:paraId="294745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963" w:type="dxa"/>
            <w:vAlign w:val="center"/>
          </w:tcPr>
          <w:p w14:paraId="2C1C6B80">
            <w:pPr>
              <w:keepNext w:val="0"/>
              <w:keepLines w:val="0"/>
              <w:pageBreakBefore w:val="0"/>
              <w:kinsoku/>
              <w:wordWrap/>
              <w:overflowPunct/>
              <w:autoSpaceDE/>
              <w:autoSpaceDN/>
              <w:bidi w:val="0"/>
              <w:adjustRightInd w:val="0"/>
              <w:snapToGrid w:val="0"/>
              <w:spacing w:line="360" w:lineRule="auto"/>
              <w:ind w:firstLine="0" w:firstLineChars="0"/>
              <w:jc w:val="left"/>
              <w:rPr>
                <w:rFonts w:hint="eastAsia" w:ascii="宋体" w:hAnsi="宋体" w:cs="宋体"/>
                <w:b/>
                <w:bCs/>
                <w:color w:val="auto"/>
                <w:szCs w:val="21"/>
                <w:highlight w:val="none"/>
              </w:rPr>
            </w:pPr>
            <w:r>
              <w:rPr>
                <w:rFonts w:hint="eastAsia" w:ascii="宋体" w:hAnsi="宋体" w:cs="宋体"/>
                <w:b/>
                <w:bCs/>
                <w:color w:val="auto"/>
                <w:szCs w:val="21"/>
                <w:highlight w:val="none"/>
              </w:rPr>
              <w:t>生态保护措施</w:t>
            </w:r>
          </w:p>
        </w:tc>
        <w:tc>
          <w:tcPr>
            <w:tcW w:w="7881" w:type="dxa"/>
            <w:gridSpan w:val="5"/>
            <w:vAlign w:val="center"/>
          </w:tcPr>
          <w:p w14:paraId="5954E7A3">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color w:val="auto"/>
                <w:highlight w:val="none"/>
              </w:rPr>
            </w:pPr>
            <w:r>
              <w:rPr>
                <w:rFonts w:hint="eastAsia" w:ascii="Times New Roman" w:hAnsi="Times New Roman" w:eastAsia="Times New Roman" w:cs="Times New Roman"/>
                <w:color w:val="auto"/>
                <w:sz w:val="24"/>
                <w:szCs w:val="24"/>
                <w:highlight w:val="none"/>
              </w:rPr>
              <w:t>/</w:t>
            </w:r>
          </w:p>
        </w:tc>
      </w:tr>
      <w:tr w14:paraId="175441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963" w:type="dxa"/>
            <w:vAlign w:val="center"/>
          </w:tcPr>
          <w:p w14:paraId="2E4C12BF">
            <w:pPr>
              <w:keepNext w:val="0"/>
              <w:keepLines w:val="0"/>
              <w:pageBreakBefore w:val="0"/>
              <w:kinsoku/>
              <w:wordWrap/>
              <w:overflowPunct/>
              <w:autoSpaceDE/>
              <w:autoSpaceDN/>
              <w:bidi w:val="0"/>
              <w:adjustRightInd w:val="0"/>
              <w:snapToGrid w:val="0"/>
              <w:spacing w:line="360" w:lineRule="auto"/>
              <w:ind w:firstLine="0" w:firstLineChars="0"/>
              <w:jc w:val="left"/>
              <w:rPr>
                <w:rFonts w:hint="eastAsia" w:ascii="宋体" w:hAnsi="宋体" w:cs="宋体"/>
                <w:b/>
                <w:bCs/>
                <w:color w:val="auto"/>
                <w:spacing w:val="-8"/>
                <w:szCs w:val="21"/>
                <w:highlight w:val="none"/>
              </w:rPr>
            </w:pPr>
            <w:r>
              <w:rPr>
                <w:rFonts w:hint="eastAsia" w:ascii="宋体" w:hAnsi="宋体" w:cs="宋体"/>
                <w:b/>
                <w:bCs/>
                <w:color w:val="auto"/>
                <w:spacing w:val="-8"/>
                <w:szCs w:val="21"/>
                <w:highlight w:val="none"/>
              </w:rPr>
              <w:t>环境风险</w:t>
            </w:r>
          </w:p>
          <w:p w14:paraId="3777F91C">
            <w:pPr>
              <w:keepNext w:val="0"/>
              <w:keepLines w:val="0"/>
              <w:pageBreakBefore w:val="0"/>
              <w:kinsoku/>
              <w:wordWrap/>
              <w:overflowPunct/>
              <w:autoSpaceDE/>
              <w:autoSpaceDN/>
              <w:bidi w:val="0"/>
              <w:adjustRightInd w:val="0"/>
              <w:snapToGrid w:val="0"/>
              <w:spacing w:line="360" w:lineRule="auto"/>
              <w:ind w:firstLine="0" w:firstLineChars="0"/>
              <w:jc w:val="left"/>
              <w:rPr>
                <w:rFonts w:hint="eastAsia" w:ascii="宋体" w:hAnsi="宋体" w:cs="宋体"/>
                <w:b/>
                <w:bCs/>
                <w:color w:val="auto"/>
                <w:spacing w:val="-8"/>
                <w:szCs w:val="21"/>
                <w:highlight w:val="none"/>
              </w:rPr>
            </w:pPr>
            <w:r>
              <w:rPr>
                <w:rFonts w:hint="eastAsia" w:ascii="宋体" w:hAnsi="宋体" w:cs="宋体"/>
                <w:b/>
                <w:bCs/>
                <w:color w:val="auto"/>
                <w:spacing w:val="-8"/>
                <w:szCs w:val="21"/>
                <w:highlight w:val="none"/>
              </w:rPr>
              <w:t>防范措施</w:t>
            </w:r>
          </w:p>
        </w:tc>
        <w:tc>
          <w:tcPr>
            <w:tcW w:w="7881" w:type="dxa"/>
            <w:gridSpan w:val="5"/>
            <w:vAlign w:val="center"/>
          </w:tcPr>
          <w:p w14:paraId="109C8B34">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1设导流</w:t>
            </w:r>
            <w:r>
              <w:rPr>
                <w:rFonts w:hint="eastAsia" w:ascii="Times New Roman" w:hAnsi="Times New Roman" w:eastAsia="Times New Roman" w:cs="Times New Roman"/>
                <w:color w:val="auto"/>
                <w:sz w:val="24"/>
                <w:szCs w:val="24"/>
                <w:highlight w:val="none"/>
                <w:lang w:val="en-US" w:eastAsia="zh-CN"/>
              </w:rPr>
              <w:t>沟</w:t>
            </w:r>
            <w:r>
              <w:rPr>
                <w:rFonts w:hint="eastAsia" w:ascii="Times New Roman" w:hAnsi="Times New Roman" w:eastAsia="Times New Roman" w:cs="Times New Roman"/>
                <w:color w:val="auto"/>
                <w:sz w:val="24"/>
                <w:szCs w:val="24"/>
                <w:highlight w:val="none"/>
              </w:rPr>
              <w:t>、集液池；</w:t>
            </w:r>
          </w:p>
          <w:p w14:paraId="6095102C">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2地面及</w:t>
            </w:r>
            <w:r>
              <w:rPr>
                <w:rFonts w:hint="eastAsia" w:ascii="Times New Roman" w:hAnsi="Times New Roman" w:eastAsia="Times New Roman" w:cs="Times New Roman"/>
                <w:color w:val="auto"/>
                <w:sz w:val="24"/>
                <w:szCs w:val="24"/>
                <w:highlight w:val="none"/>
                <w:lang w:eastAsia="zh-CN"/>
              </w:rPr>
              <w:t>裙脚</w:t>
            </w:r>
            <w:r>
              <w:rPr>
                <w:rFonts w:hint="eastAsia" w:ascii="Times New Roman" w:hAnsi="Times New Roman" w:eastAsia="Times New Roman" w:cs="Times New Roman"/>
                <w:color w:val="auto"/>
                <w:sz w:val="24"/>
                <w:szCs w:val="24"/>
                <w:highlight w:val="none"/>
              </w:rPr>
              <w:t>做好防渗、防腐蚀处理；</w:t>
            </w:r>
          </w:p>
          <w:p w14:paraId="519A505C">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3设有明显的禁火标志等；</w:t>
            </w:r>
          </w:p>
          <w:p w14:paraId="2809B43D">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color w:val="auto"/>
                <w:highlight w:val="none"/>
              </w:rPr>
            </w:pPr>
            <w:r>
              <w:rPr>
                <w:rFonts w:hint="eastAsia" w:ascii="Times New Roman" w:hAnsi="Times New Roman" w:eastAsia="Times New Roman" w:cs="Times New Roman"/>
                <w:color w:val="auto"/>
                <w:sz w:val="24"/>
                <w:szCs w:val="24"/>
                <w:highlight w:val="none"/>
              </w:rPr>
              <w:t>4制定突发环境事故应急预案。</w:t>
            </w:r>
          </w:p>
        </w:tc>
      </w:tr>
      <w:tr w14:paraId="1CCD4E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963" w:type="dxa"/>
            <w:vAlign w:val="center"/>
          </w:tcPr>
          <w:p w14:paraId="165B2410">
            <w:pPr>
              <w:keepNext w:val="0"/>
              <w:keepLines w:val="0"/>
              <w:pageBreakBefore w:val="0"/>
              <w:kinsoku/>
              <w:wordWrap/>
              <w:overflowPunct/>
              <w:autoSpaceDE/>
              <w:autoSpaceDN/>
              <w:bidi w:val="0"/>
              <w:adjustRightInd w:val="0"/>
              <w:snapToGrid w:val="0"/>
              <w:spacing w:line="360" w:lineRule="auto"/>
              <w:ind w:firstLine="0" w:firstLineChars="0"/>
              <w:jc w:val="left"/>
              <w:rPr>
                <w:rFonts w:hint="eastAsia" w:ascii="宋体" w:hAnsi="宋体" w:cs="宋体"/>
                <w:b/>
                <w:bCs/>
                <w:color w:val="auto"/>
                <w:spacing w:val="-8"/>
                <w:szCs w:val="21"/>
                <w:highlight w:val="none"/>
              </w:rPr>
            </w:pPr>
            <w:r>
              <w:rPr>
                <w:rFonts w:hint="eastAsia" w:ascii="宋体" w:hAnsi="宋体" w:cs="宋体"/>
                <w:b/>
                <w:bCs/>
                <w:color w:val="auto"/>
                <w:spacing w:val="-8"/>
                <w:szCs w:val="21"/>
                <w:highlight w:val="none"/>
              </w:rPr>
              <w:t>其他环境</w:t>
            </w:r>
          </w:p>
          <w:p w14:paraId="4183268C">
            <w:pPr>
              <w:keepNext w:val="0"/>
              <w:keepLines w:val="0"/>
              <w:pageBreakBefore w:val="0"/>
              <w:kinsoku/>
              <w:wordWrap/>
              <w:overflowPunct/>
              <w:autoSpaceDE/>
              <w:autoSpaceDN/>
              <w:bidi w:val="0"/>
              <w:adjustRightInd w:val="0"/>
              <w:snapToGrid w:val="0"/>
              <w:spacing w:line="360" w:lineRule="auto"/>
              <w:ind w:firstLine="0" w:firstLineChars="0"/>
              <w:jc w:val="left"/>
              <w:rPr>
                <w:rFonts w:hint="eastAsia" w:ascii="宋体" w:hAnsi="宋体" w:cs="宋体"/>
                <w:b/>
                <w:bCs/>
                <w:color w:val="auto"/>
                <w:spacing w:val="-8"/>
                <w:szCs w:val="21"/>
                <w:highlight w:val="none"/>
              </w:rPr>
            </w:pPr>
            <w:r>
              <w:rPr>
                <w:rFonts w:hint="eastAsia" w:ascii="宋体" w:hAnsi="宋体" w:cs="宋体"/>
                <w:b/>
                <w:bCs/>
                <w:color w:val="auto"/>
                <w:spacing w:val="-8"/>
                <w:szCs w:val="21"/>
                <w:highlight w:val="none"/>
              </w:rPr>
              <w:t>管理要求</w:t>
            </w:r>
          </w:p>
        </w:tc>
        <w:tc>
          <w:tcPr>
            <w:tcW w:w="7881" w:type="dxa"/>
            <w:gridSpan w:val="5"/>
            <w:vAlign w:val="center"/>
          </w:tcPr>
          <w:p w14:paraId="5F6A8D31">
            <w:pPr>
              <w:bidi w:val="0"/>
              <w:spacing w:line="360" w:lineRule="auto"/>
              <w:rPr>
                <w:rFonts w:hint="default"/>
                <w:b/>
                <w:bCs/>
                <w:color w:val="auto"/>
                <w:highlight w:val="none"/>
              </w:rPr>
            </w:pPr>
            <w:r>
              <w:rPr>
                <w:b/>
                <w:bCs/>
                <w:color w:val="auto"/>
                <w:highlight w:val="none"/>
              </w:rPr>
              <w:t>1环保投资</w:t>
            </w:r>
          </w:p>
          <w:p w14:paraId="15B783D2">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ascii="Times New Roman" w:hAnsi="Times New Roman" w:eastAsia="Times New Roman" w:cs="Times New Roman"/>
                <w:color w:val="auto"/>
                <w:sz w:val="24"/>
                <w:szCs w:val="24"/>
                <w:highlight w:val="none"/>
              </w:rPr>
              <w:t>项目总投资</w:t>
            </w:r>
            <w:r>
              <w:rPr>
                <w:rFonts w:hint="eastAsia" w:cs="Times New Roman"/>
                <w:color w:val="auto"/>
                <w:sz w:val="24"/>
                <w:szCs w:val="24"/>
                <w:highlight w:val="none"/>
                <w:lang w:val="en-US" w:eastAsia="zh-CN"/>
              </w:rPr>
              <w:t>15.3</w:t>
            </w:r>
            <w:r>
              <w:rPr>
                <w:rFonts w:ascii="Times New Roman" w:hAnsi="Times New Roman" w:eastAsia="Times New Roman" w:cs="Times New Roman"/>
                <w:color w:val="auto"/>
                <w:sz w:val="24"/>
                <w:szCs w:val="24"/>
                <w:highlight w:val="none"/>
              </w:rPr>
              <w:t>万元</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其中环保投资</w:t>
            </w:r>
            <w:r>
              <w:rPr>
                <w:rFonts w:hint="eastAsia" w:cs="Times New Roman"/>
                <w:color w:val="auto"/>
                <w:sz w:val="24"/>
                <w:szCs w:val="24"/>
                <w:highlight w:val="none"/>
                <w:lang w:val="en-US" w:eastAsia="zh-CN"/>
              </w:rPr>
              <w:t>15.3</w:t>
            </w:r>
            <w:r>
              <w:rPr>
                <w:rFonts w:ascii="Times New Roman" w:hAnsi="Times New Roman" w:eastAsia="Times New Roman" w:cs="Times New Roman"/>
                <w:color w:val="auto"/>
                <w:sz w:val="24"/>
                <w:szCs w:val="24"/>
                <w:highlight w:val="none"/>
              </w:rPr>
              <w:t>万元</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占总投资比例为</w:t>
            </w:r>
            <w:r>
              <w:rPr>
                <w:rFonts w:hint="eastAsia" w:cs="Times New Roman"/>
                <w:color w:val="auto"/>
                <w:sz w:val="24"/>
                <w:szCs w:val="24"/>
                <w:highlight w:val="none"/>
                <w:lang w:val="en-US" w:eastAsia="zh-CN"/>
              </w:rPr>
              <w:t>100</w:t>
            </w:r>
            <w:r>
              <w:rPr>
                <w:rFonts w:hint="eastAsia" w:ascii="Times New Roman" w:hAnsi="Times New Roman" w:eastAsia="Times New Roman" w:cs="Times New Roman"/>
                <w:color w:val="auto"/>
                <w:sz w:val="24"/>
                <w:szCs w:val="24"/>
                <w:highlight w:val="none"/>
              </w:rPr>
              <w:t>%</w:t>
            </w:r>
            <w:r>
              <w:rPr>
                <w:rFonts w:ascii="Times New Roman" w:hAnsi="Times New Roman" w:eastAsia="Times New Roman" w:cs="Times New Roman"/>
                <w:color w:val="auto"/>
                <w:sz w:val="24"/>
                <w:szCs w:val="24"/>
                <w:highlight w:val="none"/>
              </w:rPr>
              <w:t>。环保投资估算一览表见</w:t>
            </w:r>
            <w:r>
              <w:rPr>
                <w:rFonts w:hint="eastAsia" w:ascii="Times New Roman" w:hAnsi="Times New Roman" w:eastAsia="Times New Roman" w:cs="Times New Roman"/>
                <w:color w:val="auto"/>
                <w:sz w:val="24"/>
                <w:szCs w:val="24"/>
                <w:highlight w:val="none"/>
              </w:rPr>
              <w:t>下</w:t>
            </w:r>
            <w:r>
              <w:rPr>
                <w:rFonts w:ascii="Times New Roman" w:hAnsi="Times New Roman" w:eastAsia="Times New Roman" w:cs="Times New Roman"/>
                <w:color w:val="auto"/>
                <w:sz w:val="24"/>
                <w:szCs w:val="24"/>
                <w:highlight w:val="none"/>
              </w:rPr>
              <w:t>表。</w:t>
            </w:r>
          </w:p>
          <w:p w14:paraId="3C48BBCC">
            <w:pPr>
              <w:pStyle w:val="25"/>
              <w:bidi w:val="0"/>
              <w:rPr>
                <w:color w:val="auto"/>
                <w:highlight w:val="none"/>
              </w:rPr>
            </w:pPr>
            <w:r>
              <w:rPr>
                <w:color w:val="auto"/>
                <w:highlight w:val="none"/>
              </w:rPr>
              <w:t>环保投资估算一览表</w:t>
            </w:r>
          </w:p>
          <w:tbl>
            <w:tblPr>
              <w:tblStyle w:val="16"/>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6"/>
              <w:gridCol w:w="1867"/>
              <w:gridCol w:w="2000"/>
              <w:gridCol w:w="1465"/>
              <w:gridCol w:w="1536"/>
            </w:tblGrid>
            <w:tr w14:paraId="44BDE8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3" w:type="pct"/>
                  <w:vAlign w:val="center"/>
                </w:tcPr>
                <w:p w14:paraId="4D5956E7">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类别</w:t>
                  </w:r>
                </w:p>
              </w:tc>
              <w:tc>
                <w:tcPr>
                  <w:tcW w:w="1219" w:type="pct"/>
                  <w:vAlign w:val="center"/>
                </w:tcPr>
                <w:p w14:paraId="7767B4EE">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部位及工序</w:t>
                  </w:r>
                </w:p>
              </w:tc>
              <w:tc>
                <w:tcPr>
                  <w:tcW w:w="1306" w:type="pct"/>
                  <w:vAlign w:val="center"/>
                </w:tcPr>
                <w:p w14:paraId="60950692">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环保措施名称</w:t>
                  </w:r>
                </w:p>
              </w:tc>
              <w:tc>
                <w:tcPr>
                  <w:tcW w:w="957" w:type="pct"/>
                  <w:vAlign w:val="center"/>
                </w:tcPr>
                <w:p w14:paraId="5029EF79">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数量</w:t>
                  </w:r>
                  <w:r>
                    <w:rPr>
                      <w:rFonts w:ascii="Times New Roman" w:hAnsi="Times New Roman" w:eastAsia="宋体" w:cs="Times New Roman"/>
                      <w:b/>
                      <w:color w:val="auto"/>
                      <w:sz w:val="21"/>
                      <w:szCs w:val="21"/>
                      <w:highlight w:val="none"/>
                    </w:rPr>
                    <w:t>（套/台）</w:t>
                  </w:r>
                </w:p>
              </w:tc>
              <w:tc>
                <w:tcPr>
                  <w:tcW w:w="1003" w:type="pct"/>
                  <w:vAlign w:val="center"/>
                </w:tcPr>
                <w:p w14:paraId="73D4C607">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投资额（万元）</w:t>
                  </w:r>
                </w:p>
              </w:tc>
            </w:tr>
            <w:tr w14:paraId="127253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3" w:type="pct"/>
                  <w:vAlign w:val="center"/>
                </w:tcPr>
                <w:p w14:paraId="449D21EA">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废气</w:t>
                  </w:r>
                </w:p>
              </w:tc>
              <w:tc>
                <w:tcPr>
                  <w:tcW w:w="1219" w:type="pct"/>
                  <w:vAlign w:val="center"/>
                </w:tcPr>
                <w:p w14:paraId="5B2ADDBB">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贮存废气</w:t>
                  </w:r>
                </w:p>
              </w:tc>
              <w:tc>
                <w:tcPr>
                  <w:tcW w:w="1306" w:type="pct"/>
                  <w:vAlign w:val="center"/>
                </w:tcPr>
                <w:p w14:paraId="168932F7">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eastAsia="zh-CN"/>
                    </w:rPr>
                    <w:t>排气扇</w:t>
                  </w:r>
                </w:p>
              </w:tc>
              <w:tc>
                <w:tcPr>
                  <w:tcW w:w="957" w:type="pct"/>
                  <w:vAlign w:val="center"/>
                </w:tcPr>
                <w:p w14:paraId="2874F404">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rPr>
                    <w:t>套</w:t>
                  </w:r>
                </w:p>
              </w:tc>
              <w:tc>
                <w:tcPr>
                  <w:tcW w:w="1003" w:type="pct"/>
                  <w:vAlign w:val="center"/>
                </w:tcPr>
                <w:p w14:paraId="29C1FF77">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0.3</w:t>
                  </w:r>
                </w:p>
              </w:tc>
            </w:tr>
            <w:tr w14:paraId="476917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3" w:type="pct"/>
                  <w:vAlign w:val="center"/>
                </w:tcPr>
                <w:p w14:paraId="5F704CAB">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固废</w:t>
                  </w:r>
                </w:p>
              </w:tc>
              <w:tc>
                <w:tcPr>
                  <w:tcW w:w="2525" w:type="pct"/>
                  <w:gridSpan w:val="2"/>
                  <w:vAlign w:val="center"/>
                </w:tcPr>
                <w:p w14:paraId="3BB69587">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eastAsia="zh-CN"/>
                    </w:rPr>
                    <w:t>危险废物贮存点</w:t>
                  </w:r>
                </w:p>
              </w:tc>
              <w:tc>
                <w:tcPr>
                  <w:tcW w:w="957" w:type="pct"/>
                  <w:vAlign w:val="center"/>
                </w:tcPr>
                <w:p w14:paraId="669334AE">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val="en-US" w:eastAsia="zh-CN"/>
                    </w:rPr>
                    <w:t>1</w:t>
                  </w:r>
                </w:p>
              </w:tc>
              <w:tc>
                <w:tcPr>
                  <w:tcW w:w="1003" w:type="pct"/>
                  <w:vAlign w:val="center"/>
                </w:tcPr>
                <w:p w14:paraId="3858F2D8">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10</w:t>
                  </w:r>
                </w:p>
              </w:tc>
            </w:tr>
            <w:tr w14:paraId="39D9FA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3" w:type="pct"/>
                  <w:vMerge w:val="restart"/>
                  <w:vAlign w:val="center"/>
                </w:tcPr>
                <w:p w14:paraId="25A6D5C6">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风险</w:t>
                  </w:r>
                </w:p>
              </w:tc>
              <w:tc>
                <w:tcPr>
                  <w:tcW w:w="1219" w:type="pct"/>
                  <w:vAlign w:val="center"/>
                </w:tcPr>
                <w:p w14:paraId="0C63C44E">
                  <w:pPr>
                    <w:pStyle w:val="24"/>
                    <w:spacing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导流</w:t>
                  </w:r>
                  <w:r>
                    <w:rPr>
                      <w:rFonts w:hint="eastAsia" w:ascii="Times New Roman" w:hAnsi="Times New Roman" w:eastAsia="宋体" w:cs="Times New Roman"/>
                      <w:color w:val="auto"/>
                      <w:sz w:val="21"/>
                      <w:szCs w:val="21"/>
                      <w:highlight w:val="none"/>
                      <w:lang w:val="en-US" w:eastAsia="zh-CN"/>
                    </w:rPr>
                    <w:t>沟</w:t>
                  </w:r>
                </w:p>
              </w:tc>
              <w:tc>
                <w:tcPr>
                  <w:tcW w:w="1306" w:type="pct"/>
                  <w:vAlign w:val="center"/>
                </w:tcPr>
                <w:p w14:paraId="6A6EA0BA">
                  <w:pPr>
                    <w:pStyle w:val="24"/>
                    <w:spacing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导流</w:t>
                  </w:r>
                  <w:r>
                    <w:rPr>
                      <w:rFonts w:hint="eastAsia" w:ascii="Times New Roman" w:hAnsi="Times New Roman" w:eastAsia="宋体" w:cs="Times New Roman"/>
                      <w:color w:val="auto"/>
                      <w:sz w:val="21"/>
                      <w:szCs w:val="21"/>
                      <w:highlight w:val="none"/>
                      <w:lang w:val="en-US" w:eastAsia="zh-CN"/>
                    </w:rPr>
                    <w:t>沟</w:t>
                  </w:r>
                </w:p>
              </w:tc>
              <w:tc>
                <w:tcPr>
                  <w:tcW w:w="957" w:type="pct"/>
                  <w:vAlign w:val="center"/>
                </w:tcPr>
                <w:p w14:paraId="3118E8D9">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003" w:type="pct"/>
                  <w:vAlign w:val="center"/>
                </w:tcPr>
                <w:p w14:paraId="23A9882D">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0.8</w:t>
                  </w:r>
                </w:p>
              </w:tc>
            </w:tr>
            <w:tr w14:paraId="30AA52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3" w:type="pct"/>
                  <w:vMerge w:val="continue"/>
                  <w:vAlign w:val="center"/>
                </w:tcPr>
                <w:p w14:paraId="7A770C6B">
                  <w:pPr>
                    <w:pStyle w:val="24"/>
                    <w:spacing w:line="240" w:lineRule="auto"/>
                    <w:rPr>
                      <w:rFonts w:ascii="Times New Roman" w:hAnsi="Times New Roman" w:eastAsia="宋体" w:cs="Times New Roman"/>
                      <w:color w:val="auto"/>
                      <w:sz w:val="21"/>
                      <w:szCs w:val="21"/>
                      <w:highlight w:val="none"/>
                    </w:rPr>
                  </w:pPr>
                </w:p>
              </w:tc>
              <w:tc>
                <w:tcPr>
                  <w:tcW w:w="1219" w:type="pct"/>
                  <w:vAlign w:val="center"/>
                </w:tcPr>
                <w:p w14:paraId="44245A6F">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集液池</w:t>
                  </w:r>
                </w:p>
              </w:tc>
              <w:tc>
                <w:tcPr>
                  <w:tcW w:w="1306" w:type="pct"/>
                  <w:vAlign w:val="center"/>
                </w:tcPr>
                <w:p w14:paraId="41AE2E03">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集液池</w:t>
                  </w:r>
                </w:p>
              </w:tc>
              <w:tc>
                <w:tcPr>
                  <w:tcW w:w="957" w:type="pct"/>
                  <w:vAlign w:val="center"/>
                </w:tcPr>
                <w:p w14:paraId="52281330">
                  <w:pPr>
                    <w:pStyle w:val="24"/>
                    <w:spacing w:line="240" w:lineRule="auto"/>
                    <w:rPr>
                      <w:rFonts w:ascii="Times New Roman" w:hAnsi="Times New Roman" w:eastAsia="宋体" w:cs="Times New Roman"/>
                      <w:color w:val="auto"/>
                      <w:sz w:val="21"/>
                      <w:szCs w:val="21"/>
                      <w:highlight w:val="none"/>
                    </w:rPr>
                  </w:pPr>
                  <w:r>
                    <w:rPr>
                      <w:rFonts w:hint="eastAsia" w:eastAsia="宋体" w:cs="Times New Roman"/>
                      <w:color w:val="auto"/>
                      <w:sz w:val="21"/>
                      <w:szCs w:val="21"/>
                      <w:highlight w:val="none"/>
                      <w:lang w:val="en-US" w:eastAsia="zh-CN"/>
                    </w:rPr>
                    <w:t>9.68</w:t>
                  </w:r>
                  <w:r>
                    <w:rPr>
                      <w:rFonts w:hint="eastAsia" w:ascii="Times New Roman" w:hAnsi="Times New Roman" w:eastAsia="宋体" w:cs="Times New Roman"/>
                      <w:color w:val="auto"/>
                      <w:sz w:val="21"/>
                      <w:szCs w:val="21"/>
                      <w:highlight w:val="none"/>
                    </w:rPr>
                    <w:t>m</w:t>
                  </w:r>
                  <w:r>
                    <w:rPr>
                      <w:rFonts w:hint="eastAsia" w:ascii="Times New Roman" w:hAnsi="Times New Roman" w:eastAsia="宋体" w:cs="Times New Roman"/>
                      <w:color w:val="auto"/>
                      <w:sz w:val="21"/>
                      <w:szCs w:val="21"/>
                      <w:highlight w:val="none"/>
                      <w:vertAlign w:val="superscript"/>
                    </w:rPr>
                    <w:t>3</w:t>
                  </w:r>
                </w:p>
              </w:tc>
              <w:tc>
                <w:tcPr>
                  <w:tcW w:w="1003" w:type="pct"/>
                  <w:vAlign w:val="center"/>
                </w:tcPr>
                <w:p w14:paraId="6674FA11">
                  <w:pPr>
                    <w:pStyle w:val="24"/>
                    <w:spacing w:line="240" w:lineRule="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1</w:t>
                  </w:r>
                </w:p>
              </w:tc>
            </w:tr>
            <w:tr w14:paraId="592A36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3" w:type="pct"/>
                  <w:vMerge w:val="restart"/>
                  <w:vAlign w:val="center"/>
                </w:tcPr>
                <w:p w14:paraId="11193641">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其他</w:t>
                  </w:r>
                </w:p>
              </w:tc>
              <w:tc>
                <w:tcPr>
                  <w:tcW w:w="1219" w:type="pct"/>
                  <w:vAlign w:val="center"/>
                </w:tcPr>
                <w:p w14:paraId="0F430414">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防渗</w:t>
                  </w:r>
                </w:p>
              </w:tc>
              <w:tc>
                <w:tcPr>
                  <w:tcW w:w="1306" w:type="pct"/>
                  <w:vAlign w:val="center"/>
                </w:tcPr>
                <w:p w14:paraId="19002A0A">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地面重点防渗</w:t>
                  </w:r>
                </w:p>
              </w:tc>
              <w:tc>
                <w:tcPr>
                  <w:tcW w:w="957" w:type="pct"/>
                  <w:vAlign w:val="center"/>
                </w:tcPr>
                <w:p w14:paraId="36599301">
                  <w:pPr>
                    <w:pStyle w:val="24"/>
                    <w:spacing w:line="240" w:lineRule="auto"/>
                    <w:rPr>
                      <w:rFonts w:ascii="Times New Roman" w:hAnsi="Times New Roman" w:eastAsia="宋体" w:cs="Times New Roman"/>
                      <w:color w:val="auto"/>
                      <w:sz w:val="21"/>
                      <w:szCs w:val="21"/>
                      <w:highlight w:val="none"/>
                    </w:rPr>
                  </w:pPr>
                  <w:r>
                    <w:rPr>
                      <w:rFonts w:hint="eastAsia" w:eastAsia="宋体" w:cs="Times New Roman"/>
                      <w:color w:val="auto"/>
                      <w:sz w:val="21"/>
                      <w:szCs w:val="21"/>
                      <w:highlight w:val="none"/>
                      <w:lang w:val="en-US" w:eastAsia="zh-CN"/>
                    </w:rPr>
                    <w:t>42</w:t>
                  </w:r>
                  <w:r>
                    <w:rPr>
                      <w:rFonts w:hint="eastAsia" w:ascii="Times New Roman" w:hAnsi="Times New Roman" w:eastAsia="宋体" w:cs="Times New Roman"/>
                      <w:color w:val="auto"/>
                      <w:sz w:val="21"/>
                      <w:szCs w:val="21"/>
                      <w:highlight w:val="none"/>
                    </w:rPr>
                    <w:t>m</w:t>
                  </w:r>
                  <w:r>
                    <w:rPr>
                      <w:rFonts w:hint="eastAsia" w:ascii="Times New Roman" w:hAnsi="Times New Roman" w:eastAsia="宋体" w:cs="Times New Roman"/>
                      <w:color w:val="auto"/>
                      <w:sz w:val="21"/>
                      <w:szCs w:val="21"/>
                      <w:highlight w:val="none"/>
                      <w:vertAlign w:val="superscript"/>
                    </w:rPr>
                    <w:t>2</w:t>
                  </w:r>
                </w:p>
              </w:tc>
              <w:tc>
                <w:tcPr>
                  <w:tcW w:w="1003" w:type="pct"/>
                  <w:vAlign w:val="center"/>
                </w:tcPr>
                <w:p w14:paraId="2569713F">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3</w:t>
                  </w:r>
                </w:p>
              </w:tc>
            </w:tr>
            <w:tr w14:paraId="2AA334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3" w:type="pct"/>
                  <w:vMerge w:val="continue"/>
                  <w:vAlign w:val="center"/>
                </w:tcPr>
                <w:p w14:paraId="436F660D">
                  <w:pPr>
                    <w:pStyle w:val="24"/>
                    <w:spacing w:line="240" w:lineRule="auto"/>
                    <w:rPr>
                      <w:rFonts w:ascii="Times New Roman" w:hAnsi="Times New Roman" w:eastAsia="宋体" w:cs="Times New Roman"/>
                      <w:color w:val="auto"/>
                      <w:sz w:val="21"/>
                      <w:szCs w:val="21"/>
                      <w:highlight w:val="none"/>
                    </w:rPr>
                  </w:pPr>
                </w:p>
              </w:tc>
              <w:tc>
                <w:tcPr>
                  <w:tcW w:w="1219" w:type="pct"/>
                  <w:vAlign w:val="center"/>
                </w:tcPr>
                <w:p w14:paraId="23AADACA">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环保标识</w:t>
                  </w:r>
                </w:p>
              </w:tc>
              <w:tc>
                <w:tcPr>
                  <w:tcW w:w="1306" w:type="pct"/>
                  <w:vAlign w:val="center"/>
                </w:tcPr>
                <w:p w14:paraId="6C983798">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957" w:type="pct"/>
                  <w:vAlign w:val="center"/>
                </w:tcPr>
                <w:p w14:paraId="2699B59C">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若干</w:t>
                  </w:r>
                </w:p>
              </w:tc>
              <w:tc>
                <w:tcPr>
                  <w:tcW w:w="1003" w:type="pct"/>
                  <w:vAlign w:val="center"/>
                </w:tcPr>
                <w:p w14:paraId="71D8F105">
                  <w:pPr>
                    <w:pStyle w:val="24"/>
                    <w:spacing w:line="240" w:lineRule="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0.2</w:t>
                  </w:r>
                </w:p>
              </w:tc>
            </w:tr>
            <w:tr w14:paraId="16226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6" w:type="pct"/>
                  <w:gridSpan w:val="4"/>
                  <w:vAlign w:val="center"/>
                </w:tcPr>
                <w:p w14:paraId="521CD52F">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合计</w:t>
                  </w:r>
                </w:p>
              </w:tc>
              <w:tc>
                <w:tcPr>
                  <w:tcW w:w="1003" w:type="pct"/>
                  <w:vAlign w:val="center"/>
                </w:tcPr>
                <w:p w14:paraId="372B6083">
                  <w:pPr>
                    <w:pStyle w:val="24"/>
                    <w:spacing w:line="240" w:lineRule="auto"/>
                    <w:rPr>
                      <w:rFonts w:hint="default" w:ascii="Times New Roman" w:hAnsi="Times New Roman" w:cs="Times New Roman" w:eastAsiaTheme="minorEastAsia"/>
                      <w:color w:val="auto"/>
                      <w:sz w:val="21"/>
                      <w:szCs w:val="21"/>
                      <w:highlight w:val="none"/>
                      <w:lang w:val="en-US" w:eastAsia="zh-CN"/>
                    </w:rPr>
                  </w:pPr>
                  <w:r>
                    <w:rPr>
                      <w:rFonts w:hint="eastAsia" w:eastAsia="宋体" w:cs="Times New Roman"/>
                      <w:color w:val="auto"/>
                      <w:sz w:val="21"/>
                      <w:szCs w:val="21"/>
                      <w:highlight w:val="none"/>
                      <w:lang w:val="en-US" w:eastAsia="zh-CN"/>
                    </w:rPr>
                    <w:t>15.3</w:t>
                  </w:r>
                </w:p>
              </w:tc>
            </w:tr>
          </w:tbl>
          <w:p w14:paraId="40A70AC9">
            <w:pPr>
              <w:bidi w:val="0"/>
              <w:spacing w:line="360" w:lineRule="auto"/>
              <w:rPr>
                <w:rFonts w:hint="default"/>
                <w:b/>
                <w:bCs/>
                <w:color w:val="auto"/>
                <w:highlight w:val="none"/>
              </w:rPr>
            </w:pPr>
            <w:r>
              <w:rPr>
                <w:b/>
                <w:bCs/>
                <w:color w:val="auto"/>
                <w:highlight w:val="none"/>
              </w:rPr>
              <w:t>2环保验收</w:t>
            </w:r>
          </w:p>
          <w:p w14:paraId="6355A127">
            <w:pPr>
              <w:bidi w:val="0"/>
              <w:spacing w:line="360" w:lineRule="auto"/>
              <w:rPr>
                <w:color w:val="auto"/>
                <w:highlight w:val="none"/>
              </w:rPr>
            </w:pPr>
            <w:r>
              <w:rPr>
                <w:rFonts w:hint="eastAsia"/>
                <w:color w:val="auto"/>
                <w:highlight w:val="none"/>
              </w:rPr>
              <w:t>根据《关于发布〈建设项目竣工环境保护验收暂行办法〉的公告》（国环规环评</w:t>
            </w:r>
            <w:r>
              <w:rPr>
                <w:rFonts w:hint="eastAsia"/>
                <w:color w:val="auto"/>
                <w:highlight w:val="none"/>
                <w:lang w:eastAsia="zh-CN"/>
              </w:rPr>
              <w:t>〔2017〕4号</w:t>
            </w:r>
            <w:r>
              <w:rPr>
                <w:rFonts w:hint="eastAsia"/>
                <w:color w:val="auto"/>
                <w:highlight w:val="none"/>
              </w:rPr>
              <w:t>）建设项目需要配套建设污染防治设施。</w:t>
            </w:r>
          </w:p>
          <w:p w14:paraId="671430BA">
            <w:pPr>
              <w:bidi w:val="0"/>
              <w:spacing w:line="360" w:lineRule="auto"/>
              <w:rPr>
                <w:rFonts w:hint="eastAsia"/>
                <w:color w:val="auto"/>
                <w:highlight w:val="none"/>
              </w:rPr>
            </w:pPr>
            <w:r>
              <w:rPr>
                <w:rFonts w:hint="eastAsia"/>
                <w:color w:val="auto"/>
                <w:highlight w:val="none"/>
              </w:rPr>
              <w:t>从2017年11月20日开始，建设单位是建设项目竣工环境保护验收的责任主体，应当按照《建设项目竣工环境保护验收暂行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w:t>
            </w:r>
          </w:p>
          <w:p w14:paraId="47B8D7E8">
            <w:pPr>
              <w:bidi w:val="0"/>
              <w:spacing w:line="360" w:lineRule="auto"/>
              <w:rPr>
                <w:rFonts w:hint="eastAsia"/>
                <w:color w:val="auto"/>
                <w:highlight w:val="none"/>
              </w:rPr>
            </w:pPr>
          </w:p>
          <w:p w14:paraId="1703C9D2">
            <w:pPr>
              <w:bidi w:val="0"/>
              <w:spacing w:line="360" w:lineRule="auto"/>
              <w:rPr>
                <w:rFonts w:hint="eastAsia"/>
                <w:color w:val="auto"/>
                <w:highlight w:val="none"/>
              </w:rPr>
            </w:pPr>
          </w:p>
          <w:p w14:paraId="2E478661">
            <w:pPr>
              <w:bidi w:val="0"/>
              <w:spacing w:line="360" w:lineRule="auto"/>
              <w:rPr>
                <w:rFonts w:hint="eastAsia"/>
                <w:color w:val="auto"/>
                <w:highlight w:val="none"/>
              </w:rPr>
            </w:pPr>
          </w:p>
          <w:p w14:paraId="303372EE">
            <w:pPr>
              <w:pStyle w:val="25"/>
              <w:bidi w:val="0"/>
              <w:rPr>
                <w:color w:val="auto"/>
                <w:highlight w:val="none"/>
              </w:rPr>
            </w:pPr>
            <w:r>
              <w:rPr>
                <w:color w:val="auto"/>
                <w:highlight w:val="none"/>
              </w:rPr>
              <w:t>环境保护竣工验收一览表</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5"/>
              <w:gridCol w:w="428"/>
              <w:gridCol w:w="952"/>
              <w:gridCol w:w="533"/>
              <w:gridCol w:w="1300"/>
              <w:gridCol w:w="1152"/>
              <w:gridCol w:w="2907"/>
            </w:tblGrid>
            <w:tr w14:paraId="7037D7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tcBorders>
                    <w:tl2br w:val="nil"/>
                    <w:tr2bl w:val="nil"/>
                  </w:tcBorders>
                  <w:vAlign w:val="center"/>
                </w:tcPr>
                <w:p w14:paraId="40CCEB4E">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项目</w:t>
                  </w:r>
                </w:p>
              </w:tc>
              <w:tc>
                <w:tcPr>
                  <w:tcW w:w="901" w:type="pct"/>
                  <w:gridSpan w:val="2"/>
                  <w:tcBorders>
                    <w:tl2br w:val="nil"/>
                    <w:tr2bl w:val="nil"/>
                  </w:tcBorders>
                  <w:vAlign w:val="center"/>
                </w:tcPr>
                <w:p w14:paraId="106BD6D2">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污染源</w:t>
                  </w:r>
                </w:p>
              </w:tc>
              <w:tc>
                <w:tcPr>
                  <w:tcW w:w="348" w:type="pct"/>
                  <w:tcBorders>
                    <w:tl2br w:val="nil"/>
                    <w:tr2bl w:val="nil"/>
                  </w:tcBorders>
                  <w:vAlign w:val="center"/>
                </w:tcPr>
                <w:p w14:paraId="141CF4B5">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污染物</w:t>
                  </w:r>
                </w:p>
              </w:tc>
              <w:tc>
                <w:tcPr>
                  <w:tcW w:w="848" w:type="pct"/>
                  <w:tcBorders>
                    <w:tl2br w:val="nil"/>
                    <w:tr2bl w:val="nil"/>
                  </w:tcBorders>
                  <w:vAlign w:val="center"/>
                </w:tcPr>
                <w:p w14:paraId="35E482FF">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处理措施</w:t>
                  </w:r>
                </w:p>
              </w:tc>
              <w:tc>
                <w:tcPr>
                  <w:tcW w:w="752" w:type="pct"/>
                  <w:tcBorders>
                    <w:tl2br w:val="nil"/>
                    <w:tr2bl w:val="nil"/>
                  </w:tcBorders>
                  <w:vAlign w:val="center"/>
                </w:tcPr>
                <w:p w14:paraId="1A822FCE">
                  <w:pPr>
                    <w:pStyle w:val="27"/>
                    <w:spacing w:line="240" w:lineRule="auto"/>
                    <w:rPr>
                      <w:rFonts w:hint="default" w:ascii="Times New Roman" w:hAnsi="Times New Roman" w:eastAsia="宋体" w:cs="Times New Roman"/>
                      <w:color w:val="auto"/>
                      <w:sz w:val="21"/>
                      <w:szCs w:val="21"/>
                      <w:highlight w:val="none"/>
                    </w:rPr>
                  </w:pPr>
                  <w:r>
                    <w:rPr>
                      <w:rFonts w:ascii="Times New Roman" w:hAnsi="Times New Roman" w:eastAsia="宋体" w:cs="Times New Roman"/>
                      <w:b/>
                      <w:color w:val="auto"/>
                      <w:sz w:val="21"/>
                      <w:szCs w:val="21"/>
                      <w:highlight w:val="none"/>
                    </w:rPr>
                    <w:t>监测因子</w:t>
                  </w:r>
                </w:p>
              </w:tc>
              <w:tc>
                <w:tcPr>
                  <w:tcW w:w="1898" w:type="pct"/>
                  <w:tcBorders>
                    <w:tl2br w:val="nil"/>
                    <w:tr2bl w:val="nil"/>
                  </w:tcBorders>
                  <w:vAlign w:val="center"/>
                </w:tcPr>
                <w:p w14:paraId="0F70AA09">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验收标准</w:t>
                  </w:r>
                </w:p>
              </w:tc>
            </w:tr>
            <w:tr w14:paraId="4924D6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tcBorders>
                    <w:tl2br w:val="nil"/>
                    <w:tr2bl w:val="nil"/>
                  </w:tcBorders>
                  <w:vAlign w:val="center"/>
                </w:tcPr>
                <w:p w14:paraId="295677CD">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废气</w:t>
                  </w:r>
                </w:p>
              </w:tc>
              <w:tc>
                <w:tcPr>
                  <w:tcW w:w="279" w:type="pct"/>
                  <w:tcBorders>
                    <w:tl2br w:val="nil"/>
                    <w:tr2bl w:val="nil"/>
                  </w:tcBorders>
                  <w:vAlign w:val="center"/>
                </w:tcPr>
                <w:p w14:paraId="753EB2EF">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无组织</w:t>
                  </w:r>
                </w:p>
              </w:tc>
              <w:tc>
                <w:tcPr>
                  <w:tcW w:w="621" w:type="pct"/>
                  <w:tcBorders>
                    <w:tl2br w:val="nil"/>
                    <w:tr2bl w:val="nil"/>
                  </w:tcBorders>
                  <w:shd w:val="clear" w:color="auto" w:fill="auto"/>
                  <w:vAlign w:val="center"/>
                </w:tcPr>
                <w:p w14:paraId="01637543">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废</w:t>
                  </w:r>
                  <w:r>
                    <w:rPr>
                      <w:rFonts w:hint="eastAsia" w:eastAsia="宋体" w:cs="Times New Roman"/>
                      <w:color w:val="auto"/>
                      <w:sz w:val="21"/>
                      <w:szCs w:val="21"/>
                      <w:highlight w:val="none"/>
                      <w:lang w:eastAsia="zh-CN"/>
                    </w:rPr>
                    <w:t>油类物质、</w:t>
                  </w:r>
                  <w:r>
                    <w:rPr>
                      <w:rFonts w:hint="eastAsia" w:ascii="Times New Roman" w:hAnsi="Times New Roman" w:eastAsia="宋体" w:cs="Times New Roman"/>
                      <w:color w:val="auto"/>
                      <w:sz w:val="21"/>
                      <w:szCs w:val="21"/>
                      <w:highlight w:val="none"/>
                      <w:lang w:val="en-US" w:eastAsia="zh-CN"/>
                    </w:rPr>
                    <w:t>废油桶</w:t>
                  </w:r>
                  <w:r>
                    <w:rPr>
                      <w:rFonts w:hint="eastAsia" w:ascii="Times New Roman" w:hAnsi="Times New Roman" w:eastAsia="宋体" w:cs="Times New Roman"/>
                      <w:color w:val="auto"/>
                      <w:sz w:val="21"/>
                      <w:szCs w:val="21"/>
                      <w:highlight w:val="none"/>
                    </w:rPr>
                    <w:t>贮存</w:t>
                  </w:r>
                </w:p>
              </w:tc>
              <w:tc>
                <w:tcPr>
                  <w:tcW w:w="348" w:type="pct"/>
                  <w:tcBorders>
                    <w:tl2br w:val="nil"/>
                    <w:tr2bl w:val="nil"/>
                  </w:tcBorders>
                  <w:shd w:val="clear" w:color="auto" w:fill="auto"/>
                  <w:vAlign w:val="center"/>
                </w:tcPr>
                <w:p w14:paraId="5F963752">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非甲烷总烃</w:t>
                  </w:r>
                </w:p>
              </w:tc>
              <w:tc>
                <w:tcPr>
                  <w:tcW w:w="848" w:type="pct"/>
                  <w:tcBorders>
                    <w:tl2br w:val="nil"/>
                    <w:tr2bl w:val="nil"/>
                  </w:tcBorders>
                  <w:shd w:val="clear" w:color="auto" w:fill="auto"/>
                  <w:vAlign w:val="center"/>
                </w:tcPr>
                <w:p w14:paraId="20D53689">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加盖贮存、封闭车间</w:t>
                  </w:r>
                  <w:r>
                    <w:rPr>
                      <w:rFonts w:hint="eastAsia" w:eastAsia="宋体" w:cs="Times New Roman"/>
                      <w:color w:val="auto"/>
                      <w:sz w:val="21"/>
                      <w:szCs w:val="21"/>
                      <w:highlight w:val="none"/>
                      <w:lang w:eastAsia="zh-CN"/>
                    </w:rPr>
                    <w:t>、排气扇</w:t>
                  </w:r>
                </w:p>
              </w:tc>
              <w:tc>
                <w:tcPr>
                  <w:tcW w:w="752" w:type="pct"/>
                  <w:tcBorders>
                    <w:tl2br w:val="nil"/>
                    <w:tr2bl w:val="nil"/>
                  </w:tcBorders>
                  <w:shd w:val="clear" w:color="auto" w:fill="auto"/>
                  <w:vAlign w:val="center"/>
                </w:tcPr>
                <w:p w14:paraId="2E99DA5F">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厂界非甲烷总烃、</w:t>
                  </w:r>
                  <w:r>
                    <w:rPr>
                      <w:rFonts w:hint="eastAsia" w:eastAsia="宋体" w:cs="Times New Roman"/>
                      <w:color w:val="auto"/>
                      <w:sz w:val="21"/>
                      <w:szCs w:val="21"/>
                      <w:highlight w:val="none"/>
                      <w:lang w:eastAsia="zh-CN"/>
                    </w:rPr>
                    <w:t>厂房</w:t>
                  </w:r>
                  <w:r>
                    <w:rPr>
                      <w:rFonts w:hint="eastAsia" w:ascii="Times New Roman" w:hAnsi="Times New Roman" w:eastAsia="宋体" w:cs="Times New Roman"/>
                      <w:color w:val="auto"/>
                      <w:sz w:val="21"/>
                      <w:szCs w:val="21"/>
                      <w:highlight w:val="none"/>
                    </w:rPr>
                    <w:t>外厂区内非甲烷总烃</w:t>
                  </w:r>
                </w:p>
              </w:tc>
              <w:tc>
                <w:tcPr>
                  <w:tcW w:w="1898" w:type="pct"/>
                  <w:tcBorders>
                    <w:tl2br w:val="nil"/>
                    <w:tr2bl w:val="nil"/>
                  </w:tcBorders>
                  <w:vAlign w:val="center"/>
                </w:tcPr>
                <w:p w14:paraId="5F5B359E">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厂界执行《大气污染物综合排放标准》（GB16297-1996）；厂区内执行《挥发性有机物无组织排放控制标准》（GB 37822-2019）厂房外监控点</w:t>
                  </w:r>
                </w:p>
              </w:tc>
            </w:tr>
            <w:tr w14:paraId="049A30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tcBorders>
                    <w:tl2br w:val="nil"/>
                    <w:tr2bl w:val="nil"/>
                  </w:tcBorders>
                  <w:vAlign w:val="center"/>
                </w:tcPr>
                <w:p w14:paraId="0A21C37E">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噪声</w:t>
                  </w:r>
                </w:p>
              </w:tc>
              <w:tc>
                <w:tcPr>
                  <w:tcW w:w="901" w:type="pct"/>
                  <w:gridSpan w:val="2"/>
                  <w:tcBorders>
                    <w:tl2br w:val="nil"/>
                    <w:tr2bl w:val="nil"/>
                  </w:tcBorders>
                  <w:vAlign w:val="center"/>
                </w:tcPr>
                <w:p w14:paraId="4C555C10">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eastAsia="zh-CN"/>
                    </w:rPr>
                    <w:t>排气扇</w:t>
                  </w:r>
                </w:p>
              </w:tc>
              <w:tc>
                <w:tcPr>
                  <w:tcW w:w="348" w:type="pct"/>
                  <w:tcBorders>
                    <w:tl2br w:val="nil"/>
                    <w:tr2bl w:val="nil"/>
                  </w:tcBorders>
                  <w:vAlign w:val="center"/>
                </w:tcPr>
                <w:p w14:paraId="01B9C0DC">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Le</w:t>
                  </w:r>
                  <w:r>
                    <w:rPr>
                      <w:rFonts w:hint="eastAsia" w:eastAsia="宋体" w:cs="Times New Roman"/>
                      <w:color w:val="auto"/>
                      <w:sz w:val="21"/>
                      <w:szCs w:val="21"/>
                      <w:highlight w:val="none"/>
                      <w:lang w:val="en-US" w:eastAsia="zh-CN"/>
                    </w:rPr>
                    <w:t>q</w:t>
                  </w:r>
                </w:p>
              </w:tc>
              <w:tc>
                <w:tcPr>
                  <w:tcW w:w="848" w:type="pct"/>
                  <w:tcBorders>
                    <w:tl2br w:val="nil"/>
                    <w:tr2bl w:val="nil"/>
                  </w:tcBorders>
                  <w:vAlign w:val="center"/>
                </w:tcPr>
                <w:p w14:paraId="4E2872BD">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选用低噪声设备、基础减振等</w:t>
                  </w:r>
                </w:p>
              </w:tc>
              <w:tc>
                <w:tcPr>
                  <w:tcW w:w="752" w:type="pct"/>
                  <w:tcBorders>
                    <w:tl2br w:val="nil"/>
                    <w:tr2bl w:val="nil"/>
                  </w:tcBorders>
                  <w:vAlign w:val="center"/>
                </w:tcPr>
                <w:p w14:paraId="00C6AD0F">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Le</w:t>
                  </w:r>
                  <w:r>
                    <w:rPr>
                      <w:rFonts w:hint="eastAsia" w:eastAsia="宋体" w:cs="Times New Roman"/>
                      <w:color w:val="auto"/>
                      <w:sz w:val="21"/>
                      <w:szCs w:val="21"/>
                      <w:highlight w:val="none"/>
                      <w:lang w:val="en-US" w:eastAsia="zh-CN"/>
                    </w:rPr>
                    <w:t>q</w:t>
                  </w:r>
                </w:p>
              </w:tc>
              <w:tc>
                <w:tcPr>
                  <w:tcW w:w="1898" w:type="pct"/>
                  <w:tcBorders>
                    <w:tl2br w:val="nil"/>
                    <w:tr2bl w:val="nil"/>
                  </w:tcBorders>
                  <w:vAlign w:val="center"/>
                </w:tcPr>
                <w:p w14:paraId="60E9CE3F">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《工业企业厂界环境噪声排放标准》（GB 12348-2008）中的</w:t>
                  </w:r>
                  <w:r>
                    <w:rPr>
                      <w:rFonts w:hint="eastAsia" w:eastAsia="宋体" w:cs="Times New Roman"/>
                      <w:color w:val="auto"/>
                      <w:sz w:val="21"/>
                      <w:szCs w:val="21"/>
                      <w:highlight w:val="none"/>
                      <w:lang w:val="en-US" w:eastAsia="zh-CN"/>
                    </w:rPr>
                    <w:t>1</w:t>
                  </w:r>
                  <w:r>
                    <w:rPr>
                      <w:rFonts w:ascii="Times New Roman" w:hAnsi="Times New Roman" w:eastAsia="宋体" w:cs="Times New Roman"/>
                      <w:color w:val="auto"/>
                      <w:sz w:val="21"/>
                      <w:szCs w:val="21"/>
                      <w:highlight w:val="none"/>
                    </w:rPr>
                    <w:t>类标准要求</w:t>
                  </w:r>
                </w:p>
              </w:tc>
            </w:tr>
            <w:tr w14:paraId="0D47CC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tcBorders>
                    <w:tl2br w:val="nil"/>
                    <w:tr2bl w:val="nil"/>
                  </w:tcBorders>
                  <w:vAlign w:val="center"/>
                </w:tcPr>
                <w:p w14:paraId="74922A84">
                  <w:pPr>
                    <w:pStyle w:val="24"/>
                    <w:spacing w:line="240" w:lineRule="auto"/>
                    <w:ind w:firstLine="0" w:firstLineChars="0"/>
                    <w:rPr>
                      <w:rFonts w:ascii="Times New Roman" w:hAnsi="Times New Roman" w:eastAsia="宋体" w:cs="Times New Roman"/>
                      <w:color w:val="auto"/>
                      <w:sz w:val="21"/>
                      <w:szCs w:val="21"/>
                      <w:highlight w:val="none"/>
                    </w:rPr>
                  </w:pPr>
                  <w:r>
                    <w:rPr>
                      <w:color w:val="auto"/>
                      <w:highlight w:val="none"/>
                    </w:rPr>
                    <w:t>固废</w:t>
                  </w:r>
                </w:p>
              </w:tc>
              <w:tc>
                <w:tcPr>
                  <w:tcW w:w="901" w:type="pct"/>
                  <w:gridSpan w:val="2"/>
                  <w:tcBorders>
                    <w:tl2br w:val="nil"/>
                    <w:tr2bl w:val="nil"/>
                  </w:tcBorders>
                  <w:vAlign w:val="center"/>
                </w:tcPr>
                <w:p w14:paraId="3D1EB685">
                  <w:pPr>
                    <w:pStyle w:val="24"/>
                    <w:spacing w:line="240" w:lineRule="auto"/>
                    <w:ind w:firstLine="0" w:firstLineChars="0"/>
                    <w:rPr>
                      <w:rFonts w:hint="eastAsia" w:eastAsia="宋体" w:cs="Times New Roman"/>
                      <w:color w:val="auto"/>
                      <w:sz w:val="21"/>
                      <w:szCs w:val="21"/>
                      <w:highlight w:val="none"/>
                      <w:lang w:eastAsia="zh-CN"/>
                    </w:rPr>
                  </w:pPr>
                  <w:r>
                    <w:rPr>
                      <w:rFonts w:hint="eastAsia"/>
                      <w:color w:val="auto"/>
                      <w:highlight w:val="none"/>
                    </w:rPr>
                    <w:t>危险废物收集贮存</w:t>
                  </w:r>
                </w:p>
              </w:tc>
              <w:tc>
                <w:tcPr>
                  <w:tcW w:w="348" w:type="pct"/>
                  <w:tcBorders>
                    <w:tl2br w:val="nil"/>
                    <w:tr2bl w:val="nil"/>
                  </w:tcBorders>
                  <w:vAlign w:val="center"/>
                </w:tcPr>
                <w:p w14:paraId="7DC0CEDE">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color w:val="auto"/>
                      <w:highlight w:val="none"/>
                    </w:rPr>
                    <w:t>废劳保用品</w:t>
                  </w:r>
                </w:p>
              </w:tc>
              <w:tc>
                <w:tcPr>
                  <w:tcW w:w="848" w:type="pct"/>
                  <w:tcBorders>
                    <w:tl2br w:val="nil"/>
                    <w:tr2bl w:val="nil"/>
                  </w:tcBorders>
                  <w:vAlign w:val="center"/>
                </w:tcPr>
                <w:p w14:paraId="31DCFE6B">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color w:val="auto"/>
                      <w:highlight w:val="none"/>
                    </w:rPr>
                    <w:t>置于耐酸耐腐蚀的带盖塑料(PE)箱内</w:t>
                  </w:r>
                </w:p>
              </w:tc>
              <w:tc>
                <w:tcPr>
                  <w:tcW w:w="752" w:type="pct"/>
                  <w:tcBorders>
                    <w:tl2br w:val="nil"/>
                    <w:tr2bl w:val="nil"/>
                  </w:tcBorders>
                  <w:vAlign w:val="center"/>
                </w:tcPr>
                <w:p w14:paraId="7A98249D">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color w:val="auto"/>
                      <w:highlight w:val="none"/>
                    </w:rPr>
                    <w:t>/</w:t>
                  </w:r>
                </w:p>
              </w:tc>
              <w:tc>
                <w:tcPr>
                  <w:tcW w:w="1898" w:type="pct"/>
                  <w:tcBorders>
                    <w:tl2br w:val="nil"/>
                    <w:tr2bl w:val="nil"/>
                  </w:tcBorders>
                  <w:vAlign w:val="center"/>
                </w:tcPr>
                <w:p w14:paraId="476C5DB2">
                  <w:pPr>
                    <w:pStyle w:val="24"/>
                    <w:spacing w:line="240" w:lineRule="auto"/>
                    <w:ind w:firstLine="0" w:firstLineChars="0"/>
                    <w:rPr>
                      <w:rFonts w:ascii="Times New Roman" w:hAnsi="Times New Roman" w:eastAsia="宋体" w:cs="Times New Roman"/>
                      <w:color w:val="auto"/>
                      <w:sz w:val="21"/>
                      <w:szCs w:val="21"/>
                      <w:highlight w:val="none"/>
                    </w:rPr>
                  </w:pPr>
                  <w:r>
                    <w:rPr>
                      <w:color w:val="auto"/>
                      <w:highlight w:val="none"/>
                    </w:rPr>
                    <w:t>《危险废物贮存污染控制标准》（GB 18597-2023）</w:t>
                  </w:r>
                </w:p>
              </w:tc>
            </w:tr>
            <w:tr w14:paraId="1FB9A1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tcBorders>
                    <w:tl2br w:val="nil"/>
                    <w:tr2bl w:val="nil"/>
                  </w:tcBorders>
                  <w:vAlign w:val="center"/>
                </w:tcPr>
                <w:p w14:paraId="05E792BE">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风险</w:t>
                  </w:r>
                </w:p>
              </w:tc>
              <w:tc>
                <w:tcPr>
                  <w:tcW w:w="4748" w:type="pct"/>
                  <w:gridSpan w:val="6"/>
                  <w:tcBorders>
                    <w:tl2br w:val="nil"/>
                    <w:tr2bl w:val="nil"/>
                  </w:tcBorders>
                  <w:vAlign w:val="center"/>
                </w:tcPr>
                <w:p w14:paraId="1FF54736">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导流</w:t>
                  </w:r>
                  <w:r>
                    <w:rPr>
                      <w:rFonts w:hint="eastAsia" w:ascii="Times New Roman" w:hAnsi="Times New Roman" w:eastAsia="宋体" w:cs="Times New Roman"/>
                      <w:color w:val="auto"/>
                      <w:sz w:val="21"/>
                      <w:szCs w:val="21"/>
                      <w:highlight w:val="none"/>
                      <w:lang w:val="en-US" w:eastAsia="zh-CN"/>
                    </w:rPr>
                    <w:t>沟</w:t>
                  </w:r>
                  <w:r>
                    <w:rPr>
                      <w:rFonts w:hint="eastAsia" w:ascii="Times New Roman" w:hAnsi="Times New Roman" w:eastAsia="宋体" w:cs="Times New Roman"/>
                      <w:color w:val="auto"/>
                      <w:sz w:val="21"/>
                      <w:szCs w:val="21"/>
                      <w:highlight w:val="none"/>
                    </w:rPr>
                    <w:t>、集液池</w:t>
                  </w:r>
                </w:p>
              </w:tc>
            </w:tr>
            <w:tr w14:paraId="18AA37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vMerge w:val="restart"/>
                  <w:tcBorders>
                    <w:tl2br w:val="nil"/>
                    <w:tr2bl w:val="nil"/>
                  </w:tcBorders>
                  <w:vAlign w:val="center"/>
                </w:tcPr>
                <w:p w14:paraId="2F6F14FE">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其他</w:t>
                  </w:r>
                </w:p>
              </w:tc>
              <w:tc>
                <w:tcPr>
                  <w:tcW w:w="901" w:type="pct"/>
                  <w:gridSpan w:val="2"/>
                  <w:tcBorders>
                    <w:tl2br w:val="nil"/>
                    <w:tr2bl w:val="nil"/>
                  </w:tcBorders>
                  <w:vAlign w:val="center"/>
                </w:tcPr>
                <w:p w14:paraId="53852951">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防渗</w:t>
                  </w:r>
                </w:p>
              </w:tc>
              <w:tc>
                <w:tcPr>
                  <w:tcW w:w="348" w:type="pct"/>
                  <w:tcBorders>
                    <w:tl2br w:val="nil"/>
                    <w:tr2bl w:val="nil"/>
                  </w:tcBorders>
                  <w:vAlign w:val="center"/>
                </w:tcPr>
                <w:p w14:paraId="368EE87C">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848" w:type="pct"/>
                  <w:tcBorders>
                    <w:tl2br w:val="nil"/>
                    <w:tr2bl w:val="nil"/>
                  </w:tcBorders>
                  <w:vAlign w:val="center"/>
                </w:tcPr>
                <w:p w14:paraId="2379B1A5">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地面及裙</w:t>
                  </w:r>
                  <w:r>
                    <w:rPr>
                      <w:rFonts w:hint="eastAsia" w:ascii="Times New Roman" w:hAnsi="Times New Roman" w:eastAsia="宋体" w:cs="Times New Roman"/>
                      <w:color w:val="auto"/>
                      <w:sz w:val="21"/>
                      <w:szCs w:val="21"/>
                      <w:highlight w:val="none"/>
                      <w:lang w:eastAsia="zh-CN"/>
                    </w:rPr>
                    <w:t>脚</w:t>
                  </w:r>
                </w:p>
              </w:tc>
              <w:tc>
                <w:tcPr>
                  <w:tcW w:w="752" w:type="pct"/>
                  <w:tcBorders>
                    <w:tl2br w:val="nil"/>
                    <w:tr2bl w:val="nil"/>
                  </w:tcBorders>
                  <w:vAlign w:val="center"/>
                </w:tcPr>
                <w:p w14:paraId="0EA0BD31">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898" w:type="pct"/>
                  <w:tcBorders>
                    <w:tl2br w:val="nil"/>
                    <w:tr2bl w:val="nil"/>
                  </w:tcBorders>
                  <w:vAlign w:val="center"/>
                </w:tcPr>
                <w:p w14:paraId="4786C7C2">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r>
            <w:tr w14:paraId="15E67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1" w:type="pct"/>
                  <w:vMerge w:val="continue"/>
                  <w:tcBorders>
                    <w:tl2br w:val="nil"/>
                    <w:tr2bl w:val="nil"/>
                  </w:tcBorders>
                  <w:vAlign w:val="center"/>
                </w:tcPr>
                <w:p w14:paraId="552D0F31">
                  <w:pPr>
                    <w:pStyle w:val="24"/>
                    <w:spacing w:line="240" w:lineRule="auto"/>
                    <w:rPr>
                      <w:rFonts w:ascii="Times New Roman" w:hAnsi="Times New Roman" w:eastAsia="宋体" w:cs="Times New Roman"/>
                      <w:color w:val="auto"/>
                      <w:sz w:val="21"/>
                      <w:szCs w:val="21"/>
                      <w:highlight w:val="none"/>
                    </w:rPr>
                  </w:pPr>
                </w:p>
              </w:tc>
              <w:tc>
                <w:tcPr>
                  <w:tcW w:w="901" w:type="pct"/>
                  <w:gridSpan w:val="2"/>
                  <w:tcBorders>
                    <w:tl2br w:val="nil"/>
                    <w:tr2bl w:val="nil"/>
                  </w:tcBorders>
                  <w:vAlign w:val="center"/>
                </w:tcPr>
                <w:p w14:paraId="3CACADB5">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排污口警示设施</w:t>
                  </w:r>
                </w:p>
              </w:tc>
              <w:tc>
                <w:tcPr>
                  <w:tcW w:w="348" w:type="pct"/>
                  <w:tcBorders>
                    <w:tl2br w:val="nil"/>
                    <w:tr2bl w:val="nil"/>
                  </w:tcBorders>
                  <w:vAlign w:val="center"/>
                </w:tcPr>
                <w:p w14:paraId="4790C99A">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848" w:type="pct"/>
                  <w:tcBorders>
                    <w:tl2br w:val="nil"/>
                    <w:tr2bl w:val="nil"/>
                  </w:tcBorders>
                  <w:vAlign w:val="center"/>
                </w:tcPr>
                <w:p w14:paraId="1892F26A">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规范化标识牌</w:t>
                  </w:r>
                </w:p>
              </w:tc>
              <w:tc>
                <w:tcPr>
                  <w:tcW w:w="752" w:type="pct"/>
                  <w:tcBorders>
                    <w:tl2br w:val="nil"/>
                    <w:tr2bl w:val="nil"/>
                  </w:tcBorders>
                  <w:vAlign w:val="center"/>
                </w:tcPr>
                <w:p w14:paraId="586A7B56">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898" w:type="pct"/>
                  <w:tcBorders>
                    <w:tl2br w:val="nil"/>
                    <w:tr2bl w:val="nil"/>
                  </w:tcBorders>
                  <w:vAlign w:val="center"/>
                </w:tcPr>
                <w:p w14:paraId="080A803E">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符合《环境保护图形标志 排污口（源）》GB 15562.1-1995、《排污口设置及规范化整治管理办法》要求</w:t>
                  </w:r>
                </w:p>
              </w:tc>
            </w:tr>
          </w:tbl>
          <w:p w14:paraId="44772EF3">
            <w:pPr>
              <w:bidi w:val="0"/>
              <w:spacing w:line="360" w:lineRule="auto"/>
              <w:rPr>
                <w:b/>
                <w:bCs/>
                <w:color w:val="auto"/>
                <w:highlight w:val="none"/>
              </w:rPr>
            </w:pPr>
            <w:r>
              <w:rPr>
                <w:rFonts w:hint="eastAsia"/>
                <w:b/>
                <w:bCs/>
                <w:color w:val="auto"/>
                <w:highlight w:val="none"/>
              </w:rPr>
              <w:t>3</w:t>
            </w:r>
            <w:r>
              <w:rPr>
                <w:b/>
                <w:bCs/>
                <w:color w:val="auto"/>
                <w:highlight w:val="none"/>
              </w:rPr>
              <w:t>排污许可制度要求</w:t>
            </w:r>
          </w:p>
          <w:p w14:paraId="2B51068E">
            <w:pPr>
              <w:bidi w:val="0"/>
              <w:spacing w:line="360" w:lineRule="auto"/>
              <w:rPr>
                <w:rFonts w:hint="eastAsia" w:eastAsia="宋体"/>
                <w:color w:val="auto"/>
                <w:highlight w:val="none"/>
                <w:lang w:eastAsia="zh-CN"/>
              </w:rPr>
            </w:pPr>
            <w:r>
              <w:rPr>
                <w:color w:val="auto"/>
                <w:highlight w:val="none"/>
              </w:rPr>
              <w:t>根据国务院办公厅关于印发《控制污染物排放许可制实施方案》的通知（国办发</w:t>
            </w:r>
            <w:r>
              <w:rPr>
                <w:rFonts w:hint="eastAsia"/>
                <w:color w:val="auto"/>
                <w:highlight w:val="none"/>
                <w:lang w:eastAsia="zh-CN"/>
              </w:rPr>
              <w:t>〔2016〕81号</w:t>
            </w:r>
            <w:r>
              <w:rPr>
                <w:color w:val="auto"/>
                <w:highlight w:val="none"/>
              </w:rPr>
              <w:t>）、《排污许可证申请与核发技术规范</w:t>
            </w:r>
            <w:r>
              <w:rPr>
                <w:rFonts w:hint="eastAsia"/>
                <w:color w:val="auto"/>
                <w:highlight w:val="none"/>
              </w:rPr>
              <w:t xml:space="preserve"> </w:t>
            </w:r>
            <w:r>
              <w:rPr>
                <w:color w:val="auto"/>
                <w:highlight w:val="none"/>
              </w:rPr>
              <w:t>总则》（HJ 942-2018）中相关要求</w:t>
            </w:r>
            <w:r>
              <w:rPr>
                <w:rFonts w:hint="eastAsia"/>
                <w:color w:val="auto"/>
                <w:highlight w:val="none"/>
              </w:rPr>
              <w:t>，</w:t>
            </w:r>
            <w:r>
              <w:rPr>
                <w:color w:val="auto"/>
                <w:highlight w:val="none"/>
              </w:rPr>
              <w:t>环境影响评价制度是建设项目的环境准入门槛</w:t>
            </w:r>
            <w:r>
              <w:rPr>
                <w:rFonts w:hint="eastAsia"/>
                <w:color w:val="auto"/>
                <w:highlight w:val="none"/>
              </w:rPr>
              <w:t>，</w:t>
            </w:r>
            <w:r>
              <w:rPr>
                <w:color w:val="auto"/>
                <w:highlight w:val="none"/>
              </w:rPr>
              <w:t>排污许可证是企事业单位生产运营期排污的法律依据</w:t>
            </w:r>
            <w:r>
              <w:rPr>
                <w:rFonts w:hint="eastAsia"/>
                <w:color w:val="auto"/>
                <w:highlight w:val="none"/>
              </w:rPr>
              <w:t>，</w:t>
            </w:r>
            <w:r>
              <w:rPr>
                <w:color w:val="auto"/>
                <w:highlight w:val="none"/>
              </w:rPr>
              <w:t>必须做好充分衔接</w:t>
            </w:r>
            <w:r>
              <w:rPr>
                <w:rFonts w:hint="eastAsia"/>
                <w:color w:val="auto"/>
                <w:highlight w:val="none"/>
              </w:rPr>
              <w:t>，</w:t>
            </w:r>
            <w:r>
              <w:rPr>
                <w:color w:val="auto"/>
                <w:highlight w:val="none"/>
              </w:rPr>
              <w:t>实现从污染预防到污染治理和排放控制的全过程监管。</w:t>
            </w:r>
            <w:r>
              <w:rPr>
                <w:rFonts w:hint="eastAsia"/>
                <w:color w:val="auto"/>
                <w:highlight w:val="none"/>
              </w:rPr>
              <w:t>北票发电有限责任公司已取得排污许可证登记回执，待本项目发生实际排污前变更排污许可登记</w:t>
            </w:r>
            <w:r>
              <w:rPr>
                <w:rFonts w:hint="eastAsia"/>
                <w:color w:val="auto"/>
                <w:highlight w:val="none"/>
                <w:lang w:eastAsia="zh-CN"/>
              </w:rPr>
              <w:t>。</w:t>
            </w:r>
          </w:p>
          <w:p w14:paraId="5E754D1A">
            <w:pPr>
              <w:bidi w:val="0"/>
              <w:spacing w:line="360" w:lineRule="auto"/>
              <w:rPr>
                <w:b/>
                <w:bCs/>
                <w:color w:val="auto"/>
                <w:highlight w:val="none"/>
              </w:rPr>
            </w:pPr>
            <w:r>
              <w:rPr>
                <w:rFonts w:hint="eastAsia"/>
                <w:b/>
                <w:bCs/>
                <w:color w:val="auto"/>
                <w:highlight w:val="none"/>
              </w:rPr>
              <w:t>4</w:t>
            </w:r>
            <w:r>
              <w:rPr>
                <w:b/>
                <w:bCs/>
                <w:color w:val="auto"/>
                <w:highlight w:val="none"/>
              </w:rPr>
              <w:t>排污口规范化</w:t>
            </w:r>
          </w:p>
          <w:p w14:paraId="5AFE6ED1">
            <w:pPr>
              <w:bidi w:val="0"/>
              <w:spacing w:line="360" w:lineRule="auto"/>
              <w:rPr>
                <w:b/>
                <w:bCs/>
                <w:color w:val="auto"/>
                <w:highlight w:val="none"/>
              </w:rPr>
            </w:pPr>
            <w:r>
              <w:rPr>
                <w:b/>
                <w:bCs/>
                <w:color w:val="auto"/>
                <w:highlight w:val="none"/>
              </w:rPr>
              <w:t>（</w:t>
            </w:r>
            <w:r>
              <w:rPr>
                <w:rFonts w:hint="eastAsia"/>
                <w:b/>
                <w:bCs/>
                <w:color w:val="auto"/>
                <w:highlight w:val="none"/>
                <w:lang w:val="en-US" w:eastAsia="zh-CN"/>
              </w:rPr>
              <w:t>1</w:t>
            </w:r>
            <w:r>
              <w:rPr>
                <w:b/>
                <w:bCs/>
                <w:color w:val="auto"/>
                <w:highlight w:val="none"/>
              </w:rPr>
              <w:t>）固体废物规范化要求</w:t>
            </w:r>
          </w:p>
          <w:p w14:paraId="6DEE20B7">
            <w:pPr>
              <w:bidi w:val="0"/>
              <w:spacing w:line="360" w:lineRule="auto"/>
              <w:rPr>
                <w:color w:val="auto"/>
                <w:highlight w:val="none"/>
              </w:rPr>
            </w:pPr>
            <w:r>
              <w:rPr>
                <w:color w:val="auto"/>
                <w:highlight w:val="none"/>
              </w:rPr>
              <w:t>本项目固体废物统一收集存放</w:t>
            </w:r>
            <w:r>
              <w:rPr>
                <w:rFonts w:hint="eastAsia"/>
                <w:color w:val="auto"/>
                <w:highlight w:val="none"/>
              </w:rPr>
              <w:t>，</w:t>
            </w:r>
            <w:r>
              <w:rPr>
                <w:color w:val="auto"/>
                <w:highlight w:val="none"/>
              </w:rPr>
              <w:t>标志牌符合《环境保护图形标志-固体废物贮存（处置）场》</w:t>
            </w:r>
            <w:r>
              <w:rPr>
                <w:rFonts w:hint="eastAsia"/>
                <w:color w:val="auto"/>
                <w:highlight w:val="none"/>
              </w:rPr>
              <w:t>（</w:t>
            </w:r>
            <w:r>
              <w:rPr>
                <w:color w:val="auto"/>
                <w:highlight w:val="none"/>
              </w:rPr>
              <w:t>GB15562.2-1995</w:t>
            </w:r>
            <w:r>
              <w:rPr>
                <w:rFonts w:hint="eastAsia"/>
                <w:color w:val="auto"/>
                <w:highlight w:val="none"/>
              </w:rPr>
              <w:t>）</w:t>
            </w:r>
            <w:r>
              <w:rPr>
                <w:color w:val="auto"/>
                <w:highlight w:val="none"/>
              </w:rPr>
              <w:t>的规定。</w:t>
            </w:r>
          </w:p>
          <w:p w14:paraId="25C4DAF6">
            <w:pPr>
              <w:bidi w:val="0"/>
              <w:spacing w:line="360" w:lineRule="auto"/>
              <w:rPr>
                <w:color w:val="auto"/>
                <w:highlight w:val="none"/>
              </w:rPr>
            </w:pPr>
          </w:p>
          <w:p w14:paraId="153E45F5">
            <w:pPr>
              <w:bidi w:val="0"/>
              <w:spacing w:line="360" w:lineRule="auto"/>
              <w:rPr>
                <w:color w:val="auto"/>
                <w:highlight w:val="none"/>
              </w:rPr>
            </w:pPr>
          </w:p>
          <w:p w14:paraId="6369EFAF">
            <w:pPr>
              <w:pStyle w:val="25"/>
              <w:bidi w:val="0"/>
              <w:rPr>
                <w:color w:val="auto"/>
                <w:highlight w:val="none"/>
              </w:rPr>
            </w:pPr>
            <w:r>
              <w:rPr>
                <w:color w:val="auto"/>
                <w:highlight w:val="none"/>
              </w:rPr>
              <w:t>环境保护图形符号</w:t>
            </w:r>
          </w:p>
          <w:tbl>
            <w:tblPr>
              <w:tblStyle w:val="16"/>
              <w:tblW w:w="499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39"/>
              <w:gridCol w:w="1846"/>
              <w:gridCol w:w="1846"/>
              <w:gridCol w:w="1368"/>
              <w:gridCol w:w="1858"/>
            </w:tblGrid>
            <w:tr w14:paraId="3FC1E6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83" w:type="pct"/>
                  <w:vAlign w:val="center"/>
                </w:tcPr>
                <w:p w14:paraId="721CF94B">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1205" w:type="pct"/>
                  <w:vAlign w:val="center"/>
                </w:tcPr>
                <w:p w14:paraId="48F129F0">
                  <w:pPr>
                    <w:pStyle w:val="27"/>
                    <w:spacing w:line="240" w:lineRule="auto"/>
                    <w:rPr>
                      <w:rFonts w:hint="eastAsia" w:ascii="Times New Roman" w:hAnsi="Times New Roman" w:eastAsia="宋体" w:cs="Times New Roman"/>
                      <w:b/>
                      <w:color w:val="auto"/>
                      <w:sz w:val="21"/>
                      <w:szCs w:val="21"/>
                      <w:highlight w:val="none"/>
                      <w:lang w:eastAsia="zh-CN"/>
                    </w:rPr>
                  </w:pPr>
                  <w:r>
                    <w:rPr>
                      <w:rFonts w:hint="eastAsia" w:eastAsia="宋体" w:cs="Times New Roman"/>
                      <w:b/>
                      <w:color w:val="auto"/>
                      <w:sz w:val="21"/>
                      <w:szCs w:val="21"/>
                      <w:highlight w:val="none"/>
                      <w:lang w:eastAsia="zh-CN"/>
                    </w:rPr>
                    <w:t>提示图形符号</w:t>
                  </w:r>
                </w:p>
              </w:tc>
              <w:tc>
                <w:tcPr>
                  <w:tcW w:w="1205" w:type="pct"/>
                  <w:vAlign w:val="center"/>
                </w:tcPr>
                <w:p w14:paraId="5C94A197">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警告图形符号</w:t>
                  </w:r>
                </w:p>
              </w:tc>
              <w:tc>
                <w:tcPr>
                  <w:tcW w:w="893" w:type="pct"/>
                  <w:vAlign w:val="center"/>
                </w:tcPr>
                <w:p w14:paraId="4D07F4B2">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名称</w:t>
                  </w:r>
                </w:p>
              </w:tc>
              <w:tc>
                <w:tcPr>
                  <w:tcW w:w="1213" w:type="pct"/>
                  <w:vAlign w:val="center"/>
                </w:tcPr>
                <w:p w14:paraId="45433E82">
                  <w:pPr>
                    <w:pStyle w:val="27"/>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功能</w:t>
                  </w:r>
                </w:p>
              </w:tc>
            </w:tr>
            <w:tr w14:paraId="419468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83" w:type="pct"/>
                  <w:vAlign w:val="center"/>
                </w:tcPr>
                <w:p w14:paraId="0CA199F8">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w:t>
                  </w:r>
                </w:p>
              </w:tc>
              <w:tc>
                <w:tcPr>
                  <w:tcW w:w="1205" w:type="pct"/>
                  <w:vAlign w:val="center"/>
                </w:tcPr>
                <w:p w14:paraId="75D61FDA">
                  <w:pPr>
                    <w:pStyle w:val="24"/>
                    <w:spacing w:line="240" w:lineRule="auto"/>
                    <w:rPr>
                      <w:rFonts w:hint="eastAsia" w:ascii="Times New Roman" w:hAnsi="Times New Roman" w:eastAsia="宋体" w:cs="Times New Roman"/>
                      <w:color w:val="auto"/>
                      <w:sz w:val="21"/>
                      <w:szCs w:val="21"/>
                      <w:highlight w:val="none"/>
                    </w:rPr>
                  </w:pPr>
                </w:p>
              </w:tc>
              <w:tc>
                <w:tcPr>
                  <w:tcW w:w="1205" w:type="pct"/>
                  <w:vAlign w:val="center"/>
                </w:tcPr>
                <w:p w14:paraId="2E9C7E42">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drawing>
                      <wp:inline distT="0" distB="0" distL="114300" distR="114300">
                        <wp:extent cx="874395" cy="552450"/>
                        <wp:effectExtent l="0" t="0" r="1905" b="0"/>
                        <wp:docPr id="10" name="图片 10" descr="039c45f310d4c1602badfc8e24d5d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39c45f310d4c1602badfc8e24d5d89"/>
                                <pic:cNvPicPr>
                                  <a:picLocks noChangeAspect="1"/>
                                </pic:cNvPicPr>
                              </pic:nvPicPr>
                              <pic:blipFill>
                                <a:blip r:embed="rId20"/>
                                <a:stretch>
                                  <a:fillRect/>
                                </a:stretch>
                              </pic:blipFill>
                              <pic:spPr>
                                <a:xfrm>
                                  <a:off x="0" y="0"/>
                                  <a:ext cx="874395" cy="552450"/>
                                </a:xfrm>
                                <a:prstGeom prst="rect">
                                  <a:avLst/>
                                </a:prstGeom>
                              </pic:spPr>
                            </pic:pic>
                          </a:graphicData>
                        </a:graphic>
                      </wp:inline>
                    </w:drawing>
                  </w:r>
                </w:p>
              </w:tc>
              <w:tc>
                <w:tcPr>
                  <w:tcW w:w="893" w:type="pct"/>
                  <w:shd w:val="clear" w:color="auto" w:fill="auto"/>
                  <w:vAlign w:val="center"/>
                </w:tcPr>
                <w:p w14:paraId="44A48889">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危险废物</w:t>
                  </w:r>
                </w:p>
              </w:tc>
              <w:tc>
                <w:tcPr>
                  <w:tcW w:w="1213" w:type="pct"/>
                  <w:shd w:val="clear" w:color="auto" w:fill="auto"/>
                  <w:vAlign w:val="center"/>
                </w:tcPr>
                <w:p w14:paraId="7716D272">
                  <w:pPr>
                    <w:pStyle w:val="24"/>
                    <w:spacing w:line="240" w:lineRule="auto"/>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表示危险废物贮存、处置场</w:t>
                  </w:r>
                </w:p>
              </w:tc>
            </w:tr>
            <w:tr w14:paraId="4801DC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83" w:type="pct"/>
                  <w:vAlign w:val="center"/>
                </w:tcPr>
                <w:p w14:paraId="79055042">
                  <w:pPr>
                    <w:pStyle w:val="24"/>
                    <w:spacing w:line="240" w:lineRule="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2</w:t>
                  </w:r>
                </w:p>
              </w:tc>
              <w:tc>
                <w:tcPr>
                  <w:tcW w:w="1205" w:type="pct"/>
                  <w:vAlign w:val="center"/>
                </w:tcPr>
                <w:p w14:paraId="3CD45218">
                  <w:pPr>
                    <w:pStyle w:val="24"/>
                    <w:spacing w:line="240" w:lineRule="auto"/>
                    <w:rPr>
                      <w:rFonts w:hint="eastAsia" w:eastAsia="宋体" w:cs="Times New Roman"/>
                      <w:color w:val="auto"/>
                      <w:sz w:val="21"/>
                      <w:szCs w:val="21"/>
                      <w:highlight w:val="none"/>
                      <w:lang w:val="en-US" w:eastAsia="zh-CN"/>
                    </w:rPr>
                  </w:pPr>
                  <w:r>
                    <w:rPr>
                      <w:rFonts w:hint="eastAsia"/>
                      <w:color w:val="auto"/>
                      <w:highlight w:val="none"/>
                    </w:rPr>
                    <w:drawing>
                      <wp:inline distT="0" distB="0" distL="114300" distR="114300">
                        <wp:extent cx="742950" cy="742950"/>
                        <wp:effectExtent l="0" t="0" r="0" b="0"/>
                        <wp:docPr id="1" name="图片 1" descr="fb640d6a51e33cd91bcb645bc1ae4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b640d6a51e33cd91bcb645bc1ae41f"/>
                                <pic:cNvPicPr>
                                  <a:picLocks noChangeAspect="1"/>
                                </pic:cNvPicPr>
                              </pic:nvPicPr>
                              <pic:blipFill>
                                <a:blip r:embed="rId21"/>
                                <a:stretch>
                                  <a:fillRect/>
                                </a:stretch>
                              </pic:blipFill>
                              <pic:spPr>
                                <a:xfrm>
                                  <a:off x="0" y="0"/>
                                  <a:ext cx="742950" cy="742950"/>
                                </a:xfrm>
                                <a:prstGeom prst="rect">
                                  <a:avLst/>
                                </a:prstGeom>
                              </pic:spPr>
                            </pic:pic>
                          </a:graphicData>
                        </a:graphic>
                      </wp:inline>
                    </w:drawing>
                  </w:r>
                </w:p>
              </w:tc>
              <w:tc>
                <w:tcPr>
                  <w:tcW w:w="1205" w:type="pct"/>
                  <w:vAlign w:val="center"/>
                </w:tcPr>
                <w:p w14:paraId="51A7AFAE">
                  <w:pPr>
                    <w:pStyle w:val="24"/>
                    <w:spacing w:line="240" w:lineRule="auto"/>
                    <w:rPr>
                      <w:rFonts w:hint="eastAsia" w:ascii="Times New Roman" w:hAnsi="Times New Roman" w:eastAsia="宋体" w:cs="Times New Roman"/>
                      <w:color w:val="auto"/>
                      <w:sz w:val="21"/>
                      <w:szCs w:val="21"/>
                      <w:highlight w:val="none"/>
                    </w:rPr>
                  </w:pPr>
                  <w:r>
                    <w:rPr>
                      <w:color w:val="auto"/>
                      <w:highlight w:val="none"/>
                    </w:rPr>
                    <w:drawing>
                      <wp:inline distT="0" distB="0" distL="114300" distR="114300">
                        <wp:extent cx="964565" cy="869950"/>
                        <wp:effectExtent l="0" t="0" r="6985" b="6350"/>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22"/>
                                <a:stretch>
                                  <a:fillRect/>
                                </a:stretch>
                              </pic:blipFill>
                              <pic:spPr>
                                <a:xfrm>
                                  <a:off x="0" y="0"/>
                                  <a:ext cx="964565" cy="869950"/>
                                </a:xfrm>
                                <a:prstGeom prst="rect">
                                  <a:avLst/>
                                </a:prstGeom>
                                <a:noFill/>
                                <a:ln>
                                  <a:noFill/>
                                </a:ln>
                              </pic:spPr>
                            </pic:pic>
                          </a:graphicData>
                        </a:graphic>
                      </wp:inline>
                    </w:drawing>
                  </w:r>
                </w:p>
              </w:tc>
              <w:tc>
                <w:tcPr>
                  <w:tcW w:w="893" w:type="pct"/>
                  <w:shd w:val="clear" w:color="auto" w:fill="auto"/>
                  <w:vAlign w:val="center"/>
                </w:tcPr>
                <w:p w14:paraId="72EEAE0C">
                  <w:pPr>
                    <w:pStyle w:val="24"/>
                    <w:spacing w:line="240" w:lineRule="auto"/>
                    <w:rPr>
                      <w:rFonts w:hint="eastAsia" w:ascii="Times New Roman" w:hAnsi="Times New Roman" w:eastAsia="宋体" w:cs="Times New Roman"/>
                      <w:color w:val="auto"/>
                      <w:sz w:val="21"/>
                      <w:szCs w:val="21"/>
                      <w:highlight w:val="none"/>
                      <w:lang w:eastAsia="zh-CN"/>
                    </w:rPr>
                  </w:pPr>
                  <w:r>
                    <w:rPr>
                      <w:rFonts w:hint="eastAsia" w:eastAsia="宋体" w:cs="Times New Roman"/>
                      <w:color w:val="auto"/>
                      <w:sz w:val="21"/>
                      <w:szCs w:val="21"/>
                      <w:highlight w:val="none"/>
                      <w:lang w:eastAsia="zh-CN"/>
                    </w:rPr>
                    <w:t>噪声排放</w:t>
                  </w:r>
                </w:p>
              </w:tc>
              <w:tc>
                <w:tcPr>
                  <w:tcW w:w="1213" w:type="pct"/>
                  <w:shd w:val="clear" w:color="auto" w:fill="auto"/>
                  <w:vAlign w:val="center"/>
                </w:tcPr>
                <w:p w14:paraId="3E8E6461">
                  <w:pPr>
                    <w:pStyle w:val="24"/>
                    <w:spacing w:line="240" w:lineRule="auto"/>
                    <w:rPr>
                      <w:rFonts w:ascii="Times New Roman" w:hAnsi="Times New Roman" w:eastAsia="宋体" w:cs="Times New Roman"/>
                      <w:color w:val="auto"/>
                      <w:sz w:val="21"/>
                      <w:szCs w:val="21"/>
                      <w:highlight w:val="none"/>
                    </w:rPr>
                  </w:pPr>
                  <w:r>
                    <w:rPr>
                      <w:rFonts w:hint="eastAsia"/>
                      <w:color w:val="auto"/>
                      <w:highlight w:val="none"/>
                    </w:rPr>
                    <w:t>表示噪声向外环境排放</w:t>
                  </w:r>
                </w:p>
              </w:tc>
            </w:tr>
          </w:tbl>
          <w:p w14:paraId="149CE6D5">
            <w:pPr>
              <w:tabs>
                <w:tab w:val="left" w:pos="643"/>
              </w:tabs>
              <w:bidi w:val="0"/>
              <w:spacing w:line="360" w:lineRule="auto"/>
              <w:ind w:left="0" w:leftChars="0" w:firstLine="0" w:firstLineChars="0"/>
              <w:jc w:val="left"/>
              <w:rPr>
                <w:color w:val="auto"/>
                <w:highlight w:val="none"/>
                <w:lang w:val="en-US" w:eastAsia="zh-CN"/>
              </w:rPr>
            </w:pPr>
          </w:p>
          <w:p w14:paraId="0D3E30BA">
            <w:pPr>
              <w:tabs>
                <w:tab w:val="left" w:pos="643"/>
              </w:tabs>
              <w:bidi w:val="0"/>
              <w:spacing w:line="360" w:lineRule="auto"/>
              <w:ind w:left="0" w:leftChars="0" w:firstLine="0" w:firstLineChars="0"/>
              <w:jc w:val="left"/>
              <w:rPr>
                <w:color w:val="auto"/>
                <w:highlight w:val="none"/>
                <w:lang w:val="en-US" w:eastAsia="zh-CN"/>
              </w:rPr>
            </w:pPr>
          </w:p>
          <w:p w14:paraId="11E82906">
            <w:pPr>
              <w:tabs>
                <w:tab w:val="left" w:pos="643"/>
              </w:tabs>
              <w:bidi w:val="0"/>
              <w:spacing w:line="360" w:lineRule="auto"/>
              <w:ind w:left="0" w:leftChars="0" w:firstLine="0" w:firstLineChars="0"/>
              <w:jc w:val="left"/>
              <w:rPr>
                <w:color w:val="auto"/>
                <w:highlight w:val="none"/>
                <w:lang w:val="en-US" w:eastAsia="zh-CN"/>
              </w:rPr>
            </w:pPr>
          </w:p>
          <w:p w14:paraId="7C0DA400">
            <w:pPr>
              <w:tabs>
                <w:tab w:val="left" w:pos="643"/>
              </w:tabs>
              <w:bidi w:val="0"/>
              <w:spacing w:line="360" w:lineRule="auto"/>
              <w:ind w:left="0" w:leftChars="0" w:firstLine="0" w:firstLineChars="0"/>
              <w:jc w:val="left"/>
              <w:rPr>
                <w:color w:val="auto"/>
                <w:highlight w:val="none"/>
                <w:lang w:val="en-US" w:eastAsia="zh-CN"/>
              </w:rPr>
            </w:pPr>
          </w:p>
          <w:p w14:paraId="71F26BDA">
            <w:pPr>
              <w:tabs>
                <w:tab w:val="left" w:pos="643"/>
              </w:tabs>
              <w:bidi w:val="0"/>
              <w:spacing w:line="360" w:lineRule="auto"/>
              <w:ind w:left="0" w:leftChars="0" w:firstLine="0" w:firstLineChars="0"/>
              <w:jc w:val="left"/>
              <w:rPr>
                <w:color w:val="auto"/>
                <w:highlight w:val="none"/>
                <w:lang w:val="en-US" w:eastAsia="zh-CN"/>
              </w:rPr>
            </w:pPr>
          </w:p>
          <w:p w14:paraId="77227C4F">
            <w:pPr>
              <w:tabs>
                <w:tab w:val="left" w:pos="643"/>
              </w:tabs>
              <w:bidi w:val="0"/>
              <w:spacing w:line="360" w:lineRule="auto"/>
              <w:ind w:left="0" w:leftChars="0" w:firstLine="0" w:firstLineChars="0"/>
              <w:jc w:val="left"/>
              <w:rPr>
                <w:color w:val="auto"/>
                <w:highlight w:val="none"/>
                <w:lang w:val="en-US" w:eastAsia="zh-CN"/>
              </w:rPr>
            </w:pPr>
          </w:p>
          <w:p w14:paraId="723C6F50">
            <w:pPr>
              <w:tabs>
                <w:tab w:val="left" w:pos="643"/>
              </w:tabs>
              <w:bidi w:val="0"/>
              <w:spacing w:line="360" w:lineRule="auto"/>
              <w:ind w:left="0" w:leftChars="0" w:firstLine="0" w:firstLineChars="0"/>
              <w:jc w:val="left"/>
              <w:rPr>
                <w:color w:val="auto"/>
                <w:highlight w:val="none"/>
                <w:lang w:val="en-US" w:eastAsia="zh-CN"/>
              </w:rPr>
            </w:pPr>
          </w:p>
          <w:p w14:paraId="49EA9F1A">
            <w:pPr>
              <w:tabs>
                <w:tab w:val="left" w:pos="643"/>
              </w:tabs>
              <w:bidi w:val="0"/>
              <w:spacing w:line="360" w:lineRule="auto"/>
              <w:ind w:left="0" w:leftChars="0" w:firstLine="0" w:firstLineChars="0"/>
              <w:jc w:val="left"/>
              <w:rPr>
                <w:color w:val="auto"/>
                <w:highlight w:val="none"/>
                <w:lang w:val="en-US" w:eastAsia="zh-CN"/>
              </w:rPr>
            </w:pPr>
          </w:p>
          <w:p w14:paraId="13FE605D">
            <w:pPr>
              <w:tabs>
                <w:tab w:val="left" w:pos="643"/>
              </w:tabs>
              <w:bidi w:val="0"/>
              <w:spacing w:line="360" w:lineRule="auto"/>
              <w:ind w:left="0" w:leftChars="0" w:firstLine="0" w:firstLineChars="0"/>
              <w:jc w:val="left"/>
              <w:rPr>
                <w:color w:val="auto"/>
                <w:highlight w:val="none"/>
                <w:lang w:val="en-US" w:eastAsia="zh-CN"/>
              </w:rPr>
            </w:pPr>
          </w:p>
          <w:p w14:paraId="355E2C22">
            <w:pPr>
              <w:tabs>
                <w:tab w:val="left" w:pos="643"/>
              </w:tabs>
              <w:bidi w:val="0"/>
              <w:spacing w:line="360" w:lineRule="auto"/>
              <w:ind w:left="0" w:leftChars="0" w:firstLine="0" w:firstLineChars="0"/>
              <w:jc w:val="left"/>
              <w:rPr>
                <w:color w:val="auto"/>
                <w:highlight w:val="none"/>
                <w:lang w:val="en-US" w:eastAsia="zh-CN"/>
              </w:rPr>
            </w:pPr>
          </w:p>
          <w:p w14:paraId="2A6B7C8D">
            <w:pPr>
              <w:tabs>
                <w:tab w:val="left" w:pos="643"/>
              </w:tabs>
              <w:bidi w:val="0"/>
              <w:spacing w:line="360" w:lineRule="auto"/>
              <w:ind w:left="0" w:leftChars="0" w:firstLine="0" w:firstLineChars="0"/>
              <w:jc w:val="left"/>
              <w:rPr>
                <w:color w:val="auto"/>
                <w:highlight w:val="none"/>
                <w:lang w:val="en-US" w:eastAsia="zh-CN"/>
              </w:rPr>
            </w:pPr>
          </w:p>
          <w:p w14:paraId="0877821F">
            <w:pPr>
              <w:tabs>
                <w:tab w:val="left" w:pos="643"/>
              </w:tabs>
              <w:bidi w:val="0"/>
              <w:spacing w:line="360" w:lineRule="auto"/>
              <w:ind w:left="0" w:leftChars="0" w:firstLine="0" w:firstLineChars="0"/>
              <w:jc w:val="left"/>
              <w:rPr>
                <w:color w:val="auto"/>
                <w:highlight w:val="none"/>
                <w:lang w:val="en-US" w:eastAsia="zh-CN"/>
              </w:rPr>
            </w:pPr>
          </w:p>
          <w:p w14:paraId="52ADC549">
            <w:pPr>
              <w:tabs>
                <w:tab w:val="left" w:pos="643"/>
              </w:tabs>
              <w:bidi w:val="0"/>
              <w:spacing w:line="360" w:lineRule="auto"/>
              <w:ind w:left="0" w:leftChars="0" w:firstLine="0" w:firstLineChars="0"/>
              <w:jc w:val="left"/>
              <w:rPr>
                <w:color w:val="auto"/>
                <w:highlight w:val="none"/>
                <w:lang w:val="en-US" w:eastAsia="zh-CN"/>
              </w:rPr>
            </w:pPr>
          </w:p>
          <w:p w14:paraId="117C9480">
            <w:pPr>
              <w:tabs>
                <w:tab w:val="left" w:pos="643"/>
              </w:tabs>
              <w:bidi w:val="0"/>
              <w:spacing w:line="360" w:lineRule="auto"/>
              <w:ind w:left="0" w:leftChars="0" w:firstLine="0" w:firstLineChars="0"/>
              <w:jc w:val="left"/>
              <w:rPr>
                <w:color w:val="auto"/>
                <w:highlight w:val="none"/>
                <w:lang w:val="en-US" w:eastAsia="zh-CN"/>
              </w:rPr>
            </w:pPr>
          </w:p>
          <w:p w14:paraId="62480F8C">
            <w:pPr>
              <w:tabs>
                <w:tab w:val="left" w:pos="643"/>
              </w:tabs>
              <w:bidi w:val="0"/>
              <w:spacing w:line="360" w:lineRule="auto"/>
              <w:ind w:left="0" w:leftChars="0" w:firstLine="0" w:firstLineChars="0"/>
              <w:jc w:val="left"/>
              <w:rPr>
                <w:color w:val="auto"/>
                <w:highlight w:val="none"/>
                <w:lang w:val="en-US" w:eastAsia="zh-CN"/>
              </w:rPr>
            </w:pPr>
          </w:p>
          <w:p w14:paraId="106696CB">
            <w:pPr>
              <w:tabs>
                <w:tab w:val="left" w:pos="643"/>
              </w:tabs>
              <w:bidi w:val="0"/>
              <w:spacing w:line="360" w:lineRule="auto"/>
              <w:ind w:left="0" w:leftChars="0" w:firstLine="0" w:firstLineChars="0"/>
              <w:jc w:val="left"/>
              <w:rPr>
                <w:color w:val="auto"/>
                <w:highlight w:val="none"/>
                <w:lang w:val="en-US" w:eastAsia="zh-CN"/>
              </w:rPr>
            </w:pPr>
          </w:p>
          <w:p w14:paraId="63056039">
            <w:pPr>
              <w:tabs>
                <w:tab w:val="left" w:pos="643"/>
              </w:tabs>
              <w:bidi w:val="0"/>
              <w:spacing w:line="360" w:lineRule="auto"/>
              <w:ind w:left="0" w:leftChars="0" w:firstLine="0" w:firstLineChars="0"/>
              <w:jc w:val="left"/>
              <w:rPr>
                <w:color w:val="auto"/>
                <w:highlight w:val="none"/>
                <w:lang w:val="en-US" w:eastAsia="zh-CN"/>
              </w:rPr>
            </w:pPr>
          </w:p>
          <w:p w14:paraId="441F34A3">
            <w:pPr>
              <w:tabs>
                <w:tab w:val="left" w:pos="643"/>
              </w:tabs>
              <w:bidi w:val="0"/>
              <w:spacing w:line="360" w:lineRule="auto"/>
              <w:ind w:left="0" w:leftChars="0" w:firstLine="0" w:firstLineChars="0"/>
              <w:jc w:val="left"/>
              <w:rPr>
                <w:color w:val="auto"/>
                <w:highlight w:val="none"/>
                <w:lang w:val="en-US" w:eastAsia="zh-CN"/>
              </w:rPr>
            </w:pPr>
          </w:p>
          <w:p w14:paraId="14AF96F1">
            <w:pPr>
              <w:tabs>
                <w:tab w:val="left" w:pos="643"/>
              </w:tabs>
              <w:bidi w:val="0"/>
              <w:spacing w:line="360" w:lineRule="auto"/>
              <w:ind w:left="0" w:leftChars="0" w:firstLine="0" w:firstLineChars="0"/>
              <w:jc w:val="left"/>
              <w:rPr>
                <w:color w:val="auto"/>
                <w:highlight w:val="none"/>
                <w:lang w:val="en-US" w:eastAsia="zh-CN"/>
              </w:rPr>
            </w:pPr>
          </w:p>
          <w:p w14:paraId="10F11BE5">
            <w:pPr>
              <w:tabs>
                <w:tab w:val="left" w:pos="643"/>
              </w:tabs>
              <w:bidi w:val="0"/>
              <w:spacing w:line="360" w:lineRule="auto"/>
              <w:ind w:left="0" w:leftChars="0" w:firstLine="0" w:firstLineChars="0"/>
              <w:jc w:val="left"/>
              <w:rPr>
                <w:color w:val="auto"/>
                <w:highlight w:val="none"/>
                <w:lang w:val="en-US" w:eastAsia="zh-CN"/>
              </w:rPr>
            </w:pPr>
          </w:p>
          <w:p w14:paraId="554917BA">
            <w:pPr>
              <w:tabs>
                <w:tab w:val="left" w:pos="643"/>
              </w:tabs>
              <w:bidi w:val="0"/>
              <w:spacing w:line="360" w:lineRule="auto"/>
              <w:ind w:left="0" w:leftChars="0" w:firstLine="0" w:firstLineChars="0"/>
              <w:jc w:val="left"/>
              <w:rPr>
                <w:color w:val="auto"/>
                <w:highlight w:val="none"/>
                <w:lang w:val="en-US" w:eastAsia="zh-CN"/>
              </w:rPr>
            </w:pPr>
          </w:p>
          <w:p w14:paraId="7799B70F">
            <w:pPr>
              <w:tabs>
                <w:tab w:val="left" w:pos="643"/>
              </w:tabs>
              <w:bidi w:val="0"/>
              <w:spacing w:line="360" w:lineRule="auto"/>
              <w:ind w:left="0" w:leftChars="0" w:firstLine="0" w:firstLineChars="0"/>
              <w:jc w:val="left"/>
              <w:rPr>
                <w:color w:val="auto"/>
                <w:highlight w:val="none"/>
                <w:lang w:val="en-US" w:eastAsia="zh-CN"/>
              </w:rPr>
            </w:pPr>
          </w:p>
          <w:p w14:paraId="0A6D1231">
            <w:pPr>
              <w:tabs>
                <w:tab w:val="left" w:pos="643"/>
              </w:tabs>
              <w:bidi w:val="0"/>
              <w:spacing w:line="360" w:lineRule="auto"/>
              <w:ind w:left="0" w:leftChars="0" w:firstLine="0" w:firstLineChars="0"/>
              <w:jc w:val="left"/>
              <w:rPr>
                <w:color w:val="auto"/>
                <w:highlight w:val="none"/>
                <w:lang w:val="en-US" w:eastAsia="zh-CN"/>
              </w:rPr>
            </w:pPr>
          </w:p>
          <w:p w14:paraId="45FBD6A7">
            <w:pPr>
              <w:tabs>
                <w:tab w:val="left" w:pos="643"/>
              </w:tabs>
              <w:bidi w:val="0"/>
              <w:spacing w:line="360" w:lineRule="auto"/>
              <w:ind w:left="0" w:leftChars="0" w:firstLine="0" w:firstLineChars="0"/>
              <w:jc w:val="left"/>
              <w:rPr>
                <w:color w:val="auto"/>
                <w:highlight w:val="none"/>
                <w:lang w:val="en-US" w:eastAsia="zh-CN"/>
              </w:rPr>
            </w:pPr>
          </w:p>
          <w:p w14:paraId="7B7462A1">
            <w:pPr>
              <w:tabs>
                <w:tab w:val="left" w:pos="643"/>
              </w:tabs>
              <w:bidi w:val="0"/>
              <w:spacing w:line="360" w:lineRule="auto"/>
              <w:ind w:left="0" w:leftChars="0" w:firstLine="0" w:firstLineChars="0"/>
              <w:jc w:val="left"/>
              <w:rPr>
                <w:color w:val="auto"/>
                <w:highlight w:val="none"/>
                <w:lang w:val="en-US" w:eastAsia="zh-CN"/>
              </w:rPr>
            </w:pPr>
          </w:p>
        </w:tc>
      </w:tr>
    </w:tbl>
    <w:p w14:paraId="0B3BCE2A">
      <w:pPr>
        <w:keepNext w:val="0"/>
        <w:keepLines w:val="0"/>
        <w:pageBreakBefore w:val="0"/>
        <w:kinsoku/>
        <w:wordWrap/>
        <w:overflowPunct/>
        <w:autoSpaceDE/>
        <w:autoSpaceDN/>
        <w:bidi w:val="0"/>
        <w:spacing w:line="240" w:lineRule="auto"/>
        <w:ind w:firstLine="0" w:firstLineChars="0"/>
        <w:jc w:val="center"/>
        <w:outlineLvl w:val="0"/>
        <w:rPr>
          <w:rFonts w:hint="eastAsia" w:ascii="宋体" w:hAnsi="宋体" w:eastAsia="宋体" w:cs="宋体"/>
          <w:b/>
          <w:bCs/>
          <w:snapToGrid w:val="0"/>
          <w:color w:val="auto"/>
          <w:sz w:val="30"/>
          <w:szCs w:val="30"/>
          <w:highlight w:val="none"/>
        </w:rPr>
      </w:pPr>
      <w:r>
        <w:rPr>
          <w:snapToGrid w:val="0"/>
          <w:color w:val="auto"/>
          <w:highlight w:val="none"/>
        </w:rPr>
        <w:br w:type="page"/>
      </w:r>
      <w:r>
        <w:rPr>
          <w:rFonts w:hint="eastAsia" w:ascii="宋体" w:hAnsi="宋体" w:eastAsia="宋体" w:cs="宋体"/>
          <w:b/>
          <w:bCs/>
          <w:snapToGrid w:val="0"/>
          <w:color w:val="auto"/>
          <w:sz w:val="30"/>
          <w:szCs w:val="30"/>
          <w:highlight w:val="none"/>
        </w:rPr>
        <w:t>六、结论</w:t>
      </w:r>
    </w:p>
    <w:tbl>
      <w:tblPr>
        <w:tblStyle w:val="1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27C62D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1060EA3E">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本项目为北票发电有限责任公司公司配套建设的危险废物贮存项目，位于北票发电有限责任公司厂区内，符合国家有关产业政策。</w:t>
            </w:r>
          </w:p>
          <w:p w14:paraId="7106FCD9">
            <w:pPr>
              <w:pStyle w:val="13"/>
              <w:keepNext w:val="0"/>
              <w:keepLines w:val="0"/>
              <w:pageBreakBefore w:val="0"/>
              <w:widowControl w:val="0"/>
              <w:kinsoku/>
              <w:wordWrap/>
              <w:overflowPunct/>
              <w:topLinePunct w:val="0"/>
              <w:autoSpaceDE w:val="0"/>
              <w:autoSpaceDN w:val="0"/>
              <w:bidi w:val="0"/>
              <w:spacing w:line="360" w:lineRule="auto"/>
              <w:ind w:firstLine="480" w:firstLineChars="200"/>
              <w:jc w:val="both"/>
              <w:textAlignment w:val="auto"/>
              <w:rPr>
                <w:rFonts w:ascii="Times New Roman" w:hAnsi="Times New Roman" w:eastAsia="Times New Roman" w:cs="Times New Roman"/>
                <w:color w:val="auto"/>
                <w:sz w:val="24"/>
                <w:szCs w:val="24"/>
                <w:highlight w:val="none"/>
              </w:rPr>
            </w:pPr>
            <w:r>
              <w:rPr>
                <w:rFonts w:hint="eastAsia" w:ascii="Times New Roman" w:hAnsi="Times New Roman" w:eastAsia="Times New Roman" w:cs="Times New Roman"/>
                <w:color w:val="auto"/>
                <w:sz w:val="24"/>
                <w:szCs w:val="24"/>
                <w:highlight w:val="none"/>
              </w:rPr>
              <w:t>由环境影响分析可知，项目施工及运行过程中产生废气、噪声及固废，严格落实本评价提出的各项环保措施后，各项污染物可符合相应的国家标准和环保要求。通过环境影响评价，在认真执行环保验收制度，落实本环评中提出的各污染防治措施并保证环保设施正常稳定运行，确保各项污染物稳定达标排放，项目在环保方面可行。</w:t>
            </w:r>
          </w:p>
          <w:p w14:paraId="341F171B">
            <w:pPr>
              <w:pStyle w:val="13"/>
              <w:ind w:firstLine="480"/>
              <w:rPr>
                <w:color w:val="auto"/>
                <w:highlight w:val="none"/>
              </w:rPr>
            </w:pPr>
          </w:p>
          <w:p w14:paraId="0A449928">
            <w:pPr>
              <w:rPr>
                <w:color w:val="auto"/>
                <w:highlight w:val="none"/>
              </w:rPr>
            </w:pPr>
          </w:p>
          <w:p w14:paraId="1BE8F990">
            <w:pPr>
              <w:rPr>
                <w:rFonts w:hint="eastAsia" w:eastAsia="宋体"/>
                <w:color w:val="auto"/>
                <w:highlight w:val="none"/>
                <w:lang w:eastAsia="zh-CN"/>
              </w:rPr>
            </w:pPr>
          </w:p>
          <w:p w14:paraId="00EA7577">
            <w:pPr>
              <w:rPr>
                <w:rFonts w:hint="eastAsia" w:eastAsia="宋体"/>
                <w:color w:val="auto"/>
                <w:highlight w:val="none"/>
                <w:lang w:eastAsia="zh-CN"/>
              </w:rPr>
            </w:pPr>
          </w:p>
          <w:p w14:paraId="79A1859A">
            <w:pPr>
              <w:rPr>
                <w:rFonts w:hint="eastAsia" w:eastAsia="宋体"/>
                <w:color w:val="auto"/>
                <w:highlight w:val="none"/>
                <w:lang w:eastAsia="zh-CN"/>
              </w:rPr>
            </w:pPr>
          </w:p>
          <w:p w14:paraId="1ECA3FBA">
            <w:pPr>
              <w:rPr>
                <w:rFonts w:hint="eastAsia" w:eastAsia="宋体"/>
                <w:color w:val="auto"/>
                <w:highlight w:val="none"/>
                <w:lang w:eastAsia="zh-CN"/>
              </w:rPr>
            </w:pPr>
          </w:p>
          <w:p w14:paraId="2F72F5A8">
            <w:pPr>
              <w:rPr>
                <w:rFonts w:hint="eastAsia" w:eastAsia="宋体"/>
                <w:color w:val="auto"/>
                <w:highlight w:val="none"/>
                <w:lang w:eastAsia="zh-CN"/>
              </w:rPr>
            </w:pPr>
          </w:p>
          <w:p w14:paraId="6E69BB2C">
            <w:pPr>
              <w:rPr>
                <w:rFonts w:hint="eastAsia" w:eastAsia="宋体"/>
                <w:color w:val="auto"/>
                <w:highlight w:val="none"/>
                <w:lang w:eastAsia="zh-CN"/>
              </w:rPr>
            </w:pPr>
          </w:p>
          <w:p w14:paraId="484AD9A8">
            <w:pPr>
              <w:rPr>
                <w:rFonts w:hint="eastAsia" w:eastAsia="宋体"/>
                <w:color w:val="auto"/>
                <w:highlight w:val="none"/>
                <w:lang w:eastAsia="zh-CN"/>
              </w:rPr>
            </w:pPr>
          </w:p>
          <w:p w14:paraId="613E5188">
            <w:pPr>
              <w:rPr>
                <w:rFonts w:hint="eastAsia" w:eastAsia="宋体"/>
                <w:color w:val="auto"/>
                <w:highlight w:val="none"/>
                <w:lang w:eastAsia="zh-CN"/>
              </w:rPr>
            </w:pPr>
          </w:p>
          <w:p w14:paraId="55962495">
            <w:pPr>
              <w:rPr>
                <w:rFonts w:hint="eastAsia" w:eastAsia="宋体"/>
                <w:color w:val="auto"/>
                <w:highlight w:val="none"/>
                <w:lang w:eastAsia="zh-CN"/>
              </w:rPr>
            </w:pPr>
          </w:p>
          <w:p w14:paraId="666B1589">
            <w:pPr>
              <w:rPr>
                <w:rFonts w:hint="eastAsia" w:eastAsia="宋体"/>
                <w:color w:val="auto"/>
                <w:highlight w:val="none"/>
                <w:lang w:eastAsia="zh-CN"/>
              </w:rPr>
            </w:pPr>
          </w:p>
          <w:p w14:paraId="2F10DF14">
            <w:pPr>
              <w:rPr>
                <w:rFonts w:hint="eastAsia" w:eastAsia="宋体"/>
                <w:color w:val="auto"/>
                <w:highlight w:val="none"/>
                <w:lang w:eastAsia="zh-CN"/>
              </w:rPr>
            </w:pPr>
          </w:p>
          <w:p w14:paraId="6368EAF7">
            <w:pPr>
              <w:rPr>
                <w:rFonts w:hint="eastAsia" w:eastAsia="宋体"/>
                <w:color w:val="auto"/>
                <w:highlight w:val="none"/>
                <w:lang w:eastAsia="zh-CN"/>
              </w:rPr>
            </w:pPr>
          </w:p>
          <w:p w14:paraId="6A6029B0">
            <w:pPr>
              <w:rPr>
                <w:rFonts w:hint="eastAsia" w:eastAsia="宋体"/>
                <w:color w:val="auto"/>
                <w:highlight w:val="none"/>
                <w:lang w:eastAsia="zh-CN"/>
              </w:rPr>
            </w:pPr>
          </w:p>
          <w:p w14:paraId="14785042">
            <w:pPr>
              <w:rPr>
                <w:rFonts w:hint="eastAsia" w:eastAsia="宋体"/>
                <w:color w:val="auto"/>
                <w:highlight w:val="none"/>
                <w:lang w:eastAsia="zh-CN"/>
              </w:rPr>
            </w:pPr>
          </w:p>
          <w:p w14:paraId="0D3FFB62">
            <w:pPr>
              <w:rPr>
                <w:rFonts w:hint="eastAsia" w:eastAsia="宋体"/>
                <w:color w:val="auto"/>
                <w:highlight w:val="none"/>
                <w:lang w:eastAsia="zh-CN"/>
              </w:rPr>
            </w:pPr>
          </w:p>
          <w:p w14:paraId="413961C3">
            <w:pPr>
              <w:rPr>
                <w:rFonts w:hint="eastAsia" w:eastAsia="宋体"/>
                <w:color w:val="auto"/>
                <w:highlight w:val="none"/>
                <w:lang w:eastAsia="zh-CN"/>
              </w:rPr>
            </w:pPr>
          </w:p>
          <w:p w14:paraId="322444B6">
            <w:pPr>
              <w:rPr>
                <w:rFonts w:hint="eastAsia" w:eastAsia="宋体"/>
                <w:color w:val="auto"/>
                <w:highlight w:val="none"/>
                <w:lang w:eastAsia="zh-CN"/>
              </w:rPr>
            </w:pPr>
          </w:p>
          <w:p w14:paraId="53A99D74">
            <w:pPr>
              <w:rPr>
                <w:rFonts w:hint="eastAsia" w:eastAsia="宋体"/>
                <w:color w:val="auto"/>
                <w:highlight w:val="none"/>
                <w:lang w:eastAsia="zh-CN"/>
              </w:rPr>
            </w:pPr>
          </w:p>
          <w:p w14:paraId="7F1FF4B1">
            <w:pPr>
              <w:rPr>
                <w:rFonts w:hint="eastAsia" w:eastAsia="宋体"/>
                <w:color w:val="auto"/>
                <w:highlight w:val="none"/>
                <w:lang w:eastAsia="zh-CN"/>
              </w:rPr>
            </w:pPr>
          </w:p>
          <w:p w14:paraId="06840CFF">
            <w:pPr>
              <w:rPr>
                <w:rFonts w:hint="eastAsia" w:eastAsia="宋体"/>
                <w:color w:val="auto"/>
                <w:highlight w:val="none"/>
                <w:lang w:eastAsia="zh-CN"/>
              </w:rPr>
            </w:pPr>
          </w:p>
          <w:p w14:paraId="50A9F8C2">
            <w:pPr>
              <w:rPr>
                <w:rFonts w:hint="eastAsia" w:eastAsia="宋体"/>
                <w:color w:val="auto"/>
                <w:highlight w:val="none"/>
                <w:lang w:eastAsia="zh-CN"/>
              </w:rPr>
            </w:pPr>
          </w:p>
          <w:p w14:paraId="6A46483F">
            <w:pPr>
              <w:rPr>
                <w:rFonts w:hint="eastAsia" w:eastAsia="宋体"/>
                <w:color w:val="auto"/>
                <w:highlight w:val="none"/>
                <w:lang w:eastAsia="zh-CN"/>
              </w:rPr>
            </w:pPr>
          </w:p>
        </w:tc>
      </w:tr>
    </w:tbl>
    <w:p w14:paraId="0BD085C1">
      <w:pPr>
        <w:keepNext w:val="0"/>
        <w:keepLines w:val="0"/>
        <w:pageBreakBefore w:val="0"/>
        <w:kinsoku/>
        <w:wordWrap/>
        <w:overflowPunct/>
        <w:autoSpaceDE/>
        <w:autoSpaceDN/>
        <w:bidi w:val="0"/>
        <w:spacing w:line="240" w:lineRule="auto"/>
        <w:ind w:firstLine="0" w:firstLineChars="0"/>
        <w:jc w:val="both"/>
        <w:rPr>
          <w:rFonts w:ascii="宋体"/>
          <w:color w:val="auto"/>
          <w:highlight w:val="none"/>
        </w:rPr>
        <w:sectPr>
          <w:pgSz w:w="11906" w:h="16838"/>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p>
    <w:p w14:paraId="440FFB02">
      <w:pPr>
        <w:pStyle w:val="2"/>
        <w:bidi w:val="0"/>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附表</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建设项目污染物排放量汇总表</w:t>
      </w:r>
      <w:r>
        <w:rPr>
          <w:rFonts w:hint="eastAsia"/>
          <w:color w:val="auto"/>
          <w:sz w:val="24"/>
          <w:szCs w:val="24"/>
          <w:highlight w:val="none"/>
          <w:lang w:eastAsia="zh-CN"/>
        </w:rPr>
        <w:t>（注：⑥=①+③+④-⑤；⑦=⑥-①）</w:t>
      </w:r>
    </w:p>
    <w:tbl>
      <w:tblPr>
        <w:tblStyle w:val="16"/>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7"/>
        <w:gridCol w:w="2325"/>
        <w:gridCol w:w="1455"/>
        <w:gridCol w:w="995"/>
        <w:gridCol w:w="1636"/>
        <w:gridCol w:w="1610"/>
        <w:gridCol w:w="1568"/>
        <w:gridCol w:w="1950"/>
        <w:gridCol w:w="1572"/>
      </w:tblGrid>
      <w:tr w14:paraId="5E14E1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677" w:type="dxa"/>
            <w:tcBorders>
              <w:tl2br w:val="single" w:color="auto" w:sz="4" w:space="0"/>
            </w:tcBorders>
            <w:tcMar>
              <w:left w:w="28" w:type="dxa"/>
              <w:right w:w="28" w:type="dxa"/>
            </w:tcMar>
            <w:vAlign w:val="center"/>
          </w:tcPr>
          <w:p w14:paraId="341D61A1">
            <w:pPr>
              <w:pStyle w:val="24"/>
              <w:spacing w:line="240" w:lineRule="auto"/>
              <w:rPr>
                <w:rFonts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lang w:val="en-US" w:eastAsia="zh-CN"/>
              </w:rPr>
              <w:t xml:space="preserve"> </w:t>
            </w:r>
            <w:r>
              <w:rPr>
                <w:rFonts w:hint="eastAsia" w:ascii="Times New Roman" w:hAnsi="Times New Roman" w:eastAsia="宋体" w:cs="Times New Roman"/>
                <w:b/>
                <w:bCs/>
                <w:color w:val="auto"/>
                <w:sz w:val="21"/>
                <w:szCs w:val="21"/>
                <w:highlight w:val="none"/>
              </w:rPr>
              <w:t>项目</w:t>
            </w:r>
          </w:p>
          <w:p w14:paraId="66373886">
            <w:pPr>
              <w:pStyle w:val="24"/>
              <w:spacing w:line="240" w:lineRule="auto"/>
              <w:jc w:val="both"/>
              <w:rPr>
                <w:rFonts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分类</w:t>
            </w:r>
          </w:p>
        </w:tc>
        <w:tc>
          <w:tcPr>
            <w:tcW w:w="2325" w:type="dxa"/>
            <w:tcMar>
              <w:left w:w="28" w:type="dxa"/>
              <w:right w:w="28" w:type="dxa"/>
            </w:tcMar>
            <w:vAlign w:val="center"/>
          </w:tcPr>
          <w:p w14:paraId="6F80611E">
            <w:pPr>
              <w:pStyle w:val="24"/>
              <w:spacing w:line="240" w:lineRule="auto"/>
              <w:rPr>
                <w:rFonts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污染物名称</w:t>
            </w:r>
          </w:p>
        </w:tc>
        <w:tc>
          <w:tcPr>
            <w:tcW w:w="1455" w:type="dxa"/>
            <w:tcMar>
              <w:left w:w="28" w:type="dxa"/>
              <w:right w:w="28" w:type="dxa"/>
            </w:tcMar>
            <w:vAlign w:val="center"/>
          </w:tcPr>
          <w:p w14:paraId="2B1AA014">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现有工程</w:t>
            </w:r>
          </w:p>
          <w:p w14:paraId="377BF390">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排放量（固</w:t>
            </w:r>
            <w:r>
              <w:rPr>
                <w:rFonts w:hint="eastAsia" w:ascii="Times New Roman" w:hAnsi="Times New Roman" w:eastAsia="宋体" w:cs="Times New Roman"/>
                <w:b/>
                <w:bCs/>
                <w:color w:val="auto"/>
                <w:sz w:val="21"/>
                <w:szCs w:val="21"/>
                <w:highlight w:val="none"/>
              </w:rPr>
              <w:t>体</w:t>
            </w:r>
            <w:r>
              <w:rPr>
                <w:rFonts w:ascii="Times New Roman" w:hAnsi="Times New Roman" w:eastAsia="宋体" w:cs="Times New Roman"/>
                <w:b/>
                <w:bCs/>
                <w:color w:val="auto"/>
                <w:sz w:val="21"/>
                <w:szCs w:val="21"/>
                <w:highlight w:val="none"/>
              </w:rPr>
              <w:t>废</w:t>
            </w:r>
            <w:r>
              <w:rPr>
                <w:rFonts w:hint="eastAsia" w:ascii="Times New Roman" w:hAnsi="Times New Roman" w:eastAsia="宋体" w:cs="Times New Roman"/>
                <w:b/>
                <w:bCs/>
                <w:color w:val="auto"/>
                <w:sz w:val="21"/>
                <w:szCs w:val="21"/>
                <w:highlight w:val="none"/>
              </w:rPr>
              <w:t>物</w:t>
            </w:r>
            <w:r>
              <w:rPr>
                <w:rFonts w:ascii="Times New Roman" w:hAnsi="Times New Roman" w:eastAsia="宋体" w:cs="Times New Roman"/>
                <w:b/>
                <w:bCs/>
                <w:color w:val="auto"/>
                <w:sz w:val="21"/>
                <w:szCs w:val="21"/>
                <w:highlight w:val="none"/>
              </w:rPr>
              <w:t>产生量）</w:t>
            </w:r>
            <w:r>
              <w:rPr>
                <w:rFonts w:ascii="Times New Roman" w:hAnsi="Times New Roman" w:eastAsia="宋体" w:cs="Times New Roman"/>
                <w:b/>
                <w:bCs/>
                <w:color w:val="auto"/>
                <w:sz w:val="21"/>
                <w:szCs w:val="21"/>
                <w:highlight w:val="none"/>
              </w:rPr>
              <w:fldChar w:fldCharType="begin"/>
            </w:r>
            <w:r>
              <w:rPr>
                <w:rFonts w:ascii="Times New Roman" w:hAnsi="Times New Roman" w:eastAsia="宋体" w:cs="Times New Roman"/>
                <w:b/>
                <w:bCs/>
                <w:color w:val="auto"/>
                <w:sz w:val="21"/>
                <w:szCs w:val="21"/>
                <w:highlight w:val="none"/>
              </w:rPr>
              <w:instrText xml:space="preserve"> = 1 \* GB3 \* MERGEFORMAT </w:instrText>
            </w:r>
            <w:r>
              <w:rPr>
                <w:rFonts w:ascii="Times New Roman" w:hAnsi="Times New Roman" w:eastAsia="宋体" w:cs="Times New Roman"/>
                <w:b/>
                <w:bCs/>
                <w:color w:val="auto"/>
                <w:sz w:val="21"/>
                <w:szCs w:val="21"/>
                <w:highlight w:val="none"/>
              </w:rPr>
              <w:fldChar w:fldCharType="separate"/>
            </w:r>
            <w:r>
              <w:rPr>
                <w:rFonts w:hint="eastAsia" w:ascii="Times New Roman" w:hAnsi="Times New Roman" w:eastAsia="宋体" w:cs="Times New Roman"/>
                <w:b/>
                <w:bCs/>
                <w:color w:val="auto"/>
                <w:sz w:val="21"/>
                <w:szCs w:val="21"/>
                <w:highlight w:val="none"/>
              </w:rPr>
              <w:t>①</w:t>
            </w:r>
            <w:r>
              <w:rPr>
                <w:rFonts w:ascii="Times New Roman" w:hAnsi="Times New Roman" w:eastAsia="宋体" w:cs="Times New Roman"/>
                <w:b/>
                <w:bCs/>
                <w:color w:val="auto"/>
                <w:sz w:val="21"/>
                <w:szCs w:val="21"/>
                <w:highlight w:val="none"/>
              </w:rPr>
              <w:fldChar w:fldCharType="end"/>
            </w:r>
          </w:p>
        </w:tc>
        <w:tc>
          <w:tcPr>
            <w:tcW w:w="995" w:type="dxa"/>
            <w:tcMar>
              <w:left w:w="28" w:type="dxa"/>
              <w:right w:w="28" w:type="dxa"/>
            </w:tcMar>
            <w:vAlign w:val="center"/>
          </w:tcPr>
          <w:p w14:paraId="293B9C0D">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现有工程</w:t>
            </w:r>
          </w:p>
          <w:p w14:paraId="6768021F">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许可排放量</w:t>
            </w:r>
            <w:r>
              <w:rPr>
                <w:rFonts w:ascii="Times New Roman" w:hAnsi="Times New Roman" w:eastAsia="宋体" w:cs="Times New Roman"/>
                <w:b/>
                <w:bCs/>
                <w:color w:val="auto"/>
                <w:sz w:val="21"/>
                <w:szCs w:val="21"/>
                <w:highlight w:val="none"/>
              </w:rPr>
              <w:fldChar w:fldCharType="begin"/>
            </w:r>
            <w:r>
              <w:rPr>
                <w:rFonts w:ascii="Times New Roman" w:hAnsi="Times New Roman" w:eastAsia="宋体" w:cs="Times New Roman"/>
                <w:b/>
                <w:bCs/>
                <w:color w:val="auto"/>
                <w:sz w:val="21"/>
                <w:szCs w:val="21"/>
                <w:highlight w:val="none"/>
              </w:rPr>
              <w:instrText xml:space="preserve"> = 2 \* GB3 \* MERGEFORMAT </w:instrText>
            </w:r>
            <w:r>
              <w:rPr>
                <w:rFonts w:ascii="Times New Roman" w:hAnsi="Times New Roman" w:eastAsia="宋体" w:cs="Times New Roman"/>
                <w:b/>
                <w:bCs/>
                <w:color w:val="auto"/>
                <w:sz w:val="21"/>
                <w:szCs w:val="21"/>
                <w:highlight w:val="none"/>
              </w:rPr>
              <w:fldChar w:fldCharType="separate"/>
            </w:r>
            <w:r>
              <w:rPr>
                <w:rFonts w:hint="eastAsia" w:ascii="Times New Roman" w:hAnsi="Times New Roman" w:eastAsia="宋体" w:cs="Times New Roman"/>
                <w:b/>
                <w:bCs/>
                <w:color w:val="auto"/>
                <w:sz w:val="21"/>
                <w:szCs w:val="21"/>
                <w:highlight w:val="none"/>
              </w:rPr>
              <w:t>②</w:t>
            </w:r>
            <w:r>
              <w:rPr>
                <w:rFonts w:ascii="Times New Roman" w:hAnsi="Times New Roman" w:eastAsia="宋体" w:cs="Times New Roman"/>
                <w:b/>
                <w:bCs/>
                <w:color w:val="auto"/>
                <w:sz w:val="21"/>
                <w:szCs w:val="21"/>
                <w:highlight w:val="none"/>
              </w:rPr>
              <w:fldChar w:fldCharType="end"/>
            </w:r>
          </w:p>
        </w:tc>
        <w:tc>
          <w:tcPr>
            <w:tcW w:w="1636" w:type="dxa"/>
            <w:tcMar>
              <w:left w:w="28" w:type="dxa"/>
              <w:right w:w="28" w:type="dxa"/>
            </w:tcMar>
            <w:vAlign w:val="center"/>
          </w:tcPr>
          <w:p w14:paraId="1C264996">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在建工程</w:t>
            </w:r>
          </w:p>
          <w:p w14:paraId="03E1CFAB">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排放量（固</w:t>
            </w:r>
            <w:r>
              <w:rPr>
                <w:rFonts w:hint="eastAsia" w:ascii="Times New Roman" w:hAnsi="Times New Roman" w:eastAsia="宋体" w:cs="Times New Roman"/>
                <w:b/>
                <w:bCs/>
                <w:color w:val="auto"/>
                <w:sz w:val="21"/>
                <w:szCs w:val="21"/>
                <w:highlight w:val="none"/>
              </w:rPr>
              <w:t>体</w:t>
            </w:r>
            <w:r>
              <w:rPr>
                <w:rFonts w:ascii="Times New Roman" w:hAnsi="Times New Roman" w:eastAsia="宋体" w:cs="Times New Roman"/>
                <w:b/>
                <w:bCs/>
                <w:color w:val="auto"/>
                <w:sz w:val="21"/>
                <w:szCs w:val="21"/>
                <w:highlight w:val="none"/>
              </w:rPr>
              <w:t>废</w:t>
            </w:r>
            <w:r>
              <w:rPr>
                <w:rFonts w:hint="eastAsia" w:ascii="Times New Roman" w:hAnsi="Times New Roman" w:eastAsia="宋体" w:cs="Times New Roman"/>
                <w:b/>
                <w:bCs/>
                <w:color w:val="auto"/>
                <w:sz w:val="21"/>
                <w:szCs w:val="21"/>
                <w:highlight w:val="none"/>
              </w:rPr>
              <w:t>物</w:t>
            </w:r>
            <w:r>
              <w:rPr>
                <w:rFonts w:ascii="Times New Roman" w:hAnsi="Times New Roman" w:eastAsia="宋体" w:cs="Times New Roman"/>
                <w:b/>
                <w:bCs/>
                <w:color w:val="auto"/>
                <w:sz w:val="21"/>
                <w:szCs w:val="21"/>
                <w:highlight w:val="none"/>
              </w:rPr>
              <w:t>产生量）</w:t>
            </w:r>
            <w:r>
              <w:rPr>
                <w:rFonts w:ascii="Times New Roman" w:hAnsi="Times New Roman" w:eastAsia="宋体" w:cs="Times New Roman"/>
                <w:b/>
                <w:bCs/>
                <w:color w:val="auto"/>
                <w:sz w:val="21"/>
                <w:szCs w:val="21"/>
                <w:highlight w:val="none"/>
              </w:rPr>
              <w:fldChar w:fldCharType="begin"/>
            </w:r>
            <w:r>
              <w:rPr>
                <w:rFonts w:ascii="Times New Roman" w:hAnsi="Times New Roman" w:eastAsia="宋体" w:cs="Times New Roman"/>
                <w:b/>
                <w:bCs/>
                <w:color w:val="auto"/>
                <w:sz w:val="21"/>
                <w:szCs w:val="21"/>
                <w:highlight w:val="none"/>
              </w:rPr>
              <w:instrText xml:space="preserve"> = 3 \* GB3 \* MERGEFORMAT </w:instrText>
            </w:r>
            <w:r>
              <w:rPr>
                <w:rFonts w:ascii="Times New Roman" w:hAnsi="Times New Roman" w:eastAsia="宋体" w:cs="Times New Roman"/>
                <w:b/>
                <w:bCs/>
                <w:color w:val="auto"/>
                <w:sz w:val="21"/>
                <w:szCs w:val="21"/>
                <w:highlight w:val="none"/>
              </w:rPr>
              <w:fldChar w:fldCharType="separate"/>
            </w:r>
            <w:r>
              <w:rPr>
                <w:rFonts w:hint="eastAsia" w:ascii="Times New Roman" w:hAnsi="Times New Roman" w:eastAsia="宋体" w:cs="Times New Roman"/>
                <w:b/>
                <w:bCs/>
                <w:color w:val="auto"/>
                <w:sz w:val="21"/>
                <w:szCs w:val="21"/>
                <w:highlight w:val="none"/>
              </w:rPr>
              <w:t>③</w:t>
            </w:r>
            <w:r>
              <w:rPr>
                <w:rFonts w:ascii="Times New Roman" w:hAnsi="Times New Roman" w:eastAsia="宋体" w:cs="Times New Roman"/>
                <w:b/>
                <w:bCs/>
                <w:color w:val="auto"/>
                <w:sz w:val="21"/>
                <w:szCs w:val="21"/>
                <w:highlight w:val="none"/>
              </w:rPr>
              <w:fldChar w:fldCharType="end"/>
            </w:r>
          </w:p>
        </w:tc>
        <w:tc>
          <w:tcPr>
            <w:tcW w:w="1610" w:type="dxa"/>
            <w:tcMar>
              <w:left w:w="28" w:type="dxa"/>
              <w:right w:w="28" w:type="dxa"/>
            </w:tcMar>
            <w:vAlign w:val="center"/>
          </w:tcPr>
          <w:p w14:paraId="08E8943D">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本项目</w:t>
            </w:r>
          </w:p>
          <w:p w14:paraId="5D8B95B7">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排放量（固</w:t>
            </w:r>
            <w:r>
              <w:rPr>
                <w:rFonts w:hint="eastAsia" w:ascii="Times New Roman" w:hAnsi="Times New Roman" w:eastAsia="宋体" w:cs="Times New Roman"/>
                <w:b/>
                <w:bCs/>
                <w:color w:val="auto"/>
                <w:sz w:val="21"/>
                <w:szCs w:val="21"/>
                <w:highlight w:val="none"/>
              </w:rPr>
              <w:t>体</w:t>
            </w:r>
            <w:r>
              <w:rPr>
                <w:rFonts w:ascii="Times New Roman" w:hAnsi="Times New Roman" w:eastAsia="宋体" w:cs="Times New Roman"/>
                <w:b/>
                <w:bCs/>
                <w:color w:val="auto"/>
                <w:sz w:val="21"/>
                <w:szCs w:val="21"/>
                <w:highlight w:val="none"/>
              </w:rPr>
              <w:t>废</w:t>
            </w:r>
            <w:r>
              <w:rPr>
                <w:rFonts w:hint="eastAsia" w:ascii="Times New Roman" w:hAnsi="Times New Roman" w:eastAsia="宋体" w:cs="Times New Roman"/>
                <w:b/>
                <w:bCs/>
                <w:color w:val="auto"/>
                <w:sz w:val="21"/>
                <w:szCs w:val="21"/>
                <w:highlight w:val="none"/>
              </w:rPr>
              <w:t>物</w:t>
            </w:r>
            <w:r>
              <w:rPr>
                <w:rFonts w:ascii="Times New Roman" w:hAnsi="Times New Roman" w:eastAsia="宋体" w:cs="Times New Roman"/>
                <w:b/>
                <w:bCs/>
                <w:color w:val="auto"/>
                <w:sz w:val="21"/>
                <w:szCs w:val="21"/>
                <w:highlight w:val="none"/>
              </w:rPr>
              <w:t>产生量）</w:t>
            </w:r>
            <w:r>
              <w:rPr>
                <w:rFonts w:ascii="Times New Roman" w:hAnsi="Times New Roman" w:eastAsia="宋体" w:cs="Times New Roman"/>
                <w:b/>
                <w:bCs/>
                <w:color w:val="auto"/>
                <w:sz w:val="21"/>
                <w:szCs w:val="21"/>
                <w:highlight w:val="none"/>
              </w:rPr>
              <w:fldChar w:fldCharType="begin"/>
            </w:r>
            <w:r>
              <w:rPr>
                <w:rFonts w:ascii="Times New Roman" w:hAnsi="Times New Roman" w:eastAsia="宋体" w:cs="Times New Roman"/>
                <w:b/>
                <w:bCs/>
                <w:color w:val="auto"/>
                <w:sz w:val="21"/>
                <w:szCs w:val="21"/>
                <w:highlight w:val="none"/>
              </w:rPr>
              <w:instrText xml:space="preserve"> = 4 \* GB3 \* MERGEFORMAT </w:instrText>
            </w:r>
            <w:r>
              <w:rPr>
                <w:rFonts w:ascii="Times New Roman" w:hAnsi="Times New Roman" w:eastAsia="宋体" w:cs="Times New Roman"/>
                <w:b/>
                <w:bCs/>
                <w:color w:val="auto"/>
                <w:sz w:val="21"/>
                <w:szCs w:val="21"/>
                <w:highlight w:val="none"/>
              </w:rPr>
              <w:fldChar w:fldCharType="separate"/>
            </w:r>
            <w:r>
              <w:rPr>
                <w:rFonts w:hint="eastAsia" w:ascii="Times New Roman" w:hAnsi="Times New Roman" w:eastAsia="宋体" w:cs="Times New Roman"/>
                <w:b/>
                <w:bCs/>
                <w:color w:val="auto"/>
                <w:sz w:val="21"/>
                <w:szCs w:val="21"/>
                <w:highlight w:val="none"/>
              </w:rPr>
              <w:t>④</w:t>
            </w:r>
            <w:r>
              <w:rPr>
                <w:rFonts w:ascii="Times New Roman" w:hAnsi="Times New Roman" w:eastAsia="宋体" w:cs="Times New Roman"/>
                <w:b/>
                <w:bCs/>
                <w:color w:val="auto"/>
                <w:sz w:val="21"/>
                <w:szCs w:val="21"/>
                <w:highlight w:val="none"/>
              </w:rPr>
              <w:fldChar w:fldCharType="end"/>
            </w:r>
          </w:p>
        </w:tc>
        <w:tc>
          <w:tcPr>
            <w:tcW w:w="1568" w:type="dxa"/>
            <w:tcMar>
              <w:left w:w="28" w:type="dxa"/>
              <w:right w:w="28" w:type="dxa"/>
            </w:tcMar>
            <w:vAlign w:val="center"/>
          </w:tcPr>
          <w:p w14:paraId="4EFB781A">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以新带老削减量</w:t>
            </w:r>
          </w:p>
          <w:p w14:paraId="203B697F">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（新建项目不填）</w:t>
            </w:r>
            <w:r>
              <w:rPr>
                <w:rFonts w:ascii="Times New Roman" w:hAnsi="Times New Roman" w:eastAsia="宋体" w:cs="Times New Roman"/>
                <w:b/>
                <w:bCs/>
                <w:color w:val="auto"/>
                <w:sz w:val="21"/>
                <w:szCs w:val="21"/>
                <w:highlight w:val="none"/>
              </w:rPr>
              <w:fldChar w:fldCharType="begin"/>
            </w:r>
            <w:r>
              <w:rPr>
                <w:rFonts w:ascii="Times New Roman" w:hAnsi="Times New Roman" w:eastAsia="宋体" w:cs="Times New Roman"/>
                <w:b/>
                <w:bCs/>
                <w:color w:val="auto"/>
                <w:sz w:val="21"/>
                <w:szCs w:val="21"/>
                <w:highlight w:val="none"/>
              </w:rPr>
              <w:instrText xml:space="preserve"> = 5 \* GB3 \* MERGEFORMAT </w:instrText>
            </w:r>
            <w:r>
              <w:rPr>
                <w:rFonts w:ascii="Times New Roman" w:hAnsi="Times New Roman" w:eastAsia="宋体" w:cs="Times New Roman"/>
                <w:b/>
                <w:bCs/>
                <w:color w:val="auto"/>
                <w:sz w:val="21"/>
                <w:szCs w:val="21"/>
                <w:highlight w:val="none"/>
              </w:rPr>
              <w:fldChar w:fldCharType="separate"/>
            </w:r>
            <w:r>
              <w:rPr>
                <w:rFonts w:hint="eastAsia" w:ascii="Times New Roman" w:hAnsi="Times New Roman" w:eastAsia="宋体" w:cs="Times New Roman"/>
                <w:b/>
                <w:bCs/>
                <w:color w:val="auto"/>
                <w:sz w:val="21"/>
                <w:szCs w:val="21"/>
                <w:highlight w:val="none"/>
              </w:rPr>
              <w:t>⑤</w:t>
            </w:r>
            <w:r>
              <w:rPr>
                <w:rFonts w:ascii="Times New Roman" w:hAnsi="Times New Roman" w:eastAsia="宋体" w:cs="Times New Roman"/>
                <w:b/>
                <w:bCs/>
                <w:color w:val="auto"/>
                <w:sz w:val="21"/>
                <w:szCs w:val="21"/>
                <w:highlight w:val="none"/>
              </w:rPr>
              <w:fldChar w:fldCharType="end"/>
            </w:r>
          </w:p>
        </w:tc>
        <w:tc>
          <w:tcPr>
            <w:tcW w:w="1950" w:type="dxa"/>
            <w:tcMar>
              <w:left w:w="28" w:type="dxa"/>
              <w:right w:w="28" w:type="dxa"/>
            </w:tcMar>
            <w:vAlign w:val="center"/>
          </w:tcPr>
          <w:p w14:paraId="224ADDC4">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本项目建成后</w:t>
            </w:r>
          </w:p>
          <w:p w14:paraId="2D2A7D9F">
            <w:pPr>
              <w:pStyle w:val="24"/>
              <w:spacing w:line="240" w:lineRule="auto"/>
              <w:rPr>
                <w:rFonts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全厂</w:t>
            </w:r>
            <w:r>
              <w:rPr>
                <w:rFonts w:ascii="Times New Roman" w:hAnsi="Times New Roman" w:eastAsia="宋体" w:cs="Times New Roman"/>
                <w:b/>
                <w:bCs/>
                <w:color w:val="auto"/>
                <w:sz w:val="21"/>
                <w:szCs w:val="21"/>
                <w:highlight w:val="none"/>
              </w:rPr>
              <w:t>排放量（固</w:t>
            </w:r>
            <w:r>
              <w:rPr>
                <w:rFonts w:hint="eastAsia" w:ascii="Times New Roman" w:hAnsi="Times New Roman" w:eastAsia="宋体" w:cs="Times New Roman"/>
                <w:b/>
                <w:bCs/>
                <w:color w:val="auto"/>
                <w:sz w:val="21"/>
                <w:szCs w:val="21"/>
                <w:highlight w:val="none"/>
              </w:rPr>
              <w:t>体</w:t>
            </w:r>
            <w:r>
              <w:rPr>
                <w:rFonts w:ascii="Times New Roman" w:hAnsi="Times New Roman" w:eastAsia="宋体" w:cs="Times New Roman"/>
                <w:b/>
                <w:bCs/>
                <w:color w:val="auto"/>
                <w:sz w:val="21"/>
                <w:szCs w:val="21"/>
                <w:highlight w:val="none"/>
              </w:rPr>
              <w:t>废</w:t>
            </w:r>
            <w:r>
              <w:rPr>
                <w:rFonts w:hint="eastAsia" w:ascii="Times New Roman" w:hAnsi="Times New Roman" w:eastAsia="宋体" w:cs="Times New Roman"/>
                <w:b/>
                <w:bCs/>
                <w:color w:val="auto"/>
                <w:sz w:val="21"/>
                <w:szCs w:val="21"/>
                <w:highlight w:val="none"/>
              </w:rPr>
              <w:t>物</w:t>
            </w:r>
            <w:r>
              <w:rPr>
                <w:rFonts w:ascii="Times New Roman" w:hAnsi="Times New Roman" w:eastAsia="宋体" w:cs="Times New Roman"/>
                <w:b/>
                <w:bCs/>
                <w:color w:val="auto"/>
                <w:sz w:val="21"/>
                <w:szCs w:val="21"/>
                <w:highlight w:val="none"/>
              </w:rPr>
              <w:t>产生量）</w:t>
            </w:r>
            <w:r>
              <w:rPr>
                <w:rFonts w:ascii="Times New Roman" w:hAnsi="Times New Roman" w:eastAsia="宋体" w:cs="Times New Roman"/>
                <w:b/>
                <w:bCs/>
                <w:color w:val="auto"/>
                <w:sz w:val="21"/>
                <w:szCs w:val="21"/>
                <w:highlight w:val="none"/>
              </w:rPr>
              <w:fldChar w:fldCharType="begin"/>
            </w:r>
            <w:r>
              <w:rPr>
                <w:rFonts w:ascii="Times New Roman" w:hAnsi="Times New Roman" w:eastAsia="宋体" w:cs="Times New Roman"/>
                <w:b/>
                <w:bCs/>
                <w:color w:val="auto"/>
                <w:sz w:val="21"/>
                <w:szCs w:val="21"/>
                <w:highlight w:val="none"/>
              </w:rPr>
              <w:instrText xml:space="preserve"> = 6 \* GB3 \* MERGEFORMAT </w:instrText>
            </w:r>
            <w:r>
              <w:rPr>
                <w:rFonts w:ascii="Times New Roman" w:hAnsi="Times New Roman" w:eastAsia="宋体" w:cs="Times New Roman"/>
                <w:b/>
                <w:bCs/>
                <w:color w:val="auto"/>
                <w:sz w:val="21"/>
                <w:szCs w:val="21"/>
                <w:highlight w:val="none"/>
              </w:rPr>
              <w:fldChar w:fldCharType="separate"/>
            </w:r>
            <w:r>
              <w:rPr>
                <w:rFonts w:hint="eastAsia" w:ascii="Times New Roman" w:hAnsi="Times New Roman" w:eastAsia="宋体" w:cs="Times New Roman"/>
                <w:b/>
                <w:bCs/>
                <w:color w:val="auto"/>
                <w:sz w:val="21"/>
                <w:szCs w:val="21"/>
                <w:highlight w:val="none"/>
              </w:rPr>
              <w:t>⑥</w:t>
            </w:r>
            <w:r>
              <w:rPr>
                <w:rFonts w:ascii="Times New Roman" w:hAnsi="Times New Roman" w:eastAsia="宋体" w:cs="Times New Roman"/>
                <w:b/>
                <w:bCs/>
                <w:color w:val="auto"/>
                <w:sz w:val="21"/>
                <w:szCs w:val="21"/>
                <w:highlight w:val="none"/>
              </w:rPr>
              <w:fldChar w:fldCharType="end"/>
            </w:r>
          </w:p>
        </w:tc>
        <w:tc>
          <w:tcPr>
            <w:tcW w:w="1572" w:type="dxa"/>
            <w:tcMar>
              <w:left w:w="28" w:type="dxa"/>
              <w:right w:w="28" w:type="dxa"/>
            </w:tcMar>
            <w:vAlign w:val="center"/>
          </w:tcPr>
          <w:p w14:paraId="5222194C">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t>变化量</w:t>
            </w:r>
          </w:p>
          <w:p w14:paraId="01315EF7">
            <w:pPr>
              <w:pStyle w:val="24"/>
              <w:spacing w:line="240" w:lineRule="auto"/>
              <w:rPr>
                <w:rFonts w:ascii="Times New Roman" w:hAnsi="Times New Roman" w:eastAsia="宋体" w:cs="Times New Roman"/>
                <w:b/>
                <w:bCs/>
                <w:color w:val="auto"/>
                <w:sz w:val="21"/>
                <w:szCs w:val="21"/>
                <w:highlight w:val="none"/>
              </w:rPr>
            </w:pPr>
            <w:r>
              <w:rPr>
                <w:rFonts w:ascii="Times New Roman" w:hAnsi="Times New Roman" w:eastAsia="宋体" w:cs="Times New Roman"/>
                <w:b/>
                <w:bCs/>
                <w:color w:val="auto"/>
                <w:sz w:val="21"/>
                <w:szCs w:val="21"/>
                <w:highlight w:val="none"/>
              </w:rPr>
              <w:fldChar w:fldCharType="begin"/>
            </w:r>
            <w:r>
              <w:rPr>
                <w:rFonts w:ascii="Times New Roman" w:hAnsi="Times New Roman" w:eastAsia="宋体" w:cs="Times New Roman"/>
                <w:b/>
                <w:bCs/>
                <w:color w:val="auto"/>
                <w:sz w:val="21"/>
                <w:szCs w:val="21"/>
                <w:highlight w:val="none"/>
              </w:rPr>
              <w:instrText xml:space="preserve"> = 7 \* GB3 \* MERGEFORMAT </w:instrText>
            </w:r>
            <w:r>
              <w:rPr>
                <w:rFonts w:ascii="Times New Roman" w:hAnsi="Times New Roman" w:eastAsia="宋体" w:cs="Times New Roman"/>
                <w:b/>
                <w:bCs/>
                <w:color w:val="auto"/>
                <w:sz w:val="21"/>
                <w:szCs w:val="21"/>
                <w:highlight w:val="none"/>
              </w:rPr>
              <w:fldChar w:fldCharType="separate"/>
            </w:r>
            <w:r>
              <w:rPr>
                <w:rFonts w:hint="eastAsia" w:ascii="Times New Roman" w:hAnsi="Times New Roman" w:eastAsia="宋体" w:cs="Times New Roman"/>
                <w:b/>
                <w:bCs/>
                <w:color w:val="auto"/>
                <w:sz w:val="21"/>
                <w:szCs w:val="21"/>
                <w:highlight w:val="none"/>
              </w:rPr>
              <w:t>⑦</w:t>
            </w:r>
            <w:r>
              <w:rPr>
                <w:rFonts w:ascii="Times New Roman" w:hAnsi="Times New Roman" w:eastAsia="宋体" w:cs="Times New Roman"/>
                <w:b/>
                <w:bCs/>
                <w:color w:val="auto"/>
                <w:sz w:val="21"/>
                <w:szCs w:val="21"/>
                <w:highlight w:val="none"/>
              </w:rPr>
              <w:fldChar w:fldCharType="end"/>
            </w:r>
          </w:p>
        </w:tc>
      </w:tr>
      <w:tr w14:paraId="09983A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7" w:type="dxa"/>
            <w:vMerge w:val="restart"/>
            <w:vAlign w:val="center"/>
          </w:tcPr>
          <w:p w14:paraId="622943E8">
            <w:pPr>
              <w:pStyle w:val="24"/>
              <w:spacing w:line="240" w:lineRule="auto"/>
              <w:ind w:firstLine="0" w:firstLineChars="0"/>
              <w:rPr>
                <w:rFonts w:ascii="Times New Roman" w:hAnsi="Times New Roman" w:eastAsia="宋体" w:cs="Times New Roman"/>
                <w:b/>
                <w:bCs/>
                <w:color w:val="auto"/>
                <w:sz w:val="21"/>
                <w:szCs w:val="21"/>
                <w:highlight w:val="none"/>
              </w:rPr>
            </w:pPr>
            <w:r>
              <w:rPr>
                <w:rFonts w:hint="eastAsia" w:ascii="Times New Roman" w:hAnsi="Times New Roman" w:eastAsia="宋体" w:cs="Times New Roman"/>
                <w:color w:val="auto"/>
                <w:sz w:val="21"/>
                <w:szCs w:val="21"/>
                <w:highlight w:val="none"/>
                <w:lang w:eastAsia="zh-CN"/>
              </w:rPr>
              <w:t>废气</w:t>
            </w:r>
          </w:p>
        </w:tc>
        <w:tc>
          <w:tcPr>
            <w:tcW w:w="2325" w:type="dxa"/>
            <w:vAlign w:val="center"/>
          </w:tcPr>
          <w:p w14:paraId="641F0D2C">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烟尘</w:t>
            </w:r>
          </w:p>
        </w:tc>
        <w:tc>
          <w:tcPr>
            <w:tcW w:w="1455" w:type="dxa"/>
            <w:vAlign w:val="center"/>
          </w:tcPr>
          <w:p w14:paraId="16492E6C">
            <w:pPr>
              <w:pStyle w:val="24"/>
              <w:spacing w:line="240" w:lineRule="auto"/>
              <w:ind w:firstLine="0" w:firstLineChars="0"/>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48.2749</w:t>
            </w:r>
          </w:p>
        </w:tc>
        <w:tc>
          <w:tcPr>
            <w:tcW w:w="995" w:type="dxa"/>
            <w:vAlign w:val="center"/>
          </w:tcPr>
          <w:p w14:paraId="1086AC1F">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36" w:type="dxa"/>
            <w:vAlign w:val="center"/>
          </w:tcPr>
          <w:p w14:paraId="1985CE4C">
            <w:pPr>
              <w:pStyle w:val="24"/>
              <w:spacing w:line="240" w:lineRule="auto"/>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10" w:type="dxa"/>
            <w:shd w:val="clear" w:color="auto" w:fill="auto"/>
            <w:vAlign w:val="center"/>
          </w:tcPr>
          <w:p w14:paraId="3D47F374">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lang w:val="en-US" w:eastAsia="zh-CN"/>
              </w:rPr>
              <w:t>-</w:t>
            </w:r>
          </w:p>
        </w:tc>
        <w:tc>
          <w:tcPr>
            <w:tcW w:w="1568" w:type="dxa"/>
            <w:shd w:val="clear" w:color="auto" w:fill="auto"/>
            <w:vAlign w:val="center"/>
          </w:tcPr>
          <w:p w14:paraId="0C538BAD">
            <w:pPr>
              <w:pStyle w:val="24"/>
              <w:spacing w:line="240" w:lineRule="auto"/>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1950" w:type="dxa"/>
            <w:vAlign w:val="center"/>
          </w:tcPr>
          <w:p w14:paraId="7C2219DA">
            <w:pPr>
              <w:pStyle w:val="24"/>
              <w:spacing w:line="240" w:lineRule="auto"/>
              <w:ind w:firstLine="0" w:firstLineChars="0"/>
              <w:rPr>
                <w:rFonts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48.2749</w:t>
            </w:r>
          </w:p>
        </w:tc>
        <w:tc>
          <w:tcPr>
            <w:tcW w:w="1572" w:type="dxa"/>
            <w:vAlign w:val="center"/>
          </w:tcPr>
          <w:p w14:paraId="4346AE44">
            <w:pPr>
              <w:pStyle w:val="24"/>
              <w:spacing w:line="240" w:lineRule="auto"/>
              <w:ind w:firstLine="0" w:firstLineChars="0"/>
              <w:rPr>
                <w:rFonts w:hint="eastAsia" w:ascii="Times New Roman" w:hAnsi="Times New Roman" w:eastAsia="宋体" w:cs="Times New Roman"/>
                <w:color w:val="auto"/>
                <w:sz w:val="21"/>
                <w:szCs w:val="21"/>
                <w:highlight w:val="none"/>
                <w:lang w:eastAsia="zh-CN"/>
              </w:rPr>
            </w:pPr>
            <w:r>
              <w:rPr>
                <w:rFonts w:hint="eastAsia"/>
                <w:color w:val="auto"/>
                <w:highlight w:val="none"/>
                <w:lang w:val="en-US" w:eastAsia="zh-CN"/>
              </w:rPr>
              <w:t>-</w:t>
            </w:r>
          </w:p>
        </w:tc>
      </w:tr>
      <w:tr w14:paraId="4AAA06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continue"/>
            <w:vAlign w:val="center"/>
          </w:tcPr>
          <w:p w14:paraId="5073669E">
            <w:pPr>
              <w:pStyle w:val="24"/>
              <w:spacing w:line="240" w:lineRule="auto"/>
              <w:ind w:firstLine="0" w:firstLineChars="0"/>
              <w:rPr>
                <w:rFonts w:hint="eastAsia" w:ascii="Times New Roman" w:hAnsi="Times New Roman" w:eastAsia="宋体" w:cs="Times New Roman"/>
                <w:b/>
                <w:bCs/>
                <w:color w:val="auto"/>
                <w:sz w:val="21"/>
                <w:szCs w:val="21"/>
                <w:highlight w:val="none"/>
              </w:rPr>
            </w:pPr>
          </w:p>
        </w:tc>
        <w:tc>
          <w:tcPr>
            <w:tcW w:w="2325" w:type="dxa"/>
            <w:vAlign w:val="center"/>
          </w:tcPr>
          <w:p w14:paraId="7E0C4EB3">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ascii="Times New Roman" w:hAnsi="Times New Roman" w:eastAsia="宋体" w:cs="Times New Roman"/>
                <w:color w:val="auto"/>
                <w:spacing w:val="-4"/>
                <w:sz w:val="21"/>
                <w:szCs w:val="21"/>
                <w:highlight w:val="none"/>
              </w:rPr>
              <w:t>SO</w:t>
            </w:r>
            <w:r>
              <w:rPr>
                <w:rFonts w:hint="eastAsia" w:ascii="Times New Roman" w:hAnsi="Times New Roman" w:eastAsia="宋体" w:cs="Times New Roman"/>
                <w:color w:val="auto"/>
                <w:spacing w:val="-4"/>
                <w:sz w:val="21"/>
                <w:szCs w:val="21"/>
                <w:highlight w:val="none"/>
                <w:vertAlign w:val="subscript"/>
                <w:lang w:val="en-US" w:eastAsia="zh-CN"/>
              </w:rPr>
              <w:t>2</w:t>
            </w:r>
          </w:p>
        </w:tc>
        <w:tc>
          <w:tcPr>
            <w:tcW w:w="1455" w:type="dxa"/>
            <w:vAlign w:val="center"/>
          </w:tcPr>
          <w:p w14:paraId="027B5F95">
            <w:pPr>
              <w:pStyle w:val="24"/>
              <w:spacing w:line="240" w:lineRule="auto"/>
              <w:ind w:firstLine="0" w:firstLineChars="0"/>
              <w:rPr>
                <w:rFonts w:hint="eastAsia" w:eastAsia="宋体" w:cs="Times New Roman"/>
                <w:color w:val="auto"/>
                <w:sz w:val="21"/>
                <w:szCs w:val="21"/>
                <w:highlight w:val="none"/>
                <w:lang w:val="en-US" w:eastAsia="zh-CN"/>
              </w:rPr>
            </w:pPr>
            <w:r>
              <w:rPr>
                <w:rFonts w:ascii="Times New Roman" w:hAnsi="Times New Roman" w:eastAsia="宋体" w:cs="Times New Roman"/>
                <w:color w:val="auto"/>
                <w:spacing w:val="-3"/>
                <w:sz w:val="21"/>
                <w:szCs w:val="21"/>
                <w:highlight w:val="none"/>
              </w:rPr>
              <w:t>169.6608</w:t>
            </w:r>
          </w:p>
        </w:tc>
        <w:tc>
          <w:tcPr>
            <w:tcW w:w="995" w:type="dxa"/>
            <w:vAlign w:val="center"/>
          </w:tcPr>
          <w:p w14:paraId="60F4B3D6">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ascii="Times New Roman" w:hAnsi="Times New Roman" w:eastAsia="宋体" w:cs="Times New Roman"/>
                <w:color w:val="auto"/>
                <w:spacing w:val="-3"/>
                <w:sz w:val="21"/>
                <w:szCs w:val="21"/>
                <w:highlight w:val="none"/>
              </w:rPr>
              <w:t>169.6608</w:t>
            </w:r>
          </w:p>
        </w:tc>
        <w:tc>
          <w:tcPr>
            <w:tcW w:w="1636" w:type="dxa"/>
            <w:vAlign w:val="center"/>
          </w:tcPr>
          <w:p w14:paraId="6BA7855E">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10" w:type="dxa"/>
            <w:shd w:val="clear" w:color="auto" w:fill="auto"/>
            <w:vAlign w:val="center"/>
          </w:tcPr>
          <w:p w14:paraId="433F0642">
            <w:pPr>
              <w:pStyle w:val="24"/>
              <w:spacing w:line="240" w:lineRule="auto"/>
              <w:ind w:firstLine="0" w:firstLineChars="0"/>
              <w:rPr>
                <w:rFonts w:hint="eastAsia" w:eastAsia="宋体" w:cs="Times New Roman"/>
                <w:color w:val="auto"/>
                <w:sz w:val="21"/>
                <w:szCs w:val="21"/>
                <w:highlight w:val="none"/>
                <w:lang w:val="en-US" w:eastAsia="zh-CN"/>
              </w:rPr>
            </w:pPr>
            <w:r>
              <w:rPr>
                <w:rFonts w:hint="eastAsia"/>
                <w:color w:val="auto"/>
                <w:highlight w:val="none"/>
                <w:lang w:val="en-US" w:eastAsia="zh-CN"/>
              </w:rPr>
              <w:t>-</w:t>
            </w:r>
          </w:p>
        </w:tc>
        <w:tc>
          <w:tcPr>
            <w:tcW w:w="1568" w:type="dxa"/>
            <w:shd w:val="clear" w:color="auto" w:fill="auto"/>
            <w:vAlign w:val="center"/>
          </w:tcPr>
          <w:p w14:paraId="75237128">
            <w:pPr>
              <w:pStyle w:val="24"/>
              <w:spacing w:line="240" w:lineRule="auto"/>
              <w:ind w:firstLine="0" w:firstLineChars="0"/>
              <w:rPr>
                <w:rFonts w:hint="eastAsia"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w:t>
            </w:r>
          </w:p>
        </w:tc>
        <w:tc>
          <w:tcPr>
            <w:tcW w:w="1950" w:type="dxa"/>
            <w:vAlign w:val="center"/>
          </w:tcPr>
          <w:p w14:paraId="0033CE27">
            <w:pPr>
              <w:pStyle w:val="24"/>
              <w:spacing w:line="240" w:lineRule="auto"/>
              <w:ind w:firstLine="0" w:firstLineChars="0"/>
              <w:rPr>
                <w:rFonts w:hint="eastAsia" w:eastAsia="宋体" w:cs="Times New Roman"/>
                <w:color w:val="auto"/>
                <w:sz w:val="21"/>
                <w:szCs w:val="21"/>
                <w:highlight w:val="none"/>
                <w:lang w:val="en-US" w:eastAsia="zh-CN"/>
              </w:rPr>
            </w:pPr>
            <w:r>
              <w:rPr>
                <w:rFonts w:ascii="Times New Roman" w:hAnsi="Times New Roman" w:eastAsia="宋体" w:cs="Times New Roman"/>
                <w:color w:val="auto"/>
                <w:spacing w:val="-3"/>
                <w:sz w:val="21"/>
                <w:szCs w:val="21"/>
                <w:highlight w:val="none"/>
              </w:rPr>
              <w:t>169.6608</w:t>
            </w:r>
          </w:p>
        </w:tc>
        <w:tc>
          <w:tcPr>
            <w:tcW w:w="1572" w:type="dxa"/>
            <w:vAlign w:val="center"/>
          </w:tcPr>
          <w:p w14:paraId="5F361F9E">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color w:val="auto"/>
                <w:highlight w:val="none"/>
                <w:lang w:val="en-US" w:eastAsia="zh-CN"/>
              </w:rPr>
              <w:t>-</w:t>
            </w:r>
          </w:p>
        </w:tc>
      </w:tr>
      <w:tr w14:paraId="60C783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continue"/>
            <w:vAlign w:val="center"/>
          </w:tcPr>
          <w:p w14:paraId="6CFA15A6">
            <w:pPr>
              <w:pStyle w:val="24"/>
              <w:spacing w:line="240" w:lineRule="auto"/>
              <w:ind w:firstLine="0" w:firstLineChars="0"/>
              <w:rPr>
                <w:rFonts w:hint="eastAsia" w:ascii="Times New Roman" w:hAnsi="Times New Roman" w:eastAsia="宋体" w:cs="Times New Roman"/>
                <w:b/>
                <w:bCs/>
                <w:color w:val="auto"/>
                <w:sz w:val="21"/>
                <w:szCs w:val="21"/>
                <w:highlight w:val="none"/>
              </w:rPr>
            </w:pPr>
          </w:p>
        </w:tc>
        <w:tc>
          <w:tcPr>
            <w:tcW w:w="2325" w:type="dxa"/>
            <w:vAlign w:val="center"/>
          </w:tcPr>
          <w:p w14:paraId="31CD7534">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ascii="Times New Roman" w:hAnsi="Times New Roman" w:eastAsia="宋体" w:cs="Times New Roman"/>
                <w:color w:val="auto"/>
                <w:spacing w:val="-1"/>
                <w:sz w:val="21"/>
                <w:szCs w:val="21"/>
                <w:highlight w:val="none"/>
              </w:rPr>
              <w:t>NOx</w:t>
            </w:r>
          </w:p>
        </w:tc>
        <w:tc>
          <w:tcPr>
            <w:tcW w:w="1455" w:type="dxa"/>
            <w:vAlign w:val="center"/>
          </w:tcPr>
          <w:p w14:paraId="7FED2461">
            <w:pPr>
              <w:pStyle w:val="24"/>
              <w:spacing w:line="240" w:lineRule="auto"/>
              <w:ind w:firstLine="0" w:firstLineChars="0"/>
              <w:rPr>
                <w:rFonts w:hint="eastAsia" w:eastAsia="宋体" w:cs="Times New Roman"/>
                <w:color w:val="auto"/>
                <w:sz w:val="21"/>
                <w:szCs w:val="21"/>
                <w:highlight w:val="none"/>
                <w:lang w:val="en-US" w:eastAsia="zh-CN"/>
              </w:rPr>
            </w:pPr>
            <w:r>
              <w:rPr>
                <w:rFonts w:ascii="Times New Roman" w:hAnsi="Times New Roman" w:eastAsia="宋体" w:cs="Times New Roman"/>
                <w:color w:val="auto"/>
                <w:spacing w:val="-2"/>
                <w:sz w:val="21"/>
                <w:szCs w:val="21"/>
                <w:highlight w:val="none"/>
              </w:rPr>
              <w:t>229.8088</w:t>
            </w:r>
          </w:p>
        </w:tc>
        <w:tc>
          <w:tcPr>
            <w:tcW w:w="995" w:type="dxa"/>
            <w:vAlign w:val="center"/>
          </w:tcPr>
          <w:p w14:paraId="366CCCC0">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ascii="Times New Roman" w:hAnsi="Times New Roman" w:eastAsia="宋体" w:cs="Times New Roman"/>
                <w:color w:val="auto"/>
                <w:spacing w:val="-2"/>
                <w:sz w:val="21"/>
                <w:szCs w:val="21"/>
                <w:highlight w:val="none"/>
              </w:rPr>
              <w:t>229.8088</w:t>
            </w:r>
          </w:p>
        </w:tc>
        <w:tc>
          <w:tcPr>
            <w:tcW w:w="1636" w:type="dxa"/>
            <w:vAlign w:val="center"/>
          </w:tcPr>
          <w:p w14:paraId="7287E5F9">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10" w:type="dxa"/>
            <w:shd w:val="clear" w:color="auto" w:fill="auto"/>
            <w:vAlign w:val="center"/>
          </w:tcPr>
          <w:p w14:paraId="0F3E9D6E">
            <w:pPr>
              <w:pStyle w:val="24"/>
              <w:spacing w:line="240" w:lineRule="auto"/>
              <w:ind w:firstLine="0" w:firstLineChars="0"/>
              <w:rPr>
                <w:rFonts w:hint="eastAsia" w:eastAsia="宋体" w:cs="Times New Roman"/>
                <w:color w:val="auto"/>
                <w:sz w:val="21"/>
                <w:szCs w:val="21"/>
                <w:highlight w:val="none"/>
                <w:lang w:val="en-US" w:eastAsia="zh-CN"/>
              </w:rPr>
            </w:pPr>
            <w:r>
              <w:rPr>
                <w:rFonts w:hint="eastAsia"/>
                <w:color w:val="auto"/>
                <w:highlight w:val="none"/>
                <w:lang w:val="en-US" w:eastAsia="zh-CN"/>
              </w:rPr>
              <w:t>-</w:t>
            </w:r>
          </w:p>
        </w:tc>
        <w:tc>
          <w:tcPr>
            <w:tcW w:w="1568" w:type="dxa"/>
            <w:shd w:val="clear" w:color="auto" w:fill="auto"/>
            <w:vAlign w:val="center"/>
          </w:tcPr>
          <w:p w14:paraId="6E5DFC27">
            <w:pPr>
              <w:pStyle w:val="24"/>
              <w:spacing w:line="240" w:lineRule="auto"/>
              <w:ind w:firstLine="0" w:firstLineChars="0"/>
              <w:rPr>
                <w:rFonts w:hint="eastAsia"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w:t>
            </w:r>
          </w:p>
        </w:tc>
        <w:tc>
          <w:tcPr>
            <w:tcW w:w="1950" w:type="dxa"/>
            <w:vAlign w:val="center"/>
          </w:tcPr>
          <w:p w14:paraId="410CB78B">
            <w:pPr>
              <w:pStyle w:val="24"/>
              <w:spacing w:line="240" w:lineRule="auto"/>
              <w:ind w:firstLine="0" w:firstLineChars="0"/>
              <w:rPr>
                <w:rFonts w:hint="eastAsia" w:eastAsia="宋体" w:cs="Times New Roman"/>
                <w:color w:val="auto"/>
                <w:sz w:val="21"/>
                <w:szCs w:val="21"/>
                <w:highlight w:val="none"/>
                <w:lang w:val="en-US" w:eastAsia="zh-CN"/>
              </w:rPr>
            </w:pPr>
            <w:r>
              <w:rPr>
                <w:rFonts w:ascii="Times New Roman" w:hAnsi="Times New Roman" w:eastAsia="宋体" w:cs="Times New Roman"/>
                <w:color w:val="auto"/>
                <w:spacing w:val="-2"/>
                <w:sz w:val="21"/>
                <w:szCs w:val="21"/>
                <w:highlight w:val="none"/>
              </w:rPr>
              <w:t>229.8088</w:t>
            </w:r>
          </w:p>
        </w:tc>
        <w:tc>
          <w:tcPr>
            <w:tcW w:w="1572" w:type="dxa"/>
            <w:vAlign w:val="center"/>
          </w:tcPr>
          <w:p w14:paraId="12951AEC">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color w:val="auto"/>
                <w:highlight w:val="none"/>
                <w:lang w:val="en-US" w:eastAsia="zh-CN"/>
              </w:rPr>
              <w:t>-</w:t>
            </w:r>
          </w:p>
        </w:tc>
      </w:tr>
      <w:tr w14:paraId="321CF5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continue"/>
            <w:vAlign w:val="center"/>
          </w:tcPr>
          <w:p w14:paraId="43B309D9">
            <w:pPr>
              <w:pStyle w:val="24"/>
              <w:spacing w:line="240" w:lineRule="auto"/>
              <w:ind w:firstLine="0" w:firstLineChars="0"/>
              <w:rPr>
                <w:rFonts w:hint="eastAsia" w:ascii="Times New Roman" w:hAnsi="Times New Roman" w:eastAsia="宋体" w:cs="Times New Roman"/>
                <w:b/>
                <w:bCs/>
                <w:color w:val="auto"/>
                <w:sz w:val="21"/>
                <w:szCs w:val="21"/>
                <w:highlight w:val="none"/>
              </w:rPr>
            </w:pPr>
          </w:p>
        </w:tc>
        <w:tc>
          <w:tcPr>
            <w:tcW w:w="2325" w:type="dxa"/>
            <w:vAlign w:val="center"/>
          </w:tcPr>
          <w:p w14:paraId="3D67A01D">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pacing w:val="-1"/>
                <w:sz w:val="21"/>
                <w:szCs w:val="21"/>
                <w:highlight w:val="none"/>
                <w:lang w:eastAsia="zh-CN"/>
              </w:rPr>
              <w:t>非甲烷总烃</w:t>
            </w:r>
          </w:p>
        </w:tc>
        <w:tc>
          <w:tcPr>
            <w:tcW w:w="1455" w:type="dxa"/>
            <w:vAlign w:val="center"/>
          </w:tcPr>
          <w:p w14:paraId="1A24C109">
            <w:pPr>
              <w:pStyle w:val="24"/>
              <w:spacing w:line="240" w:lineRule="auto"/>
              <w:ind w:firstLine="0" w:firstLineChars="0"/>
              <w:rPr>
                <w:rFonts w:hint="eastAsia" w:eastAsia="宋体" w:cs="Times New Roman"/>
                <w:color w:val="auto"/>
                <w:sz w:val="21"/>
                <w:szCs w:val="21"/>
                <w:highlight w:val="none"/>
                <w:lang w:val="en-US" w:eastAsia="zh-CN"/>
              </w:rPr>
            </w:pPr>
            <w:r>
              <w:rPr>
                <w:rFonts w:hint="eastAsia" w:ascii="Times New Roman" w:hAnsi="Times New Roman" w:eastAsia="宋体" w:cs="Times New Roman"/>
                <w:color w:val="auto"/>
                <w:spacing w:val="-2"/>
                <w:sz w:val="21"/>
                <w:szCs w:val="21"/>
                <w:highlight w:val="none"/>
                <w:lang w:val="en-US" w:eastAsia="zh-CN"/>
              </w:rPr>
              <w:t>-</w:t>
            </w:r>
          </w:p>
        </w:tc>
        <w:tc>
          <w:tcPr>
            <w:tcW w:w="995" w:type="dxa"/>
            <w:vAlign w:val="center"/>
          </w:tcPr>
          <w:p w14:paraId="2D551EA9">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36" w:type="dxa"/>
            <w:vAlign w:val="center"/>
          </w:tcPr>
          <w:p w14:paraId="00A77ECE">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10" w:type="dxa"/>
            <w:shd w:val="clear" w:color="auto" w:fill="auto"/>
            <w:vAlign w:val="center"/>
          </w:tcPr>
          <w:p w14:paraId="2A5AEF64">
            <w:pPr>
              <w:pStyle w:val="24"/>
              <w:spacing w:line="240" w:lineRule="auto"/>
              <w:ind w:firstLine="0" w:firstLineChars="0"/>
              <w:rPr>
                <w:rFonts w:hint="default" w:eastAsia="宋体" w:cs="Times New Roman"/>
                <w:color w:val="auto"/>
                <w:sz w:val="21"/>
                <w:szCs w:val="21"/>
                <w:highlight w:val="none"/>
                <w:lang w:val="en-US" w:eastAsia="zh-CN"/>
              </w:rPr>
            </w:pPr>
            <w:r>
              <w:rPr>
                <w:rFonts w:hint="eastAsia"/>
                <w:color w:val="auto"/>
                <w:highlight w:val="none"/>
                <w:lang w:val="en-US" w:eastAsia="zh-CN"/>
              </w:rPr>
              <w:t>0.0016</w:t>
            </w:r>
          </w:p>
        </w:tc>
        <w:tc>
          <w:tcPr>
            <w:tcW w:w="1568" w:type="dxa"/>
            <w:shd w:val="clear" w:color="auto" w:fill="auto"/>
            <w:vAlign w:val="center"/>
          </w:tcPr>
          <w:p w14:paraId="3996FEBB">
            <w:pPr>
              <w:pStyle w:val="24"/>
              <w:spacing w:line="240" w:lineRule="auto"/>
              <w:ind w:firstLine="0" w:firstLineChars="0"/>
              <w:rPr>
                <w:rFonts w:hint="eastAsia"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w:t>
            </w:r>
          </w:p>
        </w:tc>
        <w:tc>
          <w:tcPr>
            <w:tcW w:w="1950" w:type="dxa"/>
            <w:vAlign w:val="center"/>
          </w:tcPr>
          <w:p w14:paraId="65ADE9E9">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0.0016</w:t>
            </w:r>
          </w:p>
        </w:tc>
        <w:tc>
          <w:tcPr>
            <w:tcW w:w="1572" w:type="dxa"/>
            <w:vAlign w:val="center"/>
          </w:tcPr>
          <w:p w14:paraId="5170FBF8">
            <w:pPr>
              <w:pStyle w:val="24"/>
              <w:spacing w:line="240" w:lineRule="auto"/>
              <w:ind w:firstLine="0" w:firstLineChars="0"/>
              <w:rPr>
                <w:rFonts w:hint="default" w:ascii="Times New Roman" w:hAnsi="Times New Roman" w:eastAsia="宋体" w:cs="Times New Roman"/>
                <w:color w:val="auto"/>
                <w:sz w:val="21"/>
                <w:szCs w:val="21"/>
                <w:highlight w:val="none"/>
                <w:lang w:val="en-US"/>
              </w:rPr>
            </w:pPr>
            <w:r>
              <w:rPr>
                <w:rFonts w:hint="eastAsia"/>
                <w:color w:val="auto"/>
                <w:highlight w:val="none"/>
                <w:lang w:val="en-US" w:eastAsia="zh-CN"/>
              </w:rPr>
              <w:t>+0.0016</w:t>
            </w:r>
          </w:p>
        </w:tc>
      </w:tr>
      <w:tr w14:paraId="38797F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restart"/>
            <w:vAlign w:val="center"/>
          </w:tcPr>
          <w:p w14:paraId="16A97C3C">
            <w:pPr>
              <w:pStyle w:val="24"/>
              <w:spacing w:line="240" w:lineRule="auto"/>
              <w:ind w:firstLine="0" w:firstLineChars="0"/>
              <w:rPr>
                <w:rFonts w:ascii="Times New Roman" w:hAnsi="Times New Roman" w:eastAsia="宋体" w:cs="Times New Roman"/>
                <w:b/>
                <w:bCs/>
                <w:color w:val="auto"/>
                <w:sz w:val="21"/>
                <w:szCs w:val="21"/>
                <w:highlight w:val="none"/>
              </w:rPr>
            </w:pPr>
            <w:r>
              <w:rPr>
                <w:rFonts w:hint="eastAsia" w:ascii="Times New Roman" w:hAnsi="Times New Roman" w:eastAsia="宋体" w:cs="Times New Roman"/>
                <w:color w:val="auto"/>
                <w:sz w:val="21"/>
                <w:szCs w:val="21"/>
                <w:highlight w:val="none"/>
                <w:lang w:eastAsia="zh-CN"/>
              </w:rPr>
              <w:t>固体废物</w:t>
            </w:r>
          </w:p>
        </w:tc>
        <w:tc>
          <w:tcPr>
            <w:tcW w:w="2325" w:type="dxa"/>
            <w:vAlign w:val="center"/>
          </w:tcPr>
          <w:p w14:paraId="5ABAAA8C">
            <w:pPr>
              <w:pStyle w:val="24"/>
              <w:spacing w:line="240" w:lineRule="auto"/>
              <w:ind w:firstLine="0" w:firstLineChars="0"/>
              <w:rPr>
                <w:rFonts w:ascii="Times New Roman" w:hAnsi="Times New Roman" w:eastAsia="宋体" w:cs="Times New Roman"/>
                <w:color w:val="auto"/>
                <w:spacing w:val="3"/>
                <w:sz w:val="21"/>
                <w:szCs w:val="21"/>
                <w:highlight w:val="none"/>
              </w:rPr>
            </w:pPr>
            <w:r>
              <w:rPr>
                <w:rFonts w:ascii="Times New Roman" w:hAnsi="Times New Roman" w:eastAsia="宋体" w:cs="Times New Roman"/>
                <w:color w:val="auto"/>
                <w:spacing w:val="3"/>
                <w:sz w:val="21"/>
                <w:szCs w:val="21"/>
                <w:highlight w:val="none"/>
              </w:rPr>
              <w:t>脱硫石膏</w:t>
            </w:r>
          </w:p>
        </w:tc>
        <w:tc>
          <w:tcPr>
            <w:tcW w:w="1455" w:type="dxa"/>
            <w:vAlign w:val="center"/>
          </w:tcPr>
          <w:p w14:paraId="07BBA4F8">
            <w:pPr>
              <w:pStyle w:val="24"/>
              <w:spacing w:line="240" w:lineRule="auto"/>
              <w:ind w:firstLine="0" w:firstLineChars="0"/>
              <w:rPr>
                <w:rFonts w:ascii="Times New Roman" w:hAnsi="Times New Roman" w:eastAsia="宋体" w:cs="Times New Roman"/>
                <w:color w:val="auto"/>
                <w:spacing w:val="-4"/>
                <w:sz w:val="21"/>
                <w:szCs w:val="21"/>
                <w:highlight w:val="none"/>
              </w:rPr>
            </w:pPr>
            <w:r>
              <w:rPr>
                <w:rFonts w:hint="eastAsia" w:ascii="Times New Roman" w:hAnsi="Times New Roman" w:eastAsia="宋体" w:cs="Times New Roman"/>
                <w:color w:val="auto"/>
                <w:spacing w:val="-4"/>
                <w:sz w:val="21"/>
                <w:szCs w:val="21"/>
                <w:highlight w:val="none"/>
              </w:rPr>
              <w:t>6148.29</w:t>
            </w:r>
          </w:p>
        </w:tc>
        <w:tc>
          <w:tcPr>
            <w:tcW w:w="995" w:type="dxa"/>
            <w:vAlign w:val="center"/>
          </w:tcPr>
          <w:p w14:paraId="7BB717DB">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1636" w:type="dxa"/>
            <w:vAlign w:val="center"/>
          </w:tcPr>
          <w:p w14:paraId="0EE6DA8A">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1610" w:type="dxa"/>
            <w:vAlign w:val="center"/>
          </w:tcPr>
          <w:p w14:paraId="49020EF7">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w:t>
            </w:r>
          </w:p>
        </w:tc>
        <w:tc>
          <w:tcPr>
            <w:tcW w:w="1568" w:type="dxa"/>
            <w:vAlign w:val="center"/>
          </w:tcPr>
          <w:p w14:paraId="43B93E0B">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1950" w:type="dxa"/>
            <w:vAlign w:val="center"/>
          </w:tcPr>
          <w:p w14:paraId="121A881C">
            <w:pPr>
              <w:pStyle w:val="24"/>
              <w:spacing w:line="240" w:lineRule="auto"/>
              <w:ind w:firstLine="0" w:firstLineChars="0"/>
              <w:rPr>
                <w:rFonts w:ascii="Times New Roman" w:hAnsi="Times New Roman" w:eastAsia="宋体" w:cs="Times New Roman"/>
                <w:color w:val="auto"/>
                <w:spacing w:val="-4"/>
                <w:sz w:val="21"/>
                <w:szCs w:val="21"/>
                <w:highlight w:val="none"/>
              </w:rPr>
            </w:pPr>
            <w:r>
              <w:rPr>
                <w:rFonts w:hint="eastAsia" w:ascii="Times New Roman" w:hAnsi="Times New Roman" w:eastAsia="宋体" w:cs="Times New Roman"/>
                <w:color w:val="auto"/>
                <w:spacing w:val="-4"/>
                <w:sz w:val="21"/>
                <w:szCs w:val="21"/>
                <w:highlight w:val="none"/>
              </w:rPr>
              <w:t>6148.29</w:t>
            </w:r>
          </w:p>
        </w:tc>
        <w:tc>
          <w:tcPr>
            <w:tcW w:w="1572" w:type="dxa"/>
            <w:vAlign w:val="center"/>
          </w:tcPr>
          <w:p w14:paraId="056747D5">
            <w:pPr>
              <w:pStyle w:val="24"/>
              <w:spacing w:line="240" w:lineRule="auto"/>
              <w:ind w:firstLine="0" w:firstLineChars="0"/>
              <w:rPr>
                <w:rFonts w:hint="default"/>
                <w:color w:val="auto"/>
                <w:highlight w:val="none"/>
                <w:lang w:val="en-US" w:eastAsia="zh-CN"/>
              </w:rPr>
            </w:pPr>
            <w:r>
              <w:rPr>
                <w:rFonts w:hint="eastAsia"/>
                <w:color w:val="auto"/>
                <w:highlight w:val="none"/>
                <w:lang w:val="en-US" w:eastAsia="zh-CN"/>
              </w:rPr>
              <w:t>-</w:t>
            </w:r>
          </w:p>
        </w:tc>
      </w:tr>
      <w:tr w14:paraId="55A4AE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continue"/>
            <w:vAlign w:val="center"/>
          </w:tcPr>
          <w:p w14:paraId="2FF9B14B">
            <w:pPr>
              <w:pStyle w:val="24"/>
              <w:spacing w:line="240" w:lineRule="auto"/>
              <w:ind w:firstLine="0" w:firstLineChars="0"/>
              <w:rPr>
                <w:rFonts w:ascii="Times New Roman" w:hAnsi="Times New Roman" w:eastAsia="宋体" w:cs="Times New Roman"/>
                <w:b/>
                <w:bCs/>
                <w:color w:val="auto"/>
                <w:sz w:val="21"/>
                <w:szCs w:val="21"/>
                <w:highlight w:val="none"/>
              </w:rPr>
            </w:pPr>
          </w:p>
        </w:tc>
        <w:tc>
          <w:tcPr>
            <w:tcW w:w="2325" w:type="dxa"/>
            <w:vAlign w:val="center"/>
          </w:tcPr>
          <w:p w14:paraId="1913466B">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rPr>
              <w:t>除尘灰</w:t>
            </w:r>
          </w:p>
        </w:tc>
        <w:tc>
          <w:tcPr>
            <w:tcW w:w="1455" w:type="dxa"/>
            <w:vAlign w:val="center"/>
          </w:tcPr>
          <w:p w14:paraId="138124E1">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pacing w:val="-4"/>
                <w:sz w:val="21"/>
                <w:szCs w:val="21"/>
                <w:highlight w:val="none"/>
              </w:rPr>
              <w:t>52619.56</w:t>
            </w:r>
          </w:p>
        </w:tc>
        <w:tc>
          <w:tcPr>
            <w:tcW w:w="995" w:type="dxa"/>
            <w:vAlign w:val="center"/>
          </w:tcPr>
          <w:p w14:paraId="5C709371">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36" w:type="dxa"/>
            <w:vAlign w:val="center"/>
          </w:tcPr>
          <w:p w14:paraId="65D54FBB">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10" w:type="dxa"/>
            <w:vAlign w:val="center"/>
          </w:tcPr>
          <w:p w14:paraId="4360B889">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lang w:val="en-US" w:eastAsia="zh-CN"/>
              </w:rPr>
              <w:t>-</w:t>
            </w:r>
          </w:p>
        </w:tc>
        <w:tc>
          <w:tcPr>
            <w:tcW w:w="1568" w:type="dxa"/>
            <w:vAlign w:val="center"/>
          </w:tcPr>
          <w:p w14:paraId="7094466B">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950" w:type="dxa"/>
            <w:vAlign w:val="center"/>
          </w:tcPr>
          <w:p w14:paraId="035E713C">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pacing w:val="-4"/>
                <w:sz w:val="21"/>
                <w:szCs w:val="21"/>
                <w:highlight w:val="none"/>
              </w:rPr>
              <w:t>52619.56</w:t>
            </w:r>
          </w:p>
        </w:tc>
        <w:tc>
          <w:tcPr>
            <w:tcW w:w="1572" w:type="dxa"/>
            <w:vAlign w:val="center"/>
          </w:tcPr>
          <w:p w14:paraId="592AAFBC">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lang w:val="en-US" w:eastAsia="zh-CN"/>
              </w:rPr>
              <w:t>-</w:t>
            </w:r>
          </w:p>
        </w:tc>
      </w:tr>
      <w:tr w14:paraId="3A3FA6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continue"/>
            <w:vAlign w:val="center"/>
          </w:tcPr>
          <w:p w14:paraId="29BB610C">
            <w:pPr>
              <w:pStyle w:val="24"/>
              <w:spacing w:line="240" w:lineRule="auto"/>
              <w:ind w:firstLine="0" w:firstLineChars="0"/>
              <w:rPr>
                <w:rFonts w:ascii="Times New Roman" w:hAnsi="Times New Roman" w:eastAsia="宋体" w:cs="Times New Roman"/>
                <w:b/>
                <w:bCs/>
                <w:color w:val="auto"/>
                <w:sz w:val="21"/>
                <w:szCs w:val="21"/>
                <w:highlight w:val="none"/>
              </w:rPr>
            </w:pPr>
          </w:p>
        </w:tc>
        <w:tc>
          <w:tcPr>
            <w:tcW w:w="2325" w:type="dxa"/>
            <w:vAlign w:val="center"/>
          </w:tcPr>
          <w:p w14:paraId="1486DBA2">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pacing w:val="2"/>
                <w:sz w:val="21"/>
                <w:szCs w:val="21"/>
                <w:highlight w:val="none"/>
              </w:rPr>
              <w:t>炉渣</w:t>
            </w:r>
          </w:p>
        </w:tc>
        <w:tc>
          <w:tcPr>
            <w:tcW w:w="1455" w:type="dxa"/>
            <w:vAlign w:val="center"/>
          </w:tcPr>
          <w:p w14:paraId="14A49A44">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pacing w:val="-2"/>
                <w:sz w:val="21"/>
                <w:szCs w:val="21"/>
                <w:highlight w:val="none"/>
              </w:rPr>
              <w:t>29806.94</w:t>
            </w:r>
          </w:p>
        </w:tc>
        <w:tc>
          <w:tcPr>
            <w:tcW w:w="995" w:type="dxa"/>
            <w:vAlign w:val="center"/>
          </w:tcPr>
          <w:p w14:paraId="09BECFF7">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36" w:type="dxa"/>
            <w:vAlign w:val="center"/>
          </w:tcPr>
          <w:p w14:paraId="783CDF1D">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10" w:type="dxa"/>
            <w:vAlign w:val="center"/>
          </w:tcPr>
          <w:p w14:paraId="52485811">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rPr>
              <w:t>-</w:t>
            </w:r>
          </w:p>
        </w:tc>
        <w:tc>
          <w:tcPr>
            <w:tcW w:w="1568" w:type="dxa"/>
            <w:vAlign w:val="center"/>
          </w:tcPr>
          <w:p w14:paraId="3C6759D2">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950" w:type="dxa"/>
            <w:vAlign w:val="center"/>
          </w:tcPr>
          <w:p w14:paraId="63ED985E">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pacing w:val="-2"/>
                <w:sz w:val="21"/>
                <w:szCs w:val="21"/>
                <w:highlight w:val="none"/>
              </w:rPr>
              <w:t>29806.94</w:t>
            </w:r>
          </w:p>
        </w:tc>
        <w:tc>
          <w:tcPr>
            <w:tcW w:w="1572" w:type="dxa"/>
            <w:vAlign w:val="center"/>
          </w:tcPr>
          <w:p w14:paraId="2CFB2824">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lang w:val="en-US" w:eastAsia="zh-CN"/>
              </w:rPr>
              <w:t>-</w:t>
            </w:r>
          </w:p>
        </w:tc>
      </w:tr>
      <w:tr w14:paraId="50D1DC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continue"/>
            <w:vAlign w:val="center"/>
          </w:tcPr>
          <w:p w14:paraId="36DC8F4D">
            <w:pPr>
              <w:pStyle w:val="24"/>
              <w:spacing w:line="240" w:lineRule="auto"/>
              <w:ind w:firstLine="0" w:firstLineChars="0"/>
              <w:rPr>
                <w:rFonts w:ascii="Times New Roman" w:hAnsi="Times New Roman" w:eastAsia="宋体" w:cs="Times New Roman"/>
                <w:b/>
                <w:bCs/>
                <w:color w:val="auto"/>
                <w:sz w:val="21"/>
                <w:szCs w:val="21"/>
                <w:highlight w:val="none"/>
              </w:rPr>
            </w:pPr>
          </w:p>
        </w:tc>
        <w:tc>
          <w:tcPr>
            <w:tcW w:w="2325" w:type="dxa"/>
            <w:vAlign w:val="center"/>
          </w:tcPr>
          <w:p w14:paraId="46724BF2">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shd w:val="clear" w:color="auto" w:fill="auto"/>
                <w:lang w:val="en-US" w:eastAsia="zh-CN"/>
              </w:rPr>
              <w:t>废蓄电池</w:t>
            </w:r>
          </w:p>
        </w:tc>
        <w:tc>
          <w:tcPr>
            <w:tcW w:w="1455" w:type="dxa"/>
            <w:vAlign w:val="center"/>
          </w:tcPr>
          <w:p w14:paraId="29D86DFD">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shd w:val="clear" w:color="auto" w:fill="auto"/>
                <w:lang w:val="en-US" w:eastAsia="zh-CN"/>
              </w:rPr>
              <w:t>0.52</w:t>
            </w:r>
          </w:p>
        </w:tc>
        <w:tc>
          <w:tcPr>
            <w:tcW w:w="995" w:type="dxa"/>
            <w:vAlign w:val="center"/>
          </w:tcPr>
          <w:p w14:paraId="6F004C0A">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36" w:type="dxa"/>
            <w:vAlign w:val="center"/>
          </w:tcPr>
          <w:p w14:paraId="79720042">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10" w:type="dxa"/>
            <w:shd w:val="clear" w:color="auto" w:fill="auto"/>
            <w:vAlign w:val="center"/>
          </w:tcPr>
          <w:p w14:paraId="2580E215">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rPr>
              <w:t>-</w:t>
            </w:r>
          </w:p>
        </w:tc>
        <w:tc>
          <w:tcPr>
            <w:tcW w:w="1568" w:type="dxa"/>
            <w:vAlign w:val="center"/>
          </w:tcPr>
          <w:p w14:paraId="5C6E0E14">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950" w:type="dxa"/>
            <w:vAlign w:val="center"/>
          </w:tcPr>
          <w:p w14:paraId="051EF5ED">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shd w:val="clear" w:color="auto" w:fill="auto"/>
                <w:lang w:val="en-US" w:eastAsia="zh-CN"/>
              </w:rPr>
              <w:t>0.52</w:t>
            </w:r>
          </w:p>
        </w:tc>
        <w:tc>
          <w:tcPr>
            <w:tcW w:w="1572" w:type="dxa"/>
            <w:vAlign w:val="center"/>
          </w:tcPr>
          <w:p w14:paraId="0FCD44B7">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lang w:val="en-US" w:eastAsia="zh-CN"/>
              </w:rPr>
              <w:t>-</w:t>
            </w:r>
          </w:p>
        </w:tc>
      </w:tr>
      <w:tr w14:paraId="5C39AE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continue"/>
            <w:vAlign w:val="center"/>
          </w:tcPr>
          <w:p w14:paraId="1DF68195">
            <w:pPr>
              <w:pStyle w:val="24"/>
              <w:spacing w:line="240" w:lineRule="auto"/>
              <w:ind w:firstLine="0" w:firstLineChars="0"/>
              <w:rPr>
                <w:rFonts w:ascii="Times New Roman" w:hAnsi="Times New Roman" w:eastAsia="宋体" w:cs="Times New Roman"/>
                <w:color w:val="auto"/>
                <w:sz w:val="21"/>
                <w:szCs w:val="21"/>
                <w:highlight w:val="none"/>
              </w:rPr>
            </w:pPr>
          </w:p>
        </w:tc>
        <w:tc>
          <w:tcPr>
            <w:tcW w:w="2325" w:type="dxa"/>
            <w:vAlign w:val="center"/>
          </w:tcPr>
          <w:p w14:paraId="14D5EF53">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shd w:val="clear" w:color="auto" w:fill="auto"/>
                <w:lang w:eastAsia="zh-CN"/>
              </w:rPr>
              <w:t>废液压油</w:t>
            </w:r>
          </w:p>
        </w:tc>
        <w:tc>
          <w:tcPr>
            <w:tcW w:w="1455" w:type="dxa"/>
            <w:vAlign w:val="center"/>
          </w:tcPr>
          <w:p w14:paraId="6E4AED7C">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shd w:val="clear" w:color="auto" w:fill="auto"/>
                <w:lang w:val="en-US" w:eastAsia="zh-CN"/>
              </w:rPr>
              <w:t>0.2</w:t>
            </w:r>
          </w:p>
        </w:tc>
        <w:tc>
          <w:tcPr>
            <w:tcW w:w="995" w:type="dxa"/>
            <w:vAlign w:val="center"/>
          </w:tcPr>
          <w:p w14:paraId="4B859FF0">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36" w:type="dxa"/>
            <w:vAlign w:val="center"/>
          </w:tcPr>
          <w:p w14:paraId="6055979F">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10" w:type="dxa"/>
            <w:shd w:val="clear" w:color="auto" w:fill="auto"/>
            <w:vAlign w:val="center"/>
          </w:tcPr>
          <w:p w14:paraId="4EA69C02">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rPr>
              <w:t>-</w:t>
            </w:r>
          </w:p>
        </w:tc>
        <w:tc>
          <w:tcPr>
            <w:tcW w:w="1568" w:type="dxa"/>
            <w:vAlign w:val="center"/>
          </w:tcPr>
          <w:p w14:paraId="68BBCC1F">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950" w:type="dxa"/>
            <w:vAlign w:val="center"/>
          </w:tcPr>
          <w:p w14:paraId="0792A179">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shd w:val="clear" w:color="auto" w:fill="auto"/>
                <w:lang w:val="en-US" w:eastAsia="zh-CN"/>
              </w:rPr>
              <w:t>0.2</w:t>
            </w:r>
          </w:p>
        </w:tc>
        <w:tc>
          <w:tcPr>
            <w:tcW w:w="1572" w:type="dxa"/>
            <w:vAlign w:val="center"/>
          </w:tcPr>
          <w:p w14:paraId="1F495B20">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lang w:val="en-US" w:eastAsia="zh-CN"/>
              </w:rPr>
              <w:t>-</w:t>
            </w:r>
          </w:p>
        </w:tc>
      </w:tr>
      <w:tr w14:paraId="009EE3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continue"/>
            <w:vAlign w:val="center"/>
          </w:tcPr>
          <w:p w14:paraId="2BFB3458">
            <w:pPr>
              <w:pStyle w:val="24"/>
              <w:spacing w:line="240" w:lineRule="auto"/>
              <w:ind w:firstLine="0" w:firstLineChars="0"/>
              <w:rPr>
                <w:rFonts w:ascii="Times New Roman" w:hAnsi="Times New Roman" w:eastAsia="宋体" w:cs="Times New Roman"/>
                <w:color w:val="auto"/>
                <w:sz w:val="21"/>
                <w:szCs w:val="21"/>
                <w:highlight w:val="none"/>
              </w:rPr>
            </w:pPr>
          </w:p>
        </w:tc>
        <w:tc>
          <w:tcPr>
            <w:tcW w:w="2325" w:type="dxa"/>
            <w:vAlign w:val="center"/>
          </w:tcPr>
          <w:p w14:paraId="5F13E74A">
            <w:pPr>
              <w:pStyle w:val="24"/>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shd w:val="clear" w:color="auto" w:fill="auto"/>
                <w:lang w:eastAsia="zh-CN"/>
              </w:rPr>
              <w:t>废空压机油、废汽轮机油</w:t>
            </w:r>
          </w:p>
        </w:tc>
        <w:tc>
          <w:tcPr>
            <w:tcW w:w="1455" w:type="dxa"/>
            <w:vAlign w:val="center"/>
          </w:tcPr>
          <w:p w14:paraId="199CDB20">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shd w:val="clear" w:color="auto" w:fill="auto"/>
                <w:lang w:val="en-US" w:eastAsia="zh-CN"/>
              </w:rPr>
              <w:t>0.5</w:t>
            </w:r>
          </w:p>
        </w:tc>
        <w:tc>
          <w:tcPr>
            <w:tcW w:w="995" w:type="dxa"/>
            <w:vAlign w:val="center"/>
          </w:tcPr>
          <w:p w14:paraId="318F1AEA">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36" w:type="dxa"/>
            <w:vAlign w:val="center"/>
          </w:tcPr>
          <w:p w14:paraId="5A085700">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10" w:type="dxa"/>
            <w:shd w:val="clear" w:color="auto" w:fill="auto"/>
            <w:vAlign w:val="center"/>
          </w:tcPr>
          <w:p w14:paraId="0CFE8C98">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lang w:val="en-US" w:eastAsia="zh-CN"/>
              </w:rPr>
              <w:t>-</w:t>
            </w:r>
          </w:p>
        </w:tc>
        <w:tc>
          <w:tcPr>
            <w:tcW w:w="1568" w:type="dxa"/>
            <w:vAlign w:val="center"/>
          </w:tcPr>
          <w:p w14:paraId="1C6464C9">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950" w:type="dxa"/>
            <w:vAlign w:val="center"/>
          </w:tcPr>
          <w:p w14:paraId="527B2406">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shd w:val="clear" w:color="auto" w:fill="auto"/>
                <w:lang w:val="en-US" w:eastAsia="zh-CN"/>
              </w:rPr>
              <w:t>0.5</w:t>
            </w:r>
          </w:p>
        </w:tc>
        <w:tc>
          <w:tcPr>
            <w:tcW w:w="1572" w:type="dxa"/>
            <w:vAlign w:val="center"/>
          </w:tcPr>
          <w:p w14:paraId="5921CC13">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lang w:val="en-US" w:eastAsia="zh-CN"/>
              </w:rPr>
              <w:t>-</w:t>
            </w:r>
          </w:p>
        </w:tc>
      </w:tr>
      <w:tr w14:paraId="5557EE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continue"/>
            <w:vAlign w:val="center"/>
          </w:tcPr>
          <w:p w14:paraId="7F1EFB8A">
            <w:pPr>
              <w:pStyle w:val="24"/>
              <w:spacing w:line="240" w:lineRule="auto"/>
              <w:ind w:firstLine="0" w:firstLineChars="0"/>
              <w:rPr>
                <w:rFonts w:ascii="Times New Roman" w:hAnsi="Times New Roman" w:eastAsia="宋体" w:cs="Times New Roman"/>
                <w:color w:val="auto"/>
                <w:sz w:val="21"/>
                <w:szCs w:val="21"/>
                <w:highlight w:val="none"/>
              </w:rPr>
            </w:pPr>
          </w:p>
        </w:tc>
        <w:tc>
          <w:tcPr>
            <w:tcW w:w="2325" w:type="dxa"/>
            <w:vAlign w:val="center"/>
          </w:tcPr>
          <w:p w14:paraId="7A07FF85">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shd w:val="clear" w:color="auto" w:fill="auto"/>
                <w:lang w:eastAsia="zh-CN"/>
              </w:rPr>
              <w:t>废变压器油</w:t>
            </w:r>
          </w:p>
        </w:tc>
        <w:tc>
          <w:tcPr>
            <w:tcW w:w="1455" w:type="dxa"/>
            <w:vAlign w:val="center"/>
          </w:tcPr>
          <w:p w14:paraId="3C1E9F76">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color w:val="auto"/>
                <w:highlight w:val="none"/>
                <w:shd w:val="clear" w:color="auto" w:fill="auto"/>
                <w:lang w:val="en-US" w:eastAsia="zh-CN"/>
              </w:rPr>
              <w:t>0.5</w:t>
            </w:r>
          </w:p>
        </w:tc>
        <w:tc>
          <w:tcPr>
            <w:tcW w:w="995" w:type="dxa"/>
            <w:vAlign w:val="center"/>
          </w:tcPr>
          <w:p w14:paraId="1EA2F5EF">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36" w:type="dxa"/>
            <w:vAlign w:val="center"/>
          </w:tcPr>
          <w:p w14:paraId="6B35B883">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10" w:type="dxa"/>
            <w:shd w:val="clear" w:color="auto" w:fill="auto"/>
            <w:vAlign w:val="center"/>
          </w:tcPr>
          <w:p w14:paraId="3362FABE">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lang w:val="en-US" w:eastAsia="zh-CN"/>
              </w:rPr>
              <w:t>-</w:t>
            </w:r>
          </w:p>
        </w:tc>
        <w:tc>
          <w:tcPr>
            <w:tcW w:w="1568" w:type="dxa"/>
            <w:vAlign w:val="center"/>
          </w:tcPr>
          <w:p w14:paraId="0AC98CD6">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950" w:type="dxa"/>
            <w:vAlign w:val="center"/>
          </w:tcPr>
          <w:p w14:paraId="76A1E131">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color w:val="auto"/>
                <w:highlight w:val="none"/>
                <w:shd w:val="clear" w:color="auto" w:fill="auto"/>
                <w:lang w:val="en-US" w:eastAsia="zh-CN"/>
              </w:rPr>
              <w:t>0.5</w:t>
            </w:r>
          </w:p>
        </w:tc>
        <w:tc>
          <w:tcPr>
            <w:tcW w:w="1572" w:type="dxa"/>
            <w:vAlign w:val="center"/>
          </w:tcPr>
          <w:p w14:paraId="19DBB526">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lang w:val="en-US" w:eastAsia="zh-CN"/>
              </w:rPr>
              <w:t>-</w:t>
            </w:r>
          </w:p>
        </w:tc>
      </w:tr>
      <w:tr w14:paraId="63978D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continue"/>
            <w:vAlign w:val="center"/>
          </w:tcPr>
          <w:p w14:paraId="71F5C89A">
            <w:pPr>
              <w:pStyle w:val="24"/>
              <w:spacing w:line="240" w:lineRule="auto"/>
              <w:ind w:firstLine="0" w:firstLineChars="0"/>
              <w:rPr>
                <w:rFonts w:ascii="Times New Roman" w:hAnsi="Times New Roman" w:eastAsia="宋体" w:cs="Times New Roman"/>
                <w:color w:val="auto"/>
                <w:sz w:val="21"/>
                <w:szCs w:val="21"/>
                <w:highlight w:val="none"/>
              </w:rPr>
            </w:pPr>
          </w:p>
        </w:tc>
        <w:tc>
          <w:tcPr>
            <w:tcW w:w="2325" w:type="dxa"/>
            <w:vAlign w:val="center"/>
          </w:tcPr>
          <w:p w14:paraId="4B01A56B">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eastAsia="宋体" w:cs="Times New Roman"/>
                <w:color w:val="auto"/>
                <w:sz w:val="21"/>
                <w:szCs w:val="21"/>
                <w:highlight w:val="none"/>
                <w:lang w:val="en-US" w:eastAsia="zh-CN"/>
              </w:rPr>
              <w:t>废润滑油</w:t>
            </w:r>
          </w:p>
        </w:tc>
        <w:tc>
          <w:tcPr>
            <w:tcW w:w="1455" w:type="dxa"/>
            <w:vAlign w:val="center"/>
          </w:tcPr>
          <w:p w14:paraId="522E19E3">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color w:val="auto"/>
                <w:highlight w:val="none"/>
                <w:lang w:val="en-US" w:eastAsia="zh-CN"/>
              </w:rPr>
              <w:t>0.1</w:t>
            </w:r>
          </w:p>
        </w:tc>
        <w:tc>
          <w:tcPr>
            <w:tcW w:w="995" w:type="dxa"/>
            <w:vAlign w:val="center"/>
          </w:tcPr>
          <w:p w14:paraId="2A775290">
            <w:pPr>
              <w:pStyle w:val="24"/>
              <w:spacing w:line="240" w:lineRule="auto"/>
              <w:ind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36" w:type="dxa"/>
            <w:vAlign w:val="center"/>
          </w:tcPr>
          <w:p w14:paraId="373982E4">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610" w:type="dxa"/>
            <w:shd w:val="clear" w:color="auto" w:fill="auto"/>
            <w:vAlign w:val="center"/>
          </w:tcPr>
          <w:p w14:paraId="718D076E">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rPr>
              <w:t>-</w:t>
            </w:r>
          </w:p>
        </w:tc>
        <w:tc>
          <w:tcPr>
            <w:tcW w:w="1568" w:type="dxa"/>
            <w:vAlign w:val="center"/>
          </w:tcPr>
          <w:p w14:paraId="4B5994B8">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950" w:type="dxa"/>
            <w:vAlign w:val="center"/>
          </w:tcPr>
          <w:p w14:paraId="01CA2A6D">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0.1</w:t>
            </w:r>
          </w:p>
        </w:tc>
        <w:tc>
          <w:tcPr>
            <w:tcW w:w="1572" w:type="dxa"/>
            <w:vAlign w:val="center"/>
          </w:tcPr>
          <w:p w14:paraId="305BB5B0">
            <w:pPr>
              <w:pStyle w:val="24"/>
              <w:spacing w:line="240" w:lineRule="auto"/>
              <w:ind w:firstLine="0" w:firstLineChars="0"/>
              <w:rPr>
                <w:rFonts w:ascii="Times New Roman" w:hAnsi="Times New Roman" w:eastAsia="宋体" w:cs="Times New Roman"/>
                <w:color w:val="auto"/>
                <w:sz w:val="21"/>
                <w:szCs w:val="21"/>
                <w:highlight w:val="none"/>
              </w:rPr>
            </w:pPr>
            <w:r>
              <w:rPr>
                <w:rFonts w:hint="eastAsia"/>
                <w:color w:val="auto"/>
                <w:highlight w:val="none"/>
                <w:lang w:val="en-US" w:eastAsia="zh-CN"/>
              </w:rPr>
              <w:t>-</w:t>
            </w:r>
          </w:p>
        </w:tc>
      </w:tr>
      <w:tr w14:paraId="576C7E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continue"/>
            <w:vAlign w:val="center"/>
          </w:tcPr>
          <w:p w14:paraId="6809CF75">
            <w:pPr>
              <w:pStyle w:val="24"/>
              <w:spacing w:line="240" w:lineRule="auto"/>
              <w:ind w:firstLine="0" w:firstLineChars="0"/>
              <w:rPr>
                <w:rFonts w:ascii="Times New Roman" w:hAnsi="Times New Roman" w:eastAsia="宋体" w:cs="Times New Roman"/>
                <w:color w:val="auto"/>
                <w:sz w:val="21"/>
                <w:szCs w:val="21"/>
                <w:highlight w:val="none"/>
              </w:rPr>
            </w:pPr>
          </w:p>
        </w:tc>
        <w:tc>
          <w:tcPr>
            <w:tcW w:w="2325" w:type="dxa"/>
            <w:vAlign w:val="center"/>
          </w:tcPr>
          <w:p w14:paraId="27BA08FA">
            <w:pPr>
              <w:pStyle w:val="24"/>
              <w:spacing w:line="240" w:lineRule="auto"/>
              <w:ind w:firstLine="0" w:firstLineChars="0"/>
              <w:rPr>
                <w:rFonts w:hint="eastAsia"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废油桶、废油漆桶</w:t>
            </w:r>
          </w:p>
        </w:tc>
        <w:tc>
          <w:tcPr>
            <w:tcW w:w="1455" w:type="dxa"/>
            <w:vAlign w:val="center"/>
          </w:tcPr>
          <w:p w14:paraId="4BCB19DD">
            <w:pPr>
              <w:pStyle w:val="24"/>
              <w:spacing w:line="240" w:lineRule="auto"/>
              <w:ind w:firstLine="0" w:firstLineChars="0"/>
              <w:rPr>
                <w:rFonts w:hint="default" w:eastAsia="宋体" w:cs="Times New Roman"/>
                <w:color w:val="auto"/>
                <w:sz w:val="21"/>
                <w:szCs w:val="21"/>
                <w:highlight w:val="none"/>
                <w:lang w:val="en-US" w:eastAsia="zh-CN"/>
              </w:rPr>
            </w:pPr>
            <w:r>
              <w:rPr>
                <w:rFonts w:hint="eastAsia"/>
                <w:color w:val="auto"/>
                <w:highlight w:val="none"/>
                <w:lang w:val="en-US" w:eastAsia="zh-CN"/>
              </w:rPr>
              <w:t>0.68</w:t>
            </w:r>
          </w:p>
        </w:tc>
        <w:tc>
          <w:tcPr>
            <w:tcW w:w="995" w:type="dxa"/>
            <w:vAlign w:val="center"/>
          </w:tcPr>
          <w:p w14:paraId="3C76D342">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1636" w:type="dxa"/>
            <w:vAlign w:val="center"/>
          </w:tcPr>
          <w:p w14:paraId="2EE5D016">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1610" w:type="dxa"/>
            <w:shd w:val="clear" w:color="auto" w:fill="auto"/>
            <w:vAlign w:val="center"/>
          </w:tcPr>
          <w:p w14:paraId="70A34A16">
            <w:pPr>
              <w:pStyle w:val="24"/>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eastAsia="宋体"/>
                <w:color w:val="auto"/>
                <w:highlight w:val="none"/>
                <w:lang w:val="en-US" w:eastAsia="zh-CN"/>
              </w:rPr>
              <w:t>-</w:t>
            </w:r>
          </w:p>
        </w:tc>
        <w:tc>
          <w:tcPr>
            <w:tcW w:w="1568" w:type="dxa"/>
            <w:vAlign w:val="center"/>
          </w:tcPr>
          <w:p w14:paraId="2B014D07">
            <w:pPr>
              <w:pStyle w:val="24"/>
              <w:spacing w:line="240" w:lineRule="auto"/>
              <w:ind w:firstLine="0" w:firstLineChars="0"/>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1950" w:type="dxa"/>
            <w:vAlign w:val="center"/>
          </w:tcPr>
          <w:p w14:paraId="045A61B0">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0.68</w:t>
            </w:r>
          </w:p>
        </w:tc>
        <w:tc>
          <w:tcPr>
            <w:tcW w:w="1572" w:type="dxa"/>
            <w:vAlign w:val="center"/>
          </w:tcPr>
          <w:p w14:paraId="1E5F22BA">
            <w:pPr>
              <w:pStyle w:val="24"/>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color w:val="auto"/>
                <w:highlight w:val="none"/>
                <w:lang w:val="en-US" w:eastAsia="zh-CN"/>
              </w:rPr>
              <w:t>-</w:t>
            </w:r>
          </w:p>
        </w:tc>
      </w:tr>
      <w:tr w14:paraId="52E471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continue"/>
            <w:vAlign w:val="center"/>
          </w:tcPr>
          <w:p w14:paraId="65C1D9A5">
            <w:pPr>
              <w:pStyle w:val="24"/>
              <w:spacing w:line="240" w:lineRule="auto"/>
              <w:ind w:firstLine="0" w:firstLineChars="0"/>
              <w:rPr>
                <w:rFonts w:ascii="Times New Roman" w:hAnsi="Times New Roman" w:eastAsia="宋体" w:cs="Times New Roman"/>
                <w:color w:val="auto"/>
                <w:sz w:val="21"/>
                <w:szCs w:val="21"/>
                <w:highlight w:val="none"/>
              </w:rPr>
            </w:pPr>
          </w:p>
        </w:tc>
        <w:tc>
          <w:tcPr>
            <w:tcW w:w="2325" w:type="dxa"/>
            <w:vAlign w:val="center"/>
          </w:tcPr>
          <w:p w14:paraId="523AE8BA">
            <w:pPr>
              <w:pStyle w:val="24"/>
              <w:spacing w:line="240" w:lineRule="auto"/>
              <w:ind w:firstLine="0" w:firstLineChars="0"/>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实验室废液及废试剂瓶</w:t>
            </w:r>
          </w:p>
        </w:tc>
        <w:tc>
          <w:tcPr>
            <w:tcW w:w="1455" w:type="dxa"/>
            <w:vAlign w:val="center"/>
          </w:tcPr>
          <w:p w14:paraId="05E78E6E">
            <w:pPr>
              <w:pStyle w:val="24"/>
              <w:spacing w:line="240" w:lineRule="auto"/>
              <w:ind w:firstLine="0" w:firstLineChars="0"/>
              <w:rPr>
                <w:rFonts w:hint="default" w:eastAsia="宋体" w:cs="Times New Roman"/>
                <w:color w:val="auto"/>
                <w:sz w:val="21"/>
                <w:szCs w:val="21"/>
                <w:highlight w:val="none"/>
                <w:lang w:val="en-US" w:eastAsia="zh-CN"/>
              </w:rPr>
            </w:pPr>
            <w:r>
              <w:rPr>
                <w:rFonts w:hint="eastAsia"/>
                <w:color w:val="auto"/>
                <w:highlight w:val="none"/>
                <w:lang w:val="en-US" w:eastAsia="zh-CN"/>
              </w:rPr>
              <w:t>0.08</w:t>
            </w:r>
          </w:p>
        </w:tc>
        <w:tc>
          <w:tcPr>
            <w:tcW w:w="995" w:type="dxa"/>
            <w:vAlign w:val="center"/>
          </w:tcPr>
          <w:p w14:paraId="0304C0B9">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1636" w:type="dxa"/>
            <w:vAlign w:val="center"/>
          </w:tcPr>
          <w:p w14:paraId="5A625FF5">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1610" w:type="dxa"/>
            <w:shd w:val="clear" w:color="auto" w:fill="auto"/>
            <w:vAlign w:val="center"/>
          </w:tcPr>
          <w:p w14:paraId="728BA67C">
            <w:pPr>
              <w:pStyle w:val="24"/>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eastAsia="宋体"/>
                <w:color w:val="auto"/>
                <w:highlight w:val="none"/>
                <w:lang w:val="en-US" w:eastAsia="zh-CN"/>
              </w:rPr>
              <w:t>-</w:t>
            </w:r>
          </w:p>
        </w:tc>
        <w:tc>
          <w:tcPr>
            <w:tcW w:w="1568" w:type="dxa"/>
            <w:vAlign w:val="center"/>
          </w:tcPr>
          <w:p w14:paraId="54B2E3EC">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1950" w:type="dxa"/>
            <w:vAlign w:val="center"/>
          </w:tcPr>
          <w:p w14:paraId="50A9A843">
            <w:pPr>
              <w:pStyle w:val="24"/>
              <w:spacing w:line="240" w:lineRule="auto"/>
              <w:ind w:firstLine="0" w:firstLineChars="0"/>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0.08</w:t>
            </w:r>
          </w:p>
        </w:tc>
        <w:tc>
          <w:tcPr>
            <w:tcW w:w="1572" w:type="dxa"/>
            <w:vAlign w:val="center"/>
          </w:tcPr>
          <w:p w14:paraId="60D6E6BC">
            <w:pPr>
              <w:pStyle w:val="24"/>
              <w:spacing w:line="240" w:lineRule="auto"/>
              <w:ind w:firstLine="0" w:firstLineChars="0"/>
              <w:rPr>
                <w:rFonts w:hint="default" w:eastAsia="宋体" w:cs="Times New Roman"/>
                <w:color w:val="auto"/>
                <w:sz w:val="21"/>
                <w:szCs w:val="21"/>
                <w:highlight w:val="none"/>
                <w:lang w:val="en-US" w:eastAsia="zh-CN"/>
              </w:rPr>
            </w:pPr>
            <w:r>
              <w:rPr>
                <w:rFonts w:hint="eastAsia"/>
                <w:color w:val="auto"/>
                <w:highlight w:val="none"/>
                <w:lang w:val="en-US" w:eastAsia="zh-CN"/>
              </w:rPr>
              <w:t>-</w:t>
            </w:r>
          </w:p>
        </w:tc>
      </w:tr>
      <w:tr w14:paraId="7FBE07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77" w:type="dxa"/>
            <w:vMerge w:val="continue"/>
            <w:vAlign w:val="center"/>
          </w:tcPr>
          <w:p w14:paraId="503BF6B0">
            <w:pPr>
              <w:pStyle w:val="24"/>
              <w:spacing w:line="240" w:lineRule="auto"/>
              <w:ind w:firstLine="0" w:firstLineChars="0"/>
              <w:rPr>
                <w:rFonts w:ascii="Times New Roman" w:hAnsi="Times New Roman" w:eastAsia="宋体" w:cs="Times New Roman"/>
                <w:color w:val="auto"/>
                <w:sz w:val="21"/>
                <w:szCs w:val="21"/>
                <w:highlight w:val="none"/>
              </w:rPr>
            </w:pPr>
          </w:p>
        </w:tc>
        <w:tc>
          <w:tcPr>
            <w:tcW w:w="2325" w:type="dxa"/>
            <w:vAlign w:val="center"/>
          </w:tcPr>
          <w:p w14:paraId="6ACEA4F8">
            <w:pPr>
              <w:pStyle w:val="24"/>
              <w:spacing w:line="240" w:lineRule="auto"/>
              <w:ind w:firstLine="0" w:firstLineChars="0"/>
              <w:rPr>
                <w:rFonts w:hint="eastAsia"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废劳保用品</w:t>
            </w:r>
          </w:p>
        </w:tc>
        <w:tc>
          <w:tcPr>
            <w:tcW w:w="1455" w:type="dxa"/>
            <w:vAlign w:val="center"/>
          </w:tcPr>
          <w:p w14:paraId="2D86440E">
            <w:pPr>
              <w:pStyle w:val="24"/>
              <w:spacing w:line="240" w:lineRule="auto"/>
              <w:ind w:firstLine="0" w:firstLineChars="0"/>
              <w:rPr>
                <w:rFonts w:hint="default" w:eastAsia="宋体" w:cs="Times New Roman"/>
                <w:color w:val="auto"/>
                <w:sz w:val="21"/>
                <w:szCs w:val="21"/>
                <w:highlight w:val="none"/>
                <w:lang w:val="en-US" w:eastAsia="zh-CN"/>
              </w:rPr>
            </w:pPr>
            <w:r>
              <w:rPr>
                <w:rFonts w:hint="eastAsia"/>
                <w:color w:val="auto"/>
                <w:highlight w:val="none"/>
                <w:lang w:val="en-US" w:eastAsia="zh-CN"/>
              </w:rPr>
              <w:t>0.01</w:t>
            </w:r>
          </w:p>
        </w:tc>
        <w:tc>
          <w:tcPr>
            <w:tcW w:w="995" w:type="dxa"/>
            <w:vAlign w:val="center"/>
          </w:tcPr>
          <w:p w14:paraId="2A4E6A82">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1636" w:type="dxa"/>
            <w:vAlign w:val="center"/>
          </w:tcPr>
          <w:p w14:paraId="12E6CCB4">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1610" w:type="dxa"/>
            <w:shd w:val="clear" w:color="auto" w:fill="auto"/>
            <w:vAlign w:val="center"/>
          </w:tcPr>
          <w:p w14:paraId="7457985C">
            <w:pPr>
              <w:pStyle w:val="24"/>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color w:val="auto"/>
                <w:highlight w:val="none"/>
                <w:lang w:val="en-US" w:eastAsia="zh-CN"/>
              </w:rPr>
              <w:t>0.01</w:t>
            </w:r>
          </w:p>
        </w:tc>
        <w:tc>
          <w:tcPr>
            <w:tcW w:w="1568" w:type="dxa"/>
            <w:vAlign w:val="center"/>
          </w:tcPr>
          <w:p w14:paraId="4CE4D3D7">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w:t>
            </w:r>
          </w:p>
        </w:tc>
        <w:tc>
          <w:tcPr>
            <w:tcW w:w="1950" w:type="dxa"/>
            <w:vAlign w:val="center"/>
          </w:tcPr>
          <w:p w14:paraId="46056A5A">
            <w:pPr>
              <w:pStyle w:val="24"/>
              <w:spacing w:line="240" w:lineRule="auto"/>
              <w:ind w:firstLine="0" w:firstLineChars="0"/>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0.02</w:t>
            </w:r>
          </w:p>
        </w:tc>
        <w:tc>
          <w:tcPr>
            <w:tcW w:w="1572" w:type="dxa"/>
            <w:vAlign w:val="center"/>
          </w:tcPr>
          <w:p w14:paraId="2D8BCA7D">
            <w:pPr>
              <w:pStyle w:val="24"/>
              <w:spacing w:line="240" w:lineRule="auto"/>
              <w:ind w:firstLine="0" w:firstLineChars="0"/>
              <w:rPr>
                <w:rFonts w:hint="default"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+0.01</w:t>
            </w:r>
          </w:p>
        </w:tc>
      </w:tr>
    </w:tbl>
    <w:p w14:paraId="52D3A141">
      <w:pPr>
        <w:keepNext w:val="0"/>
        <w:keepLines w:val="0"/>
        <w:pageBreakBefore w:val="0"/>
        <w:kinsoku/>
        <w:wordWrap/>
        <w:overflowPunct/>
        <w:autoSpaceDE/>
        <w:autoSpaceDN/>
        <w:bidi w:val="0"/>
        <w:spacing w:line="240" w:lineRule="auto"/>
        <w:ind w:firstLine="0" w:firstLineChars="0"/>
        <w:jc w:val="both"/>
        <w:rPr>
          <w:color w:val="auto"/>
          <w:highlight w:val="none"/>
        </w:rPr>
        <w:sectPr>
          <w:footerReference r:id="rId8" w:type="default"/>
          <w:pgSz w:w="16838" w:h="11906" w:orient="landscape"/>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p>
    <w:p w14:paraId="48A998E4">
      <w:pPr>
        <w:pStyle w:val="2"/>
        <w:bidi w:val="0"/>
        <w:rPr>
          <w:rFonts w:ascii="Times New Roman" w:hAnsi="Times New Roman" w:eastAsia="宋体" w:cs="Times New Roman"/>
          <w:color w:val="auto"/>
          <w:highlight w:val="none"/>
        </w:rPr>
      </w:pPr>
      <w:r>
        <w:rPr>
          <w:rFonts w:hint="eastAsia" w:ascii="Times New Roman" w:hAnsi="Times New Roman" w:eastAsia="宋体" w:cs="Times New Roman"/>
          <w:color w:val="auto"/>
          <w:sz w:val="24"/>
          <w:szCs w:val="24"/>
          <w:highlight w:val="none"/>
        </w:rPr>
        <w:t>附件</w:t>
      </w:r>
      <w:r>
        <w:rPr>
          <w:rFonts w:hint="eastAsia" w:eastAsia="宋体" w:cs="Times New Roman"/>
          <w:color w:val="auto"/>
          <w:sz w:val="24"/>
          <w:szCs w:val="24"/>
          <w:highlight w:val="none"/>
          <w:lang w:val="en-US" w:eastAsia="zh-CN"/>
        </w:rPr>
        <w:t xml:space="preserve">1  </w:t>
      </w:r>
      <w:r>
        <w:rPr>
          <w:rFonts w:hint="eastAsia" w:ascii="Times New Roman" w:hAnsi="Times New Roman" w:eastAsia="宋体" w:cs="Times New Roman"/>
          <w:color w:val="auto"/>
          <w:sz w:val="24"/>
          <w:szCs w:val="24"/>
          <w:highlight w:val="none"/>
        </w:rPr>
        <w:t>委托书</w:t>
      </w:r>
    </w:p>
    <w:p w14:paraId="1F2FC0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4"/>
          <w:szCs w:val="24"/>
          <w:highlight w:val="none"/>
          <w:u w:val="none"/>
          <w:lang w:val="en-US" w:eastAsia="zh-CN"/>
        </w:rPr>
        <w:sectPr>
          <w:footerReference r:id="rId9" w:type="default"/>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 w:val="0"/>
          <w:bCs w:val="0"/>
          <w:color w:val="auto"/>
          <w:sz w:val="24"/>
          <w:szCs w:val="24"/>
          <w:highlight w:val="none"/>
          <w:u w:val="none"/>
          <w:lang w:val="en-US" w:eastAsia="zh-CN"/>
        </w:rPr>
        <w:drawing>
          <wp:inline distT="0" distB="0" distL="114300" distR="114300">
            <wp:extent cx="4987925" cy="7362190"/>
            <wp:effectExtent l="0" t="0" r="3175" b="10160"/>
            <wp:docPr id="11" name="图片 11" descr="7d69fb749202cd844ef542244571d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7d69fb749202cd844ef542244571d88"/>
                    <pic:cNvPicPr>
                      <a:picLocks noChangeAspect="1"/>
                    </pic:cNvPicPr>
                  </pic:nvPicPr>
                  <pic:blipFill>
                    <a:blip r:embed="rId23"/>
                    <a:stretch>
                      <a:fillRect/>
                    </a:stretch>
                  </pic:blipFill>
                  <pic:spPr>
                    <a:xfrm>
                      <a:off x="0" y="0"/>
                      <a:ext cx="4987925" cy="7362190"/>
                    </a:xfrm>
                    <a:prstGeom prst="rect">
                      <a:avLst/>
                    </a:prstGeom>
                  </pic:spPr>
                </pic:pic>
              </a:graphicData>
            </a:graphic>
          </wp:inline>
        </w:drawing>
      </w:r>
    </w:p>
    <w:p w14:paraId="08CF9AD6">
      <w:pPr>
        <w:pStyle w:val="2"/>
        <w:bidi w:val="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附件</w:t>
      </w:r>
      <w:r>
        <w:rPr>
          <w:rFonts w:hint="eastAsia"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rPr>
        <w:t>三线一单查询表</w:t>
      </w:r>
    </w:p>
    <w:p w14:paraId="1F73BF03">
      <w:pPr>
        <w:pStyle w:val="13"/>
        <w:keepNext w:val="0"/>
        <w:keepLines w:val="0"/>
        <w:pageBreakBefore w:val="0"/>
        <w:widowControl w:val="0"/>
        <w:kinsoku/>
        <w:wordWrap/>
        <w:overflowPunct/>
        <w:topLinePunct w:val="0"/>
        <w:autoSpaceDE w:val="0"/>
        <w:autoSpaceDN w:val="0"/>
        <w:bidi w:val="0"/>
        <w:spacing w:line="360" w:lineRule="auto"/>
        <w:ind w:left="0" w:leftChars="0" w:firstLine="0" w:firstLineChars="0"/>
        <w:jc w:val="both"/>
        <w:textAlignment w:val="auto"/>
        <w:rPr>
          <w:rFonts w:hint="eastAsia" w:ascii="Times New Roman" w:hAnsi="Times New Roman" w:eastAsia="宋体" w:cs="Times New Roman"/>
          <w:color w:val="auto"/>
          <w:sz w:val="24"/>
          <w:szCs w:val="24"/>
          <w:highlight w:val="none"/>
          <w:lang w:eastAsia="zh-CN"/>
        </w:rPr>
      </w:pPr>
      <w:r>
        <w:rPr>
          <w:color w:val="auto"/>
          <w:highlight w:val="none"/>
        </w:rPr>
        <w:drawing>
          <wp:inline distT="0" distB="0" distL="114300" distR="114300">
            <wp:extent cx="8734425" cy="3468370"/>
            <wp:effectExtent l="0" t="0" r="9525" b="17780"/>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24"/>
                    <a:stretch>
                      <a:fillRect/>
                    </a:stretch>
                  </pic:blipFill>
                  <pic:spPr>
                    <a:xfrm>
                      <a:off x="0" y="0"/>
                      <a:ext cx="8734425" cy="3468370"/>
                    </a:xfrm>
                    <a:prstGeom prst="rect">
                      <a:avLst/>
                    </a:prstGeom>
                    <a:noFill/>
                    <a:ln>
                      <a:noFill/>
                    </a:ln>
                  </pic:spPr>
                </pic:pic>
              </a:graphicData>
            </a:graphic>
          </wp:inline>
        </w:drawing>
      </w:r>
    </w:p>
    <w:p w14:paraId="3673A391">
      <w:pPr>
        <w:keepNext w:val="0"/>
        <w:keepLines w:val="0"/>
        <w:pageBreakBefore w:val="0"/>
        <w:kinsoku/>
        <w:wordWrap/>
        <w:overflowPunct/>
        <w:autoSpaceDE/>
        <w:autoSpaceDN/>
        <w:bidi w:val="0"/>
        <w:spacing w:line="240" w:lineRule="auto"/>
        <w:ind w:firstLine="0" w:firstLineChars="0"/>
        <w:jc w:val="both"/>
        <w:rPr>
          <w:rFonts w:ascii="Times New Roman" w:hAnsi="Times New Roman" w:eastAsia="宋体" w:cs="Times New Roman"/>
          <w:color w:val="auto"/>
          <w:highlight w:val="none"/>
        </w:rPr>
      </w:pPr>
    </w:p>
    <w:p w14:paraId="03526A3F">
      <w:pPr>
        <w:keepNext w:val="0"/>
        <w:keepLines w:val="0"/>
        <w:pageBreakBefore w:val="0"/>
        <w:kinsoku/>
        <w:wordWrap/>
        <w:overflowPunct/>
        <w:autoSpaceDE/>
        <w:autoSpaceDN/>
        <w:bidi w:val="0"/>
        <w:spacing w:line="240" w:lineRule="auto"/>
        <w:ind w:firstLine="0" w:firstLineChars="0"/>
        <w:jc w:val="both"/>
        <w:rPr>
          <w:rFonts w:ascii="Times New Roman" w:hAnsi="Times New Roman" w:eastAsia="宋体" w:cs="Times New Roman"/>
          <w:color w:val="auto"/>
          <w:highlight w:val="none"/>
        </w:rPr>
        <w:sectPr>
          <w:footerReference r:id="rId10" w:type="default"/>
          <w:pgSz w:w="16838" w:h="11906" w:orient="landscape"/>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p>
    <w:p w14:paraId="3AEC2A57">
      <w:pPr>
        <w:pStyle w:val="2"/>
        <w:bidi w:val="0"/>
        <w:rPr>
          <w:rFonts w:ascii="Times New Roman" w:hAnsi="Times New Roman" w:eastAsia="宋体" w:cs="Times New Roman"/>
          <w:color w:val="auto"/>
          <w:highlight w:val="none"/>
        </w:rPr>
      </w:pPr>
      <w:r>
        <w:rPr>
          <w:rFonts w:hint="eastAsia" w:ascii="Times New Roman" w:hAnsi="Times New Roman" w:eastAsia="宋体" w:cs="Times New Roman"/>
          <w:color w:val="auto"/>
          <w:sz w:val="24"/>
          <w:szCs w:val="24"/>
          <w:highlight w:val="none"/>
        </w:rPr>
        <w:t>附件</w:t>
      </w:r>
      <w:r>
        <w:rPr>
          <w:rFonts w:hint="eastAsia" w:eastAsia="宋体" w:cs="Times New Roman"/>
          <w:color w:val="auto"/>
          <w:sz w:val="24"/>
          <w:szCs w:val="24"/>
          <w:highlight w:val="none"/>
          <w:lang w:val="en-US" w:eastAsia="zh-CN"/>
        </w:rPr>
        <w:t xml:space="preserve">3  </w:t>
      </w:r>
      <w:r>
        <w:rPr>
          <w:rFonts w:hint="eastAsia" w:ascii="Times New Roman" w:hAnsi="Times New Roman" w:eastAsia="宋体" w:cs="Times New Roman"/>
          <w:color w:val="auto"/>
          <w:sz w:val="24"/>
          <w:szCs w:val="24"/>
          <w:highlight w:val="none"/>
        </w:rPr>
        <w:t>检测报告</w:t>
      </w:r>
    </w:p>
    <w:p w14:paraId="49263A7F">
      <w:pPr>
        <w:ind w:left="0" w:leftChars="0" w:firstLine="0" w:firstLineChars="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84" name="图片 84" descr="F251061北票发电有限责任公司危废暂存库改造工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F251061北票发电有限责任公司危废暂存库改造工程_00"/>
                    <pic:cNvPicPr>
                      <a:picLocks noChangeAspect="1"/>
                    </pic:cNvPicPr>
                  </pic:nvPicPr>
                  <pic:blipFill>
                    <a:blip r:embed="rId25"/>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81" name="图片 81" descr="F251061北票发电有限责任公司危废暂存库改造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F251061北票发电有限责任公司危废暂存库改造工程_01"/>
                    <pic:cNvPicPr>
                      <a:picLocks noChangeAspect="1"/>
                    </pic:cNvPicPr>
                  </pic:nvPicPr>
                  <pic:blipFill>
                    <a:blip r:embed="rId26"/>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79" name="图片 79" descr="F251061北票发电有限责任公司危废暂存库改造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F251061北票发电有限责任公司危废暂存库改造工程_02"/>
                    <pic:cNvPicPr>
                      <a:picLocks noChangeAspect="1"/>
                    </pic:cNvPicPr>
                  </pic:nvPicPr>
                  <pic:blipFill>
                    <a:blip r:embed="rId27"/>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78" name="图片 78" descr="F251061北票发电有限责任公司危废暂存库改造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F251061北票发电有限责任公司危废暂存库改造工程_03"/>
                    <pic:cNvPicPr>
                      <a:picLocks noChangeAspect="1"/>
                    </pic:cNvPicPr>
                  </pic:nvPicPr>
                  <pic:blipFill>
                    <a:blip r:embed="rId28"/>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77" name="图片 77" descr="F251061北票发电有限责任公司危废暂存库改造工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F251061北票发电有限责任公司危废暂存库改造工程_04"/>
                    <pic:cNvPicPr>
                      <a:picLocks noChangeAspect="1"/>
                    </pic:cNvPicPr>
                  </pic:nvPicPr>
                  <pic:blipFill>
                    <a:blip r:embed="rId29"/>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76" name="图片 76" descr="F251061北票发电有限责任公司危废暂存库改造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F251061北票发电有限责任公司危废暂存库改造工程_05"/>
                    <pic:cNvPicPr>
                      <a:picLocks noChangeAspect="1"/>
                    </pic:cNvPicPr>
                  </pic:nvPicPr>
                  <pic:blipFill>
                    <a:blip r:embed="rId30"/>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75" name="图片 75" descr="F251061北票发电有限责任公司危废暂存库改造工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F251061北票发电有限责任公司危废暂存库改造工程_06"/>
                    <pic:cNvPicPr>
                      <a:picLocks noChangeAspect="1"/>
                    </pic:cNvPicPr>
                  </pic:nvPicPr>
                  <pic:blipFill>
                    <a:blip r:embed="rId31"/>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74" name="图片 74" descr="F251061北票发电有限责任公司危废暂存库改造工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F251061北票发电有限责任公司危废暂存库改造工程_07"/>
                    <pic:cNvPicPr>
                      <a:picLocks noChangeAspect="1"/>
                    </pic:cNvPicPr>
                  </pic:nvPicPr>
                  <pic:blipFill>
                    <a:blip r:embed="rId32"/>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73" name="图片 73" descr="F251061北票发电有限责任公司危废暂存库改造工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F251061北票发电有限责任公司危废暂存库改造工程_08"/>
                    <pic:cNvPicPr>
                      <a:picLocks noChangeAspect="1"/>
                    </pic:cNvPicPr>
                  </pic:nvPicPr>
                  <pic:blipFill>
                    <a:blip r:embed="rId33"/>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72" name="图片 72" descr="F251061北票发电有限责任公司危废暂存库改造工程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F251061北票发电有限责任公司危废暂存库改造工程_09"/>
                    <pic:cNvPicPr>
                      <a:picLocks noChangeAspect="1"/>
                    </pic:cNvPicPr>
                  </pic:nvPicPr>
                  <pic:blipFill>
                    <a:blip r:embed="rId34"/>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71" name="图片 71" descr="F251061北票发电有限责任公司危废暂存库改造工程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F251061北票发电有限责任公司危废暂存库改造工程_10"/>
                    <pic:cNvPicPr>
                      <a:picLocks noChangeAspect="1"/>
                    </pic:cNvPicPr>
                  </pic:nvPicPr>
                  <pic:blipFill>
                    <a:blip r:embed="rId35"/>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3340"/>
            <wp:effectExtent l="0" t="0" r="3810" b="3810"/>
            <wp:docPr id="70" name="图片 70" descr="F251061北票发电有限责任公司危废暂存库改造工程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F251061北票发电有限责任公司危废暂存库改造工程_11"/>
                    <pic:cNvPicPr>
                      <a:picLocks noChangeAspect="1"/>
                    </pic:cNvPicPr>
                  </pic:nvPicPr>
                  <pic:blipFill>
                    <a:blip r:embed="rId36"/>
                    <a:stretch>
                      <a:fillRect/>
                    </a:stretch>
                  </pic:blipFill>
                  <pic:spPr>
                    <a:xfrm>
                      <a:off x="0" y="0"/>
                      <a:ext cx="5615940" cy="767334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48" name="图片 48" descr="F251061北票发电有限责任公司危废暂存库改造工程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F251061北票发电有限责任公司危废暂存库改造工程_12"/>
                    <pic:cNvPicPr>
                      <a:picLocks noChangeAspect="1"/>
                    </pic:cNvPicPr>
                  </pic:nvPicPr>
                  <pic:blipFill>
                    <a:blip r:embed="rId37"/>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47" name="图片 47" descr="F251061北票发电有限责任公司危废暂存库改造工程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F251061北票发电有限责任公司危废暂存库改造工程_13"/>
                    <pic:cNvPicPr>
                      <a:picLocks noChangeAspect="1"/>
                    </pic:cNvPicPr>
                  </pic:nvPicPr>
                  <pic:blipFill>
                    <a:blip r:embed="rId38"/>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44" name="图片 44" descr="F251141北票发电有限责任公司危废暂存库改造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F251141北票发电有限责任公司危废暂存库改造工程_01"/>
                    <pic:cNvPicPr>
                      <a:picLocks noChangeAspect="1"/>
                    </pic:cNvPicPr>
                  </pic:nvPicPr>
                  <pic:blipFill>
                    <a:blip r:embed="rId39"/>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41" name="图片 41" descr="F251141北票发电有限责任公司危废暂存库改造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F251141北票发电有限责任公司危废暂存库改造工程_02"/>
                    <pic:cNvPicPr>
                      <a:picLocks noChangeAspect="1"/>
                    </pic:cNvPicPr>
                  </pic:nvPicPr>
                  <pic:blipFill>
                    <a:blip r:embed="rId40"/>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40" name="图片 40" descr="F251141北票发电有限责任公司危废暂存库改造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F251141北票发电有限责任公司危废暂存库改造工程_03"/>
                    <pic:cNvPicPr>
                      <a:picLocks noChangeAspect="1"/>
                    </pic:cNvPicPr>
                  </pic:nvPicPr>
                  <pic:blipFill>
                    <a:blip r:embed="rId41"/>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7150"/>
            <wp:effectExtent l="0" t="0" r="3810" b="0"/>
            <wp:docPr id="39" name="图片 39" descr="F251141北票发电有限责任公司危废暂存库改造工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F251141北票发电有限责任公司危废暂存库改造工程_04"/>
                    <pic:cNvPicPr>
                      <a:picLocks noChangeAspect="1"/>
                    </pic:cNvPicPr>
                  </pic:nvPicPr>
                  <pic:blipFill>
                    <a:blip r:embed="rId42"/>
                    <a:stretch>
                      <a:fillRect/>
                    </a:stretch>
                  </pic:blipFill>
                  <pic:spPr>
                    <a:xfrm>
                      <a:off x="0" y="0"/>
                      <a:ext cx="5615940" cy="767715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38" name="图片 38" descr="F251141北票发电有限责任公司危废暂存库改造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251141北票发电有限责任公司危废暂存库改造工程_05"/>
                    <pic:cNvPicPr>
                      <a:picLocks noChangeAspect="1"/>
                    </pic:cNvPicPr>
                  </pic:nvPicPr>
                  <pic:blipFill>
                    <a:blip r:embed="rId43"/>
                    <a:stretch>
                      <a:fillRect/>
                    </a:stretch>
                  </pic:blipFill>
                  <pic:spPr>
                    <a:xfrm>
                      <a:off x="0" y="0"/>
                      <a:ext cx="5615940" cy="7672070"/>
                    </a:xfrm>
                    <a:prstGeom prst="rect">
                      <a:avLst/>
                    </a:prstGeom>
                  </pic:spPr>
                </pic:pic>
              </a:graphicData>
            </a:graphic>
          </wp:inline>
        </w:drawing>
      </w:r>
      <w:r>
        <w:rPr>
          <w:rFonts w:hint="eastAsia" w:ascii="Times New Roman" w:hAnsi="Times New Roman" w:eastAsia="宋体" w:cs="Times New Roman"/>
          <w:color w:val="auto"/>
          <w:highlight w:val="none"/>
          <w:lang w:eastAsia="zh-CN"/>
        </w:rPr>
        <w:drawing>
          <wp:inline distT="0" distB="0" distL="114300" distR="114300">
            <wp:extent cx="5615940" cy="7672070"/>
            <wp:effectExtent l="0" t="0" r="3810" b="5080"/>
            <wp:docPr id="37" name="图片 37" descr="F251141北票发电有限责任公司危废暂存库改造工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F251141北票发电有限责任公司危废暂存库改造工程_06"/>
                    <pic:cNvPicPr>
                      <a:picLocks noChangeAspect="1"/>
                    </pic:cNvPicPr>
                  </pic:nvPicPr>
                  <pic:blipFill>
                    <a:blip r:embed="rId44"/>
                    <a:stretch>
                      <a:fillRect/>
                    </a:stretch>
                  </pic:blipFill>
                  <pic:spPr>
                    <a:xfrm>
                      <a:off x="0" y="0"/>
                      <a:ext cx="5615940" cy="7672070"/>
                    </a:xfrm>
                    <a:prstGeom prst="rect">
                      <a:avLst/>
                    </a:prstGeom>
                  </pic:spPr>
                </pic:pic>
              </a:graphicData>
            </a:graphic>
          </wp:inline>
        </w:drawing>
      </w:r>
    </w:p>
    <w:p w14:paraId="0547FE8E">
      <w:pPr>
        <w:pStyle w:val="2"/>
        <w:bidi w:val="0"/>
        <w:spacing w:before="0" w:after="0" w:line="240" w:lineRule="auto"/>
        <w:ind w:left="0" w:leftChars="0" w:firstLine="0" w:firstLineChars="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附件</w:t>
      </w:r>
      <w:r>
        <w:rPr>
          <w:rFonts w:hint="eastAsia" w:eastAsia="宋体" w:cs="Times New Roman"/>
          <w:color w:val="auto"/>
          <w:sz w:val="24"/>
          <w:szCs w:val="24"/>
          <w:highlight w:val="none"/>
          <w:lang w:val="en-US" w:eastAsia="zh-CN"/>
        </w:rPr>
        <w:t>4</w:t>
      </w:r>
      <w:bookmarkStart w:id="3" w:name="_GoBack"/>
      <w:bookmarkEnd w:id="3"/>
      <w:r>
        <w:rPr>
          <w:rFonts w:hint="eastAsia" w:ascii="Times New Roman" w:hAnsi="Times New Roman" w:eastAsia="宋体" w:cs="Times New Roman"/>
          <w:color w:val="auto"/>
          <w:sz w:val="24"/>
          <w:szCs w:val="24"/>
          <w:highlight w:val="none"/>
          <w:lang w:val="en-US" w:eastAsia="zh-CN"/>
        </w:rPr>
        <w:t xml:space="preserve">  转移联单</w:t>
      </w:r>
    </w:p>
    <w:p w14:paraId="31AF0D71">
      <w:pPr>
        <w:pStyle w:val="45"/>
        <w:bidi w:val="0"/>
        <w:ind w:left="0" w:leftChars="0" w:firstLineChars="0"/>
        <w:jc w:val="center"/>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drawing>
          <wp:inline distT="0" distB="0" distL="114300" distR="114300">
            <wp:extent cx="5534660" cy="7823200"/>
            <wp:effectExtent l="0" t="0" r="8890" b="6350"/>
            <wp:docPr id="145" name="图片 145" descr="危险废物转移联单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危险废物转移联单 (1)_01"/>
                    <pic:cNvPicPr>
                      <a:picLocks noChangeAspect="1"/>
                    </pic:cNvPicPr>
                  </pic:nvPicPr>
                  <pic:blipFill>
                    <a:blip r:embed="rId45"/>
                    <a:stretch>
                      <a:fillRect/>
                    </a:stretch>
                  </pic:blipFill>
                  <pic:spPr>
                    <a:xfrm>
                      <a:off x="0" y="0"/>
                      <a:ext cx="5534660" cy="7823200"/>
                    </a:xfrm>
                    <a:prstGeom prst="rect">
                      <a:avLst/>
                    </a:prstGeom>
                  </pic:spPr>
                </pic:pic>
              </a:graphicData>
            </a:graphic>
          </wp:inline>
        </w:drawing>
      </w:r>
      <w:r>
        <w:rPr>
          <w:rFonts w:hint="eastAsia" w:ascii="Times New Roman" w:hAnsi="Times New Roman" w:eastAsia="宋体" w:cs="Times New Roman"/>
          <w:color w:val="auto"/>
          <w:sz w:val="24"/>
          <w:szCs w:val="24"/>
          <w:highlight w:val="none"/>
          <w:lang w:eastAsia="zh-CN"/>
        </w:rPr>
        <w:drawing>
          <wp:inline distT="0" distB="0" distL="114300" distR="114300">
            <wp:extent cx="5615305" cy="7935595"/>
            <wp:effectExtent l="0" t="0" r="4445" b="8255"/>
            <wp:docPr id="146" name="图片 146" descr="危险废物转移联单 (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危险废物转移联单 (1)_02"/>
                    <pic:cNvPicPr>
                      <a:picLocks noChangeAspect="1"/>
                    </pic:cNvPicPr>
                  </pic:nvPicPr>
                  <pic:blipFill>
                    <a:blip r:embed="rId46"/>
                    <a:stretch>
                      <a:fillRect/>
                    </a:stretch>
                  </pic:blipFill>
                  <pic:spPr>
                    <a:xfrm>
                      <a:off x="0" y="0"/>
                      <a:ext cx="5615305" cy="7935595"/>
                    </a:xfrm>
                    <a:prstGeom prst="rect">
                      <a:avLst/>
                    </a:prstGeom>
                  </pic:spPr>
                </pic:pic>
              </a:graphicData>
            </a:graphic>
          </wp:inline>
        </w:drawing>
      </w:r>
      <w:r>
        <w:rPr>
          <w:rFonts w:hint="eastAsia" w:ascii="Times New Roman" w:hAnsi="Times New Roman" w:eastAsia="宋体" w:cs="Times New Roman"/>
          <w:color w:val="auto"/>
          <w:sz w:val="24"/>
          <w:szCs w:val="24"/>
          <w:highlight w:val="none"/>
          <w:lang w:eastAsia="zh-CN"/>
        </w:rPr>
        <w:drawing>
          <wp:inline distT="0" distB="0" distL="114300" distR="114300">
            <wp:extent cx="5615305" cy="7935595"/>
            <wp:effectExtent l="0" t="0" r="4445" b="8255"/>
            <wp:docPr id="147" name="图片 147" descr="危险废物转移联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危险废物转移联单_01"/>
                    <pic:cNvPicPr>
                      <a:picLocks noChangeAspect="1"/>
                    </pic:cNvPicPr>
                  </pic:nvPicPr>
                  <pic:blipFill>
                    <a:blip r:embed="rId47"/>
                    <a:stretch>
                      <a:fillRect/>
                    </a:stretch>
                  </pic:blipFill>
                  <pic:spPr>
                    <a:xfrm>
                      <a:off x="0" y="0"/>
                      <a:ext cx="5615305" cy="7935595"/>
                    </a:xfrm>
                    <a:prstGeom prst="rect">
                      <a:avLst/>
                    </a:prstGeom>
                  </pic:spPr>
                </pic:pic>
              </a:graphicData>
            </a:graphic>
          </wp:inline>
        </w:drawing>
      </w:r>
    </w:p>
    <w:p w14:paraId="0BF03147">
      <w:pPr>
        <w:bidi w:val="0"/>
        <w:ind w:left="0" w:leftChars="0" w:firstLine="0" w:firstLineChars="0"/>
        <w:jc w:val="left"/>
        <w:rPr>
          <w:rFonts w:hint="eastAsia" w:ascii="Times New Roman" w:hAnsi="Times New Roman" w:eastAsia="宋体" w:cs="Times New Roman"/>
          <w:color w:val="auto"/>
          <w:sz w:val="24"/>
          <w:szCs w:val="24"/>
          <w:highlight w:val="none"/>
          <w:lang w:eastAsia="zh-CN"/>
        </w:rPr>
      </w:pPr>
    </w:p>
    <w:p w14:paraId="25647635">
      <w:pPr>
        <w:bidi w:val="0"/>
        <w:ind w:left="0" w:leftChars="0" w:firstLine="0" w:firstLineChars="0"/>
        <w:jc w:val="center"/>
        <w:rPr>
          <w:rFonts w:hint="default" w:ascii="Times New Roman" w:hAnsi="Times New Roman" w:eastAsia="宋体" w:cs="Times New Roman"/>
          <w:color w:val="auto"/>
          <w:highlight w:val="none"/>
          <w:lang w:eastAsia="zh-CN"/>
        </w:rPr>
        <w:sectPr>
          <w:pgSz w:w="11906" w:h="16838"/>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p>
    <w:p w14:paraId="57CD528C">
      <w:pPr>
        <w:bidi w:val="0"/>
        <w:ind w:left="0" w:leftChars="0" w:firstLine="0" w:firstLineChars="0"/>
        <w:jc w:val="center"/>
        <w:rPr>
          <w:rFonts w:hint="eastAsia" w:ascii="Times New Roman" w:hAnsi="Times New Roman" w:eastAsia="宋体" w:cs="Times New Roman"/>
          <w:color w:val="auto"/>
          <w:highlight w:val="none"/>
        </w:rPr>
      </w:pPr>
      <w:r>
        <w:rPr>
          <w:rFonts w:ascii="Times New Roman" w:hAnsi="Times New Roman" w:eastAsia="宋体" w:cs="Times New Roman"/>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5022850</wp:posOffset>
                </wp:positionH>
                <wp:positionV relativeFrom="paragraph">
                  <wp:posOffset>1494790</wp:posOffset>
                </wp:positionV>
                <wp:extent cx="1313815" cy="321310"/>
                <wp:effectExtent l="12700" t="12700" r="26035" b="142240"/>
                <wp:wrapNone/>
                <wp:docPr id="32" name="矩形标注 32"/>
                <wp:cNvGraphicFramePr/>
                <a:graphic xmlns:a="http://schemas.openxmlformats.org/drawingml/2006/main">
                  <a:graphicData uri="http://schemas.microsoft.com/office/word/2010/wordprocessingShape">
                    <wps:wsp>
                      <wps:cNvSpPr/>
                      <wps:spPr>
                        <a:xfrm>
                          <a:off x="0" y="0"/>
                          <a:ext cx="1313815" cy="321310"/>
                        </a:xfrm>
                        <a:prstGeom prst="wedgeRectCallout">
                          <a:avLst>
                            <a:gd name="adj1" fmla="val -4681"/>
                            <a:gd name="adj2" fmla="val 85250"/>
                          </a:avLst>
                        </a:prstGeom>
                        <a:solidFill>
                          <a:srgbClr val="FFFFFF"/>
                        </a:solidFill>
                        <a:ln w="25400" cap="flat" cmpd="sng">
                          <a:solidFill>
                            <a:srgbClr val="1C334E"/>
                          </a:solidFill>
                          <a:prstDash val="solid"/>
                          <a:round/>
                          <a:headEnd type="none" w="med" len="med"/>
                          <a:tailEnd type="none" w="med" len="med"/>
                        </a:ln>
                        <a:effectLst/>
                      </wps:spPr>
                      <wps:txbx>
                        <w:txbxContent>
                          <w:p w14:paraId="1F091BF3">
                            <w:pPr>
                              <w:ind w:left="0" w:leftChars="0" w:firstLine="0" w:firstLineChars="0"/>
                              <w:jc w:val="both"/>
                              <w:rPr>
                                <w:rFonts w:hint="eastAsia"/>
                                <w:b/>
                                <w:bCs/>
                                <w:color w:val="0000FF"/>
                              </w:rPr>
                            </w:pPr>
                            <w:r>
                              <w:rPr>
                                <w:rFonts w:hint="eastAsia"/>
                                <w:b/>
                                <w:bCs/>
                                <w:color w:val="auto"/>
                              </w:rPr>
                              <w:t>本项目所在位置</w:t>
                            </w:r>
                          </w:p>
                        </w:txbxContent>
                      </wps:txbx>
                      <wps:bodyPr anchor="ctr" anchorCtr="0" upright="1"/>
                    </wps:wsp>
                  </a:graphicData>
                </a:graphic>
              </wp:anchor>
            </w:drawing>
          </mc:Choice>
          <mc:Fallback>
            <w:pict>
              <v:shape id="_x0000_s1026" o:spid="_x0000_s1026" o:spt="61" type="#_x0000_t61" style="position:absolute;left:0pt;margin-left:395.5pt;margin-top:117.7pt;height:25.3pt;width:103.45pt;z-index:251664384;v-text-anchor:middle;mso-width-relative:page;mso-height-relative:page;" fillcolor="#FFFFFF" filled="t" stroked="t" coordsize="21600,21600" o:gfxdata="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FL6rqtwAAAAL&#10;AQAADwAAAAAAAAABACAAAAAiAAAAZHJzL2Rvd25yZXYueG1sUEsBAhQAFAAAAAgAh07iQEJH/yJR&#10;AgAAuAQAAA4AAAAAAAAAAQAgAAAAKwEAAGRycy9lMm9Eb2MueG1sUEsFBgAAAAAGAAYAWQEAAO4F&#10;AAAAAA==&#10;" adj="9789,29214">
                <v:fill on="t" focussize="0,0"/>
                <v:stroke weight="2pt" color="#1C334E" joinstyle="round"/>
                <v:imagedata o:title=""/>
                <o:lock v:ext="edit" aspectratio="f"/>
                <v:textbox>
                  <w:txbxContent>
                    <w:p w14:paraId="1F091BF3">
                      <w:pPr>
                        <w:ind w:left="0" w:leftChars="0" w:firstLine="0" w:firstLineChars="0"/>
                        <w:jc w:val="both"/>
                        <w:rPr>
                          <w:rFonts w:hint="eastAsia"/>
                          <w:b/>
                          <w:bCs/>
                          <w:color w:val="0000FF"/>
                        </w:rPr>
                      </w:pPr>
                      <w:r>
                        <w:rPr>
                          <w:rFonts w:hint="eastAsia"/>
                          <w:b/>
                          <w:bCs/>
                          <w:color w:val="auto"/>
                        </w:rPr>
                        <w:t>本项目所在位置</w:t>
                      </w:r>
                    </w:p>
                  </w:txbxContent>
                </v:textbox>
              </v:shape>
            </w:pict>
          </mc:Fallback>
        </mc:AlternateContent>
      </w:r>
      <w:r>
        <w:rPr>
          <w:rFonts w:hint="eastAsia" w:ascii="Times New Roman" w:hAnsi="Times New Roman" w:eastAsia="宋体" w:cs="Times New Roman"/>
          <w:b/>
          <w:bCs/>
          <w:snapToGrid w:val="0"/>
          <w:color w:val="auto"/>
          <w:kern w:val="0"/>
          <w:sz w:val="24"/>
          <w:szCs w:val="24"/>
          <w:highlight w:val="none"/>
          <w:lang w:eastAsia="zh-CN"/>
        </w:rPr>
        <w:drawing>
          <wp:anchor distT="0" distB="0" distL="114300" distR="114300" simplePos="0" relativeHeight="251663360" behindDoc="0" locked="0" layoutInCell="1" allowOverlap="1">
            <wp:simplePos x="0" y="0"/>
            <wp:positionH relativeFrom="column">
              <wp:posOffset>7178675</wp:posOffset>
            </wp:positionH>
            <wp:positionV relativeFrom="paragraph">
              <wp:posOffset>267970</wp:posOffset>
            </wp:positionV>
            <wp:extent cx="547370" cy="990600"/>
            <wp:effectExtent l="0" t="0" r="5080" b="0"/>
            <wp:wrapNone/>
            <wp:docPr id="30" name="图片 3" descr="44dd3fb2a27f3fe067faf2f525d4a73"/>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cbd96f26-3608-4507-ad58-dae6ed4fb289}"/>
                  </s:tag>
                </a:ext>
              </a:extLst>
            </wp:cNvGraphicFramePr>
            <a:graphic xmlns:a="http://schemas.openxmlformats.org/drawingml/2006/main">
              <a:graphicData uri="http://schemas.openxmlformats.org/drawingml/2006/picture">
                <pic:pic xmlns:pic="http://schemas.openxmlformats.org/drawingml/2006/picture">
                  <pic:nvPicPr>
                    <pic:cNvPr id="30" name="图片 3" descr="44dd3fb2a27f3fe067faf2f525d4a73"/>
                    <pic:cNvPicPr>
                      <a:picLocks noChangeAspect="1"/>
                    </pic:cNvPicPr>
                  </pic:nvPicPr>
                  <pic:blipFill>
                    <a:blip r:embed="rId48"/>
                    <a:srcRect l="8888" r="31250"/>
                    <a:stretch>
                      <a:fillRect/>
                    </a:stretch>
                  </pic:blipFill>
                  <pic:spPr>
                    <a:xfrm>
                      <a:off x="0" y="0"/>
                      <a:ext cx="547370" cy="990600"/>
                    </a:xfrm>
                    <a:prstGeom prst="rect">
                      <a:avLst/>
                    </a:prstGeom>
                    <a:noFill/>
                    <a:ln>
                      <a:noFill/>
                    </a:ln>
                  </pic:spPr>
                </pic:pic>
              </a:graphicData>
            </a:graphic>
          </wp:anchor>
        </w:drawing>
      </w:r>
      <w:r>
        <w:rPr>
          <w:rFonts w:ascii="Times New Roman" w:hAnsi="Times New Roman" w:eastAsia="宋体" w:cs="Times New Roman"/>
          <w:color w:val="auto"/>
          <w:highlight w:val="none"/>
        </w:rPr>
        <w:drawing>
          <wp:inline distT="0" distB="0" distL="114300" distR="114300">
            <wp:extent cx="6889750" cy="5181600"/>
            <wp:effectExtent l="0" t="0" r="6350" b="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49"/>
                    <a:stretch>
                      <a:fillRect/>
                    </a:stretch>
                  </pic:blipFill>
                  <pic:spPr>
                    <a:xfrm>
                      <a:off x="0" y="0"/>
                      <a:ext cx="6889750" cy="5181600"/>
                    </a:xfrm>
                    <a:prstGeom prst="rect">
                      <a:avLst/>
                    </a:prstGeom>
                    <a:noFill/>
                    <a:ln>
                      <a:noFill/>
                    </a:ln>
                  </pic:spPr>
                </pic:pic>
              </a:graphicData>
            </a:graphic>
          </wp:inline>
        </w:drawing>
      </w:r>
    </w:p>
    <w:p w14:paraId="67DF725C">
      <w:pPr>
        <w:pStyle w:val="2"/>
        <w:bidi w:val="0"/>
        <w:spacing w:line="240" w:lineRule="auto"/>
        <w:jc w:val="center"/>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附图1</w:t>
      </w:r>
      <w:r>
        <w:rPr>
          <w:rFonts w:hint="eastAsia" w:ascii="Times New Roman" w:hAnsi="Times New Roman" w:eastAsia="宋体"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rPr>
        <w:t>项目地理位置图</w:t>
      </w:r>
    </w:p>
    <w:p w14:paraId="2726E330">
      <w:pPr>
        <w:pStyle w:val="2"/>
        <w:bidi w:val="0"/>
        <w:rPr>
          <w:rFonts w:hint="eastAsia" w:ascii="Times New Roman" w:hAnsi="Times New Roman" w:eastAsia="宋体" w:cs="Times New Roman"/>
          <w:color w:val="auto"/>
          <w:sz w:val="24"/>
          <w:szCs w:val="24"/>
          <w:highlight w:val="none"/>
        </w:rPr>
        <w:sectPr>
          <w:pgSz w:w="16838" w:h="11906" w:orient="landscape"/>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p>
    <w:p w14:paraId="7DA17D36">
      <w:pPr>
        <w:keepNext w:val="0"/>
        <w:keepLines w:val="0"/>
        <w:pageBreakBefore w:val="0"/>
        <w:kinsoku/>
        <w:wordWrap/>
        <w:overflowPunct/>
        <w:autoSpaceDE/>
        <w:autoSpaceDN/>
        <w:bidi w:val="0"/>
        <w:spacing w:line="240" w:lineRule="auto"/>
        <w:ind w:firstLine="0" w:firstLineChars="0"/>
        <w:jc w:val="center"/>
        <w:rPr>
          <w:rFonts w:hint="eastAsia" w:ascii="Times New Roman" w:hAnsi="Times New Roman" w:eastAsia="宋体" w:cs="Times New Roman"/>
          <w:color w:val="auto"/>
          <w:highlight w:val="none"/>
          <w:lang w:eastAsia="zh-CN"/>
        </w:rPr>
      </w:pPr>
      <w:r>
        <w:rPr>
          <w:rFonts w:ascii="Times New Roman" w:hAnsi="Times New Roman" w:eastAsia="宋体" w:cs="Times New Roman"/>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4508500</wp:posOffset>
                </wp:positionH>
                <wp:positionV relativeFrom="paragraph">
                  <wp:posOffset>1670050</wp:posOffset>
                </wp:positionV>
                <wp:extent cx="1313815" cy="321310"/>
                <wp:effectExtent l="12700" t="12700" r="26035" b="142240"/>
                <wp:wrapNone/>
                <wp:docPr id="34" name="矩形标注 34"/>
                <wp:cNvGraphicFramePr/>
                <a:graphic xmlns:a="http://schemas.openxmlformats.org/drawingml/2006/main">
                  <a:graphicData uri="http://schemas.microsoft.com/office/word/2010/wordprocessingShape">
                    <wps:wsp>
                      <wps:cNvSpPr/>
                      <wps:spPr>
                        <a:xfrm>
                          <a:off x="0" y="0"/>
                          <a:ext cx="1313815" cy="321310"/>
                        </a:xfrm>
                        <a:prstGeom prst="wedgeRectCallout">
                          <a:avLst>
                            <a:gd name="adj1" fmla="val -4681"/>
                            <a:gd name="adj2" fmla="val 85250"/>
                          </a:avLst>
                        </a:prstGeom>
                        <a:solidFill>
                          <a:srgbClr val="FFFFFF"/>
                        </a:solidFill>
                        <a:ln w="25400" cap="flat" cmpd="sng">
                          <a:solidFill>
                            <a:srgbClr val="1C334E"/>
                          </a:solidFill>
                          <a:prstDash val="solid"/>
                          <a:round/>
                          <a:headEnd type="none" w="med" len="med"/>
                          <a:tailEnd type="none" w="med" len="med"/>
                        </a:ln>
                        <a:effectLst/>
                      </wps:spPr>
                      <wps:txbx>
                        <w:txbxContent>
                          <w:p w14:paraId="20B7A303">
                            <w:pPr>
                              <w:ind w:left="0" w:leftChars="0" w:firstLine="0" w:firstLineChars="0"/>
                              <w:jc w:val="both"/>
                              <w:rPr>
                                <w:rFonts w:hint="eastAsia"/>
                                <w:b/>
                                <w:bCs/>
                                <w:color w:val="0000FF"/>
                              </w:rPr>
                            </w:pPr>
                            <w:r>
                              <w:rPr>
                                <w:rFonts w:hint="eastAsia"/>
                                <w:b/>
                                <w:bCs/>
                                <w:color w:val="auto"/>
                              </w:rPr>
                              <w:t>本项目所在位置</w:t>
                            </w:r>
                          </w:p>
                        </w:txbxContent>
                      </wps:txbx>
                      <wps:bodyPr anchor="ctr" anchorCtr="0" upright="1"/>
                    </wps:wsp>
                  </a:graphicData>
                </a:graphic>
              </wp:anchor>
            </w:drawing>
          </mc:Choice>
          <mc:Fallback>
            <w:pict>
              <v:shape id="_x0000_s1026" o:spid="_x0000_s1026" o:spt="61" type="#_x0000_t61" style="position:absolute;left:0pt;margin-left:355pt;margin-top:131.5pt;height:25.3pt;width:103.45pt;z-index:251665408;v-text-anchor:middle;mso-width-relative:page;mso-height-relative:page;" fillcolor="#FFFFFF" filled="t" stroked="t" coordsize="21600,21600" o:gfxdata="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sUlTv3AAAAAsB&#10;AAAPAAAAAAAAAAEAIAAAACIAAABkcnMvZG93bnJldi54bWxQSwECFAAUAAAACACHTuJAcRFr01AC&#10;AAC4BAAADgAAAAAAAAABACAAAAArAQAAZHJzL2Uyb0RvYy54bWxQSwUGAAAAAAYABgBZAQAA7QUA&#10;AAAA&#10;" adj="9789,29214">
                <v:fill on="t" focussize="0,0"/>
                <v:stroke weight="2pt" color="#1C334E" joinstyle="round"/>
                <v:imagedata o:title=""/>
                <o:lock v:ext="edit" aspectratio="f"/>
                <v:textbox>
                  <w:txbxContent>
                    <w:p w14:paraId="20B7A303">
                      <w:pPr>
                        <w:ind w:left="0" w:leftChars="0" w:firstLine="0" w:firstLineChars="0"/>
                        <w:jc w:val="both"/>
                        <w:rPr>
                          <w:rFonts w:hint="eastAsia"/>
                          <w:b/>
                          <w:bCs/>
                          <w:color w:val="0000FF"/>
                        </w:rPr>
                      </w:pPr>
                      <w:r>
                        <w:rPr>
                          <w:rFonts w:hint="eastAsia"/>
                          <w:b/>
                          <w:bCs/>
                          <w:color w:val="auto"/>
                        </w:rPr>
                        <w:t>本项目所在位置</w:t>
                      </w:r>
                    </w:p>
                  </w:txbxContent>
                </v:textbox>
              </v:shape>
            </w:pict>
          </mc:Fallback>
        </mc:AlternateContent>
      </w:r>
      <w:r>
        <w:rPr>
          <w:rFonts w:hint="eastAsia" w:ascii="Times New Roman" w:hAnsi="Times New Roman" w:eastAsia="宋体" w:cs="Times New Roman"/>
          <w:color w:val="auto"/>
          <w:highlight w:val="none"/>
          <w:lang w:eastAsia="zh-CN"/>
        </w:rPr>
        <w:drawing>
          <wp:inline distT="0" distB="0" distL="114300" distR="114300">
            <wp:extent cx="7334250" cy="5181600"/>
            <wp:effectExtent l="0" t="0" r="0" b="0"/>
            <wp:docPr id="28" name="图片 28" descr="7d6a3077798fad6d1f0b8fa0ff2da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7d6a3077798fad6d1f0b8fa0ff2dab0"/>
                    <pic:cNvPicPr>
                      <a:picLocks noChangeAspect="1"/>
                    </pic:cNvPicPr>
                  </pic:nvPicPr>
                  <pic:blipFill>
                    <a:blip r:embed="rId50"/>
                    <a:stretch>
                      <a:fillRect/>
                    </a:stretch>
                  </pic:blipFill>
                  <pic:spPr>
                    <a:xfrm>
                      <a:off x="0" y="0"/>
                      <a:ext cx="7334250" cy="5181600"/>
                    </a:xfrm>
                    <a:prstGeom prst="rect">
                      <a:avLst/>
                    </a:prstGeom>
                  </pic:spPr>
                </pic:pic>
              </a:graphicData>
            </a:graphic>
          </wp:inline>
        </w:drawing>
      </w:r>
    </w:p>
    <w:p w14:paraId="1C88B912">
      <w:pPr>
        <w:pStyle w:val="2"/>
        <w:bidi w:val="0"/>
        <w:spacing w:line="240" w:lineRule="auto"/>
        <w:jc w:val="center"/>
        <w:rPr>
          <w:rFonts w:hint="eastAsia" w:ascii="Times New Roman" w:hAnsi="Times New Roman" w:eastAsia="宋体" w:cs="Times New Roman"/>
          <w:color w:val="auto"/>
          <w:sz w:val="24"/>
          <w:szCs w:val="24"/>
          <w:highlight w:val="none"/>
        </w:rPr>
        <w:sectPr>
          <w:pgSz w:w="16838" w:h="11906" w:orient="landscape"/>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r>
        <w:rPr>
          <w:rFonts w:hint="eastAsia" w:ascii="Times New Roman" w:hAnsi="Times New Roman" w:eastAsia="宋体" w:cs="Times New Roman"/>
          <w:color w:val="auto"/>
          <w:sz w:val="24"/>
          <w:szCs w:val="24"/>
          <w:highlight w:val="none"/>
        </w:rPr>
        <w:t>附图2</w:t>
      </w:r>
      <w:r>
        <w:rPr>
          <w:rFonts w:hint="eastAsia" w:ascii="Times New Roman" w:hAnsi="Times New Roman" w:eastAsia="宋体"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rPr>
        <w:t>项目三线一单分区管控图</w:t>
      </w:r>
    </w:p>
    <w:p w14:paraId="1C99921A">
      <w:pPr>
        <w:bidi w:val="0"/>
        <w:ind w:left="0" w:leftChars="0" w:firstLine="0" w:firstLineChars="0"/>
        <w:jc w:val="center"/>
        <w:rPr>
          <w:rFonts w:hint="eastAsia" w:eastAsia="宋体"/>
          <w:color w:val="auto"/>
          <w:highlight w:val="none"/>
          <w:lang w:eastAsia="zh-CN"/>
        </w:rPr>
      </w:pPr>
      <w:r>
        <w:rPr>
          <w:rFonts w:hint="eastAsia" w:ascii="Times New Roman" w:hAnsi="Times New Roman" w:eastAsia="宋体" w:cs="Times New Roman"/>
          <w:b/>
          <w:bCs/>
          <w:snapToGrid w:val="0"/>
          <w:color w:val="auto"/>
          <w:kern w:val="0"/>
          <w:sz w:val="24"/>
          <w:szCs w:val="24"/>
          <w:highlight w:val="none"/>
          <w:lang w:eastAsia="zh-CN"/>
        </w:rPr>
        <w:drawing>
          <wp:anchor distT="0" distB="0" distL="114300" distR="114300" simplePos="0" relativeHeight="251671552" behindDoc="0" locked="0" layoutInCell="1" allowOverlap="1">
            <wp:simplePos x="0" y="0"/>
            <wp:positionH relativeFrom="column">
              <wp:posOffset>7875270</wp:posOffset>
            </wp:positionH>
            <wp:positionV relativeFrom="paragraph">
              <wp:posOffset>197485</wp:posOffset>
            </wp:positionV>
            <wp:extent cx="574040" cy="1038860"/>
            <wp:effectExtent l="270510" t="60960" r="279400" b="62230"/>
            <wp:wrapNone/>
            <wp:docPr id="66" name="图片 3" descr="44dd3fb2a27f3fe067faf2f525d4a73"/>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cbd96f26-3608-4507-ad58-dae6ed4fb289}"/>
                  </s:tag>
                </a:ext>
              </a:extLst>
            </wp:cNvGraphicFramePr>
            <a:graphic xmlns:a="http://schemas.openxmlformats.org/drawingml/2006/main">
              <a:graphicData uri="http://schemas.openxmlformats.org/drawingml/2006/picture">
                <pic:pic xmlns:pic="http://schemas.openxmlformats.org/drawingml/2006/picture">
                  <pic:nvPicPr>
                    <pic:cNvPr id="66" name="图片 3" descr="44dd3fb2a27f3fe067faf2f525d4a73"/>
                    <pic:cNvPicPr>
                      <a:picLocks noChangeAspect="1"/>
                    </pic:cNvPicPr>
                  </pic:nvPicPr>
                  <pic:blipFill>
                    <a:blip r:embed="rId48"/>
                    <a:srcRect l="8888" r="31250"/>
                    <a:stretch>
                      <a:fillRect/>
                    </a:stretch>
                  </pic:blipFill>
                  <pic:spPr>
                    <a:xfrm rot="8340000">
                      <a:off x="0" y="0"/>
                      <a:ext cx="574040" cy="1038860"/>
                    </a:xfrm>
                    <a:prstGeom prst="rect">
                      <a:avLst/>
                    </a:prstGeom>
                    <a:noFill/>
                    <a:ln>
                      <a:noFill/>
                    </a:ln>
                  </pic:spPr>
                </pic:pic>
              </a:graphicData>
            </a:graphic>
          </wp:anchor>
        </w:drawing>
      </w:r>
      <w:r>
        <w:rPr>
          <w:color w:val="auto"/>
          <w:highlight w:val="none"/>
        </w:rPr>
        <w:drawing>
          <wp:inline distT="0" distB="0" distL="114300" distR="114300">
            <wp:extent cx="8742045" cy="4956175"/>
            <wp:effectExtent l="0" t="0" r="1905" b="15875"/>
            <wp:docPr id="1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8"/>
                    <pic:cNvPicPr>
                      <a:picLocks noChangeAspect="1"/>
                    </pic:cNvPicPr>
                  </pic:nvPicPr>
                  <pic:blipFill>
                    <a:blip r:embed="rId51"/>
                    <a:stretch>
                      <a:fillRect/>
                    </a:stretch>
                  </pic:blipFill>
                  <pic:spPr>
                    <a:xfrm>
                      <a:off x="0" y="0"/>
                      <a:ext cx="8742045" cy="4956175"/>
                    </a:xfrm>
                    <a:prstGeom prst="rect">
                      <a:avLst/>
                    </a:prstGeom>
                    <a:noFill/>
                    <a:ln>
                      <a:noFill/>
                    </a:ln>
                  </pic:spPr>
                </pic:pic>
              </a:graphicData>
            </a:graphic>
          </wp:inline>
        </w:drawing>
      </w:r>
    </w:p>
    <w:p w14:paraId="44F9735A">
      <w:pPr>
        <w:pStyle w:val="2"/>
        <w:bidi w:val="0"/>
        <w:spacing w:line="240" w:lineRule="auto"/>
        <w:jc w:val="center"/>
        <w:rPr>
          <w:rFonts w:hint="eastAsia" w:ascii="Times New Roman" w:hAnsi="Times New Roman" w:eastAsia="宋体" w:cs="Times New Roman"/>
          <w:color w:val="auto"/>
          <w:sz w:val="24"/>
          <w:szCs w:val="24"/>
          <w:highlight w:val="none"/>
        </w:rPr>
        <w:sectPr>
          <w:pgSz w:w="16838" w:h="11906" w:orient="landscape"/>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r>
        <w:rPr>
          <w:rFonts w:hint="eastAsia" w:ascii="Times New Roman" w:hAnsi="Times New Roman" w:eastAsia="宋体" w:cs="Times New Roman"/>
          <w:color w:val="auto"/>
          <w:sz w:val="24"/>
          <w:szCs w:val="24"/>
          <w:highlight w:val="none"/>
        </w:rPr>
        <w:t>附图</w:t>
      </w:r>
      <w:r>
        <w:rPr>
          <w:rFonts w:hint="eastAsia" w:ascii="Times New Roman" w:hAnsi="Times New Roman" w:eastAsia="宋体" w:cs="Times New Roman"/>
          <w:color w:val="auto"/>
          <w:sz w:val="24"/>
          <w:szCs w:val="24"/>
          <w:highlight w:val="none"/>
          <w:lang w:val="en-US" w:eastAsia="zh-CN"/>
        </w:rPr>
        <w:t xml:space="preserve">3  </w:t>
      </w:r>
      <w:r>
        <w:rPr>
          <w:rFonts w:hint="eastAsia" w:ascii="Times New Roman" w:hAnsi="Times New Roman" w:eastAsia="宋体" w:cs="Times New Roman"/>
          <w:color w:val="auto"/>
          <w:sz w:val="24"/>
          <w:szCs w:val="24"/>
          <w:highlight w:val="none"/>
        </w:rPr>
        <w:t>项目</w:t>
      </w:r>
      <w:r>
        <w:rPr>
          <w:rFonts w:hint="eastAsia" w:eastAsia="宋体" w:cs="Times New Roman"/>
          <w:color w:val="auto"/>
          <w:sz w:val="24"/>
          <w:szCs w:val="24"/>
          <w:highlight w:val="none"/>
          <w:lang w:eastAsia="zh-CN"/>
        </w:rPr>
        <w:t>危险废物贮存点</w:t>
      </w:r>
      <w:r>
        <w:rPr>
          <w:rFonts w:hint="eastAsia" w:ascii="Times New Roman" w:hAnsi="Times New Roman" w:eastAsia="宋体" w:cs="Times New Roman"/>
          <w:color w:val="auto"/>
          <w:sz w:val="24"/>
          <w:szCs w:val="24"/>
          <w:highlight w:val="none"/>
        </w:rPr>
        <w:t>平面布置图</w:t>
      </w:r>
    </w:p>
    <w:p w14:paraId="5FE9FD48">
      <w:pPr>
        <w:bidi w:val="0"/>
        <w:ind w:left="0" w:leftChars="0" w:firstLine="0" w:firstLineChars="0"/>
        <w:jc w:val="center"/>
        <w:rPr>
          <w:color w:val="auto"/>
          <w:highlight w:val="none"/>
        </w:rPr>
      </w:pPr>
      <w:r>
        <w:rPr>
          <w:rFonts w:hint="eastAsia" w:ascii="Times New Roman" w:hAnsi="Times New Roman" w:eastAsia="宋体" w:cs="Times New Roman"/>
          <w:b/>
          <w:bCs/>
          <w:snapToGrid w:val="0"/>
          <w:color w:val="auto"/>
          <w:kern w:val="0"/>
          <w:sz w:val="24"/>
          <w:szCs w:val="24"/>
          <w:highlight w:val="none"/>
          <w:lang w:eastAsia="zh-CN"/>
        </w:rPr>
        <w:drawing>
          <wp:anchor distT="0" distB="0" distL="114300" distR="114300" simplePos="0" relativeHeight="251672576" behindDoc="0" locked="0" layoutInCell="1" allowOverlap="1">
            <wp:simplePos x="0" y="0"/>
            <wp:positionH relativeFrom="column">
              <wp:posOffset>7637145</wp:posOffset>
            </wp:positionH>
            <wp:positionV relativeFrom="paragraph">
              <wp:posOffset>111760</wp:posOffset>
            </wp:positionV>
            <wp:extent cx="574040" cy="1038860"/>
            <wp:effectExtent l="270510" t="60960" r="279400" b="62230"/>
            <wp:wrapNone/>
            <wp:docPr id="12" name="图片 3" descr="44dd3fb2a27f3fe067faf2f525d4a73"/>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cbd96f26-3608-4507-ad58-dae6ed4fb289}"/>
                  </s:tag>
                </a:ext>
              </a:extLst>
            </wp:cNvGraphicFramePr>
            <a:graphic xmlns:a="http://schemas.openxmlformats.org/drawingml/2006/main">
              <a:graphicData uri="http://schemas.openxmlformats.org/drawingml/2006/picture">
                <pic:pic xmlns:pic="http://schemas.openxmlformats.org/drawingml/2006/picture">
                  <pic:nvPicPr>
                    <pic:cNvPr id="12" name="图片 3" descr="44dd3fb2a27f3fe067faf2f525d4a73"/>
                    <pic:cNvPicPr>
                      <a:picLocks noChangeAspect="1"/>
                    </pic:cNvPicPr>
                  </pic:nvPicPr>
                  <pic:blipFill>
                    <a:blip r:embed="rId48"/>
                    <a:srcRect l="8888" r="31250"/>
                    <a:stretch>
                      <a:fillRect/>
                    </a:stretch>
                  </pic:blipFill>
                  <pic:spPr>
                    <a:xfrm rot="8340000">
                      <a:off x="0" y="0"/>
                      <a:ext cx="574040" cy="1038860"/>
                    </a:xfrm>
                    <a:prstGeom prst="rect">
                      <a:avLst/>
                    </a:prstGeom>
                    <a:noFill/>
                    <a:ln>
                      <a:noFill/>
                    </a:ln>
                  </pic:spPr>
                </pic:pic>
              </a:graphicData>
            </a:graphic>
          </wp:anchor>
        </w:drawing>
      </w:r>
      <w:r>
        <w:rPr>
          <w:color w:val="auto"/>
          <w:highlight w:val="none"/>
        </w:rPr>
        <w:drawing>
          <wp:inline distT="0" distB="0" distL="114300" distR="114300">
            <wp:extent cx="8387080" cy="5107940"/>
            <wp:effectExtent l="0" t="0" r="13970" b="16510"/>
            <wp:docPr id="1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9"/>
                    <pic:cNvPicPr>
                      <a:picLocks noChangeAspect="1"/>
                    </pic:cNvPicPr>
                  </pic:nvPicPr>
                  <pic:blipFill>
                    <a:blip r:embed="rId52"/>
                    <a:stretch>
                      <a:fillRect/>
                    </a:stretch>
                  </pic:blipFill>
                  <pic:spPr>
                    <a:xfrm>
                      <a:off x="0" y="0"/>
                      <a:ext cx="8387080" cy="5107940"/>
                    </a:xfrm>
                    <a:prstGeom prst="rect">
                      <a:avLst/>
                    </a:prstGeom>
                    <a:noFill/>
                    <a:ln>
                      <a:noFill/>
                    </a:ln>
                  </pic:spPr>
                </pic:pic>
              </a:graphicData>
            </a:graphic>
          </wp:inline>
        </w:drawing>
      </w:r>
    </w:p>
    <w:p w14:paraId="00933F5C">
      <w:pPr>
        <w:pStyle w:val="2"/>
        <w:bidi w:val="0"/>
        <w:spacing w:line="240" w:lineRule="auto"/>
        <w:jc w:val="center"/>
        <w:rPr>
          <w:rFonts w:hint="eastAsia" w:ascii="Times New Roman" w:hAnsi="Times New Roman" w:eastAsia="宋体" w:cs="Times New Roman"/>
          <w:color w:val="auto"/>
          <w:sz w:val="24"/>
          <w:szCs w:val="24"/>
          <w:highlight w:val="none"/>
        </w:rPr>
        <w:sectPr>
          <w:pgSz w:w="16838" w:h="11906" w:orient="landscape"/>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r>
        <w:rPr>
          <w:rFonts w:hint="eastAsia" w:ascii="Times New Roman" w:hAnsi="Times New Roman" w:eastAsia="宋体" w:cs="Times New Roman"/>
          <w:color w:val="auto"/>
          <w:sz w:val="24"/>
          <w:szCs w:val="24"/>
          <w:highlight w:val="none"/>
        </w:rPr>
        <w:t>附图</w:t>
      </w:r>
      <w:r>
        <w:rPr>
          <w:rFonts w:hint="eastAsia"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rPr>
        <w:t>分区防渗图</w:t>
      </w:r>
    </w:p>
    <w:p w14:paraId="4B446D37">
      <w:pPr>
        <w:keepNext w:val="0"/>
        <w:keepLines w:val="0"/>
        <w:pageBreakBefore w:val="0"/>
        <w:kinsoku/>
        <w:wordWrap/>
        <w:overflowPunct/>
        <w:autoSpaceDE/>
        <w:autoSpaceDN/>
        <w:bidi w:val="0"/>
        <w:spacing w:line="240" w:lineRule="auto"/>
        <w:ind w:firstLine="0" w:firstLineChars="0"/>
        <w:jc w:val="center"/>
        <w:rPr>
          <w:rFonts w:hint="eastAsia" w:ascii="Times New Roman" w:hAnsi="Times New Roman" w:eastAsia="宋体" w:cs="Times New Roman"/>
          <w:color w:val="auto"/>
          <w:highlight w:val="none"/>
          <w:lang w:eastAsia="zh-CN"/>
        </w:rPr>
      </w:pPr>
      <w:r>
        <w:rPr>
          <w:color w:val="auto"/>
          <w:highlight w:val="none"/>
        </w:rPr>
        <w:drawing>
          <wp:inline distT="0" distB="0" distL="114300" distR="114300">
            <wp:extent cx="8743950" cy="4999990"/>
            <wp:effectExtent l="0" t="0" r="0" b="10160"/>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53"/>
                    <a:stretch>
                      <a:fillRect/>
                    </a:stretch>
                  </pic:blipFill>
                  <pic:spPr>
                    <a:xfrm>
                      <a:off x="0" y="0"/>
                      <a:ext cx="8743950" cy="4999990"/>
                    </a:xfrm>
                    <a:prstGeom prst="rect">
                      <a:avLst/>
                    </a:prstGeom>
                    <a:noFill/>
                    <a:ln>
                      <a:noFill/>
                    </a:ln>
                  </pic:spPr>
                </pic:pic>
              </a:graphicData>
            </a:graphic>
          </wp:inline>
        </w:drawing>
      </w:r>
    </w:p>
    <w:p w14:paraId="51A8BEF2">
      <w:pPr>
        <w:pStyle w:val="2"/>
        <w:bidi w:val="0"/>
        <w:jc w:val="center"/>
        <w:rPr>
          <w:color w:val="auto"/>
          <w:highlight w:val="none"/>
        </w:rPr>
        <w:sectPr>
          <w:pgSz w:w="16838" w:h="11906" w:orient="landscape"/>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pPr>
      <w:r>
        <w:rPr>
          <w:rFonts w:hint="eastAsia" w:ascii="Times New Roman" w:hAnsi="Times New Roman" w:eastAsia="宋体" w:cs="Times New Roman"/>
          <w:color w:val="auto"/>
          <w:sz w:val="24"/>
          <w:szCs w:val="24"/>
          <w:highlight w:val="none"/>
        </w:rPr>
        <w:t>附图</w:t>
      </w:r>
      <w:r>
        <w:rPr>
          <w:rFonts w:hint="eastAsia"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rPr>
        <w:t>监测点位图</w:t>
      </w:r>
    </w:p>
    <w:p w14:paraId="0EF38E0E">
      <w:pPr>
        <w:bidi w:val="0"/>
        <w:ind w:left="0" w:leftChars="0" w:firstLine="0" w:firstLineChars="0"/>
        <w:jc w:val="center"/>
        <w:rPr>
          <w:rFonts w:hint="eastAsia"/>
          <w:color w:val="auto"/>
          <w:highlight w:val="none"/>
          <w:lang w:eastAsia="zh-CN"/>
        </w:rPr>
      </w:pPr>
      <w:r>
        <w:rPr>
          <w:color w:val="auto"/>
          <w:highlight w:val="none"/>
        </w:rPr>
        <w:drawing>
          <wp:inline distT="0" distB="0" distL="114300" distR="114300">
            <wp:extent cx="8503285" cy="4854575"/>
            <wp:effectExtent l="0" t="0" r="12065" b="3175"/>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54"/>
                    <a:stretch>
                      <a:fillRect/>
                    </a:stretch>
                  </pic:blipFill>
                  <pic:spPr>
                    <a:xfrm>
                      <a:off x="0" y="0"/>
                      <a:ext cx="8503285" cy="4854575"/>
                    </a:xfrm>
                    <a:prstGeom prst="rect">
                      <a:avLst/>
                    </a:prstGeom>
                    <a:noFill/>
                    <a:ln>
                      <a:noFill/>
                    </a:ln>
                  </pic:spPr>
                </pic:pic>
              </a:graphicData>
            </a:graphic>
          </wp:inline>
        </w:drawing>
      </w:r>
    </w:p>
    <w:p w14:paraId="0D594371">
      <w:pPr>
        <w:pStyle w:val="2"/>
        <w:bidi w:val="0"/>
        <w:spacing w:line="240" w:lineRule="auto"/>
        <w:jc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附图</w:t>
      </w:r>
      <w:r>
        <w:rPr>
          <w:rFonts w:hint="eastAsia" w:eastAsia="宋体" w:cs="Times New Roman"/>
          <w:color w:val="auto"/>
          <w:sz w:val="24"/>
          <w:szCs w:val="24"/>
          <w:highlight w:val="none"/>
          <w:lang w:val="en-US" w:eastAsia="zh-CN"/>
        </w:rPr>
        <w:t>6</w:t>
      </w:r>
      <w:r>
        <w:rPr>
          <w:rFonts w:hint="eastAsia" w:ascii="Times New Roman" w:hAnsi="Times New Roman" w:eastAsia="宋体" w:cs="Times New Roman"/>
          <w:color w:val="auto"/>
          <w:sz w:val="24"/>
          <w:szCs w:val="24"/>
          <w:highlight w:val="none"/>
          <w:lang w:val="en-US" w:eastAsia="zh-CN"/>
        </w:rPr>
        <w:t xml:space="preserve">  跟踪点位图</w:t>
      </w:r>
    </w:p>
    <w:p w14:paraId="5EC53795">
      <w:pPr>
        <w:rPr>
          <w:rFonts w:hint="eastAsia"/>
          <w:color w:val="auto"/>
          <w:highlight w:val="none"/>
          <w:lang w:val="en-US" w:eastAsia="zh-CN"/>
          <w14:textOutline w14:w="9525">
            <w14:solidFill>
              <w14:srgbClr w14:val="FFFF00"/>
            </w14:solidFill>
            <w14:round/>
          </w14:textOutline>
        </w:rPr>
      </w:pPr>
    </w:p>
    <w:p w14:paraId="4B442E57">
      <w:pPr>
        <w:bidi w:val="0"/>
        <w:ind w:left="0" w:leftChars="0" w:firstLine="0" w:firstLineChars="0"/>
        <w:jc w:val="center"/>
        <w:rPr>
          <w:rFonts w:hint="eastAsia"/>
          <w:color w:val="auto"/>
          <w:highlight w:val="none"/>
          <w:lang w:val="en-US" w:eastAsia="zh-CN"/>
        </w:rPr>
      </w:pPr>
      <w:r>
        <w:rPr>
          <w:color w:val="auto"/>
          <w:sz w:val="28"/>
          <w:highlight w:val="none"/>
        </w:rPr>
        <mc:AlternateContent>
          <mc:Choice Requires="wps">
            <w:drawing>
              <wp:anchor distT="0" distB="0" distL="114300" distR="114300" simplePos="0" relativeHeight="251668480" behindDoc="0" locked="0" layoutInCell="1" allowOverlap="1">
                <wp:simplePos x="0" y="0"/>
                <wp:positionH relativeFrom="column">
                  <wp:posOffset>7506335</wp:posOffset>
                </wp:positionH>
                <wp:positionV relativeFrom="paragraph">
                  <wp:posOffset>4612640</wp:posOffset>
                </wp:positionV>
                <wp:extent cx="200025" cy="152400"/>
                <wp:effectExtent l="9525" t="9525" r="19050" b="9525"/>
                <wp:wrapNone/>
                <wp:docPr id="54" name="矩形 54"/>
                <wp:cNvGraphicFramePr/>
                <a:graphic xmlns:a="http://schemas.openxmlformats.org/drawingml/2006/main">
                  <a:graphicData uri="http://schemas.microsoft.com/office/word/2010/wordprocessingShape">
                    <wps:wsp>
                      <wps:cNvSpPr/>
                      <wps:spPr>
                        <a:xfrm>
                          <a:off x="0" y="0"/>
                          <a:ext cx="200025" cy="15240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1.05pt;margin-top:363.2pt;height:12pt;width:15.75pt;z-index:251668480;v-text-anchor:middle;mso-width-relative:page;mso-height-relative:page;" filled="f" stroked="t" coordsize="21600,21600" o:gfxdata="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HUxPd/aAAAADQEAAA8AAAAAAAAAAQAgAAAAIgAAAGRycy9kb3ducmV2LnhtbFBLAQIUABQAAAAI&#10;AIdO4kBcOAcQXQIAALUEAAAOAAAAAAAAAAEAIAAAACkBAABkcnMvZTJvRG9jLnhtbFBLBQYAAAAA&#10;BgAGAFkBAAD4BQAAAAA=&#10;">
                <v:fill on="f" focussize="0,0"/>
                <v:stroke weight="1.5pt" color="#FF0000 [2404]" joinstyle="round"/>
                <v:imagedata o:title=""/>
                <o:lock v:ext="edit" aspectratio="f"/>
              </v:rect>
            </w:pict>
          </mc:Fallback>
        </mc:AlternateContent>
      </w:r>
      <w:r>
        <w:rPr>
          <w:color w:val="auto"/>
          <w:sz w:val="28"/>
          <w:highlight w:val="none"/>
        </w:rPr>
        <mc:AlternateContent>
          <mc:Choice Requires="wps">
            <w:drawing>
              <wp:anchor distT="0" distB="0" distL="114300" distR="114300" simplePos="0" relativeHeight="251669504" behindDoc="0" locked="0" layoutInCell="1" allowOverlap="1">
                <wp:simplePos x="0" y="0"/>
                <wp:positionH relativeFrom="column">
                  <wp:posOffset>7502525</wp:posOffset>
                </wp:positionH>
                <wp:positionV relativeFrom="paragraph">
                  <wp:posOffset>4401820</wp:posOffset>
                </wp:positionV>
                <wp:extent cx="200025" cy="152400"/>
                <wp:effectExtent l="9525" t="9525" r="19050" b="9525"/>
                <wp:wrapNone/>
                <wp:docPr id="53" name="矩形 53"/>
                <wp:cNvGraphicFramePr/>
                <a:graphic xmlns:a="http://schemas.openxmlformats.org/drawingml/2006/main">
                  <a:graphicData uri="http://schemas.microsoft.com/office/word/2010/wordprocessingShape">
                    <wps:wsp>
                      <wps:cNvSpPr/>
                      <wps:spPr>
                        <a:xfrm>
                          <a:off x="0" y="0"/>
                          <a:ext cx="200025" cy="152400"/>
                        </a:xfrm>
                        <a:prstGeom prst="rect">
                          <a:avLst/>
                        </a:prstGeom>
                        <a:noFill/>
                        <a:ln w="19050">
                          <a:solidFill>
                            <a:srgbClr val="0000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0.75pt;margin-top:346.6pt;height:12pt;width:15.75pt;z-index:251669504;v-text-anchor:middle;mso-width-relative:page;mso-height-relative:page;" filled="f" stroked="t" coordsize="21600,21600" o:gfxdata="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OgCY/9wAAAANAQAADwAAAAAAAAABACAAAAAiAAAAZHJzL2Rvd25yZXYueG1sUEsBAhQAFAAA&#10;AAgAh07iQDEX/fBdAgAAtQQAAA4AAAAAAAAAAQAgAAAAKwEAAGRycy9lMm9Eb2MueG1sUEsFBgAA&#10;AAAGAAYAWQEAAPoFAAAAAA==&#10;">
                <v:fill on="f" focussize="0,0"/>
                <v:stroke weight="1.5pt" color="#0000FF [2404]" joinstyle="round"/>
                <v:imagedata o:title=""/>
                <o:lock v:ext="edit" aspectratio="f"/>
              </v:rect>
            </w:pict>
          </mc:Fallback>
        </mc:AlternateContent>
      </w:r>
      <w:r>
        <w:rPr>
          <w:rFonts w:hint="eastAsia" w:ascii="Times New Roman" w:hAnsi="Times New Roman" w:eastAsia="宋体" w:cs="Times New Roman"/>
          <w:b/>
          <w:bCs/>
          <w:snapToGrid w:val="0"/>
          <w:color w:val="auto"/>
          <w:kern w:val="0"/>
          <w:sz w:val="24"/>
          <w:szCs w:val="24"/>
          <w:highlight w:val="none"/>
          <w:lang w:eastAsia="zh-CN"/>
        </w:rPr>
        <w:drawing>
          <wp:anchor distT="0" distB="0" distL="114300" distR="114300" simplePos="0" relativeHeight="251666432" behindDoc="0" locked="0" layoutInCell="1" allowOverlap="1">
            <wp:simplePos x="0" y="0"/>
            <wp:positionH relativeFrom="column">
              <wp:posOffset>8173720</wp:posOffset>
            </wp:positionH>
            <wp:positionV relativeFrom="paragraph">
              <wp:posOffset>11430</wp:posOffset>
            </wp:positionV>
            <wp:extent cx="552450" cy="990600"/>
            <wp:effectExtent l="0" t="0" r="0" b="0"/>
            <wp:wrapNone/>
            <wp:docPr id="51" name="图片 20" descr="172862403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descr="1728624032097"/>
                    <pic:cNvPicPr>
                      <a:picLocks noChangeAspect="1"/>
                    </pic:cNvPicPr>
                  </pic:nvPicPr>
                  <pic:blipFill>
                    <a:blip r:embed="rId55"/>
                    <a:stretch>
                      <a:fillRect/>
                    </a:stretch>
                  </pic:blipFill>
                  <pic:spPr>
                    <a:xfrm>
                      <a:off x="0" y="0"/>
                      <a:ext cx="552450" cy="990600"/>
                    </a:xfrm>
                    <a:prstGeom prst="rect">
                      <a:avLst/>
                    </a:prstGeom>
                    <a:noFill/>
                    <a:ln>
                      <a:noFill/>
                    </a:ln>
                  </pic:spPr>
                </pic:pic>
              </a:graphicData>
            </a:graphic>
          </wp:anchor>
        </w:drawing>
      </w:r>
      <w:r>
        <w:rPr>
          <w:rFonts w:hint="eastAsia" w:ascii="宋体" w:hAnsi="宋体" w:eastAsia="宋体" w:cs="宋体"/>
          <w:color w:val="auto"/>
          <w:sz w:val="28"/>
          <w:highlight w:val="none"/>
          <w:u w:val="none"/>
        </w:rPr>
        <mc:AlternateContent>
          <mc:Choice Requires="wps">
            <w:drawing>
              <wp:anchor distT="0" distB="0" distL="114300" distR="114300" simplePos="0" relativeHeight="251667456" behindDoc="0" locked="0" layoutInCell="1" allowOverlap="1">
                <wp:simplePos x="0" y="0"/>
                <wp:positionH relativeFrom="column">
                  <wp:posOffset>7387590</wp:posOffset>
                </wp:positionH>
                <wp:positionV relativeFrom="paragraph">
                  <wp:posOffset>4122420</wp:posOffset>
                </wp:positionV>
                <wp:extent cx="1339215" cy="911860"/>
                <wp:effectExtent l="4445" t="4445" r="8890" b="17145"/>
                <wp:wrapNone/>
                <wp:docPr id="52" name="矩形 12"/>
                <wp:cNvGraphicFramePr/>
                <a:graphic xmlns:a="http://schemas.openxmlformats.org/drawingml/2006/main">
                  <a:graphicData uri="http://schemas.microsoft.com/office/word/2010/wordprocessingShape">
                    <wps:wsp>
                      <wps:cNvSpPr>
                        <a:spLocks noChangeArrowheads="1"/>
                      </wps:cNvSpPr>
                      <wps:spPr bwMode="auto">
                        <a:xfrm>
                          <a:off x="0" y="0"/>
                          <a:ext cx="1339215" cy="911860"/>
                        </a:xfrm>
                        <a:prstGeom prst="rect">
                          <a:avLst/>
                        </a:prstGeom>
                        <a:solidFill>
                          <a:srgbClr val="FFFFFF"/>
                        </a:solidFill>
                        <a:ln w="9525">
                          <a:solidFill>
                            <a:srgbClr val="000000"/>
                          </a:solidFill>
                          <a:miter lim="800000"/>
                        </a:ln>
                        <a:effectLst/>
                      </wps:spPr>
                      <wps:txbx>
                        <w:txbxContent>
                          <w:p w14:paraId="1AE8796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图例</w:t>
                            </w:r>
                          </w:p>
                          <w:p w14:paraId="47D291EA">
                            <w:pPr>
                              <w:pStyle w:val="5"/>
                              <w:pageBreakBefore w:val="0"/>
                              <w:widowControl w:val="0"/>
                              <w:kinsoku/>
                              <w:wordWrap/>
                              <w:overflowPunct/>
                              <w:topLinePunct w:val="0"/>
                              <w:bidi w:val="0"/>
                              <w:adjustRightInd/>
                              <w:snapToGrid/>
                              <w:spacing w:before="0" w:beforeLines="0" w:after="0" w:afterLines="0" w:line="288" w:lineRule="auto"/>
                              <w:ind w:firstLine="420" w:firstLineChars="0"/>
                              <w:textAlignment w:val="auto"/>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sz w:val="21"/>
                                <w:szCs w:val="21"/>
                                <w:lang w:eastAsia="zh-CN"/>
                              </w:rPr>
                              <w:t>：项目位置</w:t>
                            </w:r>
                            <w:r>
                              <w:rPr>
                                <w:rFonts w:hint="eastAsia" w:ascii="Times New Roman" w:hAnsi="Times New Roman" w:eastAsia="宋体" w:cs="Times New Roman"/>
                                <w:b w:val="0"/>
                                <w:bCs/>
                                <w:sz w:val="21"/>
                                <w:szCs w:val="21"/>
                                <w:lang w:eastAsia="zh-CN"/>
                              </w:rPr>
                              <w:br w:type="textWrapping"/>
                            </w:r>
                            <w:r>
                              <w:rPr>
                                <w:rFonts w:hint="eastAsia" w:ascii="Times New Roman" w:hAnsi="Times New Roman" w:eastAsia="宋体" w:cs="Times New Roman"/>
                                <w:b w:val="0"/>
                                <w:bCs/>
                                <w:sz w:val="21"/>
                                <w:szCs w:val="21"/>
                                <w:lang w:val="en-US" w:eastAsia="zh-CN"/>
                              </w:rPr>
                              <w:tab/>
                            </w:r>
                            <w:r>
                              <w:rPr>
                                <w:rFonts w:hint="eastAsia" w:ascii="Times New Roman" w:hAnsi="Times New Roman" w:eastAsia="宋体" w:cs="Times New Roman"/>
                                <w:b w:val="0"/>
                                <w:bCs/>
                                <w:sz w:val="21"/>
                                <w:szCs w:val="21"/>
                                <w:lang w:val="en-US" w:eastAsia="zh-CN"/>
                              </w:rPr>
                              <w:t>：厂界</w:t>
                            </w:r>
                          </w:p>
                          <w:p w14:paraId="202CB7CD">
                            <w:pPr>
                              <w:keepNext w:val="0"/>
                              <w:keepLines w:val="0"/>
                              <w:pageBreakBefore w:val="0"/>
                              <w:widowControl w:val="0"/>
                              <w:kinsoku/>
                              <w:wordWrap/>
                              <w:overflowPunct/>
                              <w:topLinePunct w:val="0"/>
                              <w:autoSpaceDE/>
                              <w:autoSpaceDN/>
                              <w:bidi w:val="0"/>
                              <w:adjustRightInd/>
                              <w:snapToGrid/>
                              <w:spacing w:line="288" w:lineRule="auto"/>
                              <w:ind w:left="0" w:leftChars="0" w:firstLine="420" w:firstLineChars="0"/>
                              <w:textAlignment w:val="auto"/>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 w:val="21"/>
                                <w:szCs w:val="21"/>
                                <w:lang w:eastAsia="zh-CN"/>
                              </w:rPr>
                              <w:t>：</w:t>
                            </w:r>
                            <w:r>
                              <w:rPr>
                                <w:rFonts w:hint="eastAsia" w:ascii="Times New Roman" w:hAnsi="Times New Roman" w:eastAsia="宋体" w:cs="Times New Roman"/>
                                <w:b w:val="0"/>
                                <w:bCs/>
                                <w:sz w:val="21"/>
                                <w:szCs w:val="21"/>
                                <w:lang w:val="en-US" w:eastAsia="zh-CN"/>
                              </w:rPr>
                              <w:t>运输路线</w:t>
                            </w:r>
                          </w:p>
                        </w:txbxContent>
                      </wps:txbx>
                      <wps:bodyPr rot="0" vert="horz" wrap="square" lIns="91440" tIns="45720" rIns="91440" bIns="45720" anchor="t" anchorCtr="0" upright="1">
                        <a:noAutofit/>
                      </wps:bodyPr>
                    </wps:wsp>
                  </a:graphicData>
                </a:graphic>
              </wp:anchor>
            </w:drawing>
          </mc:Choice>
          <mc:Fallback>
            <w:pict>
              <v:rect id="矩形 12" o:spid="_x0000_s1026" o:spt="1" style="position:absolute;left:0pt;margin-left:581.7pt;margin-top:324.6pt;height:71.8pt;width:105.45pt;z-index:251667456;mso-width-relative:page;mso-height-relative:page;" fillcolor="#FFFFFF" filled="t" stroked="t" coordsize="21600,21600" o:gfxdata="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LZ0NsAAAANAQAADwAAAAAAAAABACAAAAAi&#10;AAAAZHJzL2Rvd25yZXYueG1sUEsBAhQAFAAAAAgAh07iQJlNJ7ZAAgAAigQAAA4AAAAAAAAAAQAg&#10;AAAAKgEAAGRycy9lMm9Eb2MueG1sUEsFBgAAAAAGAAYAWQEAANwFAAAAAA==&#10;">
                <v:fill on="t" focussize="0,0"/>
                <v:stroke color="#000000" miterlimit="8" joinstyle="miter"/>
                <v:imagedata o:title=""/>
                <o:lock v:ext="edit" aspectratio="f"/>
                <v:textbox>
                  <w:txbxContent>
                    <w:p w14:paraId="1AE8796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宋体" w:hAnsi="宋体" w:eastAsia="宋体" w:cs="宋体"/>
                          <w:sz w:val="21"/>
                          <w:szCs w:val="21"/>
                        </w:rPr>
                      </w:pPr>
                      <w:r>
                        <w:rPr>
                          <w:rFonts w:hint="eastAsia" w:ascii="宋体" w:hAnsi="宋体" w:eastAsia="宋体" w:cs="宋体"/>
                          <w:sz w:val="21"/>
                          <w:szCs w:val="21"/>
                        </w:rPr>
                        <w:t>图例</w:t>
                      </w:r>
                    </w:p>
                    <w:p w14:paraId="47D291EA">
                      <w:pPr>
                        <w:pStyle w:val="5"/>
                        <w:pageBreakBefore w:val="0"/>
                        <w:widowControl w:val="0"/>
                        <w:kinsoku/>
                        <w:wordWrap/>
                        <w:overflowPunct/>
                        <w:topLinePunct w:val="0"/>
                        <w:bidi w:val="0"/>
                        <w:adjustRightInd/>
                        <w:snapToGrid/>
                        <w:spacing w:before="0" w:beforeLines="0" w:after="0" w:afterLines="0" w:line="288" w:lineRule="auto"/>
                        <w:ind w:firstLine="420" w:firstLineChars="0"/>
                        <w:textAlignment w:val="auto"/>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sz w:val="21"/>
                          <w:szCs w:val="21"/>
                          <w:lang w:eastAsia="zh-CN"/>
                        </w:rPr>
                        <w:t>：项目位置</w:t>
                      </w:r>
                      <w:r>
                        <w:rPr>
                          <w:rFonts w:hint="eastAsia" w:ascii="Times New Roman" w:hAnsi="Times New Roman" w:eastAsia="宋体" w:cs="Times New Roman"/>
                          <w:b w:val="0"/>
                          <w:bCs/>
                          <w:sz w:val="21"/>
                          <w:szCs w:val="21"/>
                          <w:lang w:eastAsia="zh-CN"/>
                        </w:rPr>
                        <w:br w:type="textWrapping"/>
                      </w:r>
                      <w:r>
                        <w:rPr>
                          <w:rFonts w:hint="eastAsia" w:ascii="Times New Roman" w:hAnsi="Times New Roman" w:eastAsia="宋体" w:cs="Times New Roman"/>
                          <w:b w:val="0"/>
                          <w:bCs/>
                          <w:sz w:val="21"/>
                          <w:szCs w:val="21"/>
                          <w:lang w:val="en-US" w:eastAsia="zh-CN"/>
                        </w:rPr>
                        <w:tab/>
                      </w:r>
                      <w:r>
                        <w:rPr>
                          <w:rFonts w:hint="eastAsia" w:ascii="Times New Roman" w:hAnsi="Times New Roman" w:eastAsia="宋体" w:cs="Times New Roman"/>
                          <w:b w:val="0"/>
                          <w:bCs/>
                          <w:sz w:val="21"/>
                          <w:szCs w:val="21"/>
                          <w:lang w:val="en-US" w:eastAsia="zh-CN"/>
                        </w:rPr>
                        <w:t>：厂界</w:t>
                      </w:r>
                    </w:p>
                    <w:p w14:paraId="202CB7CD">
                      <w:pPr>
                        <w:keepNext w:val="0"/>
                        <w:keepLines w:val="0"/>
                        <w:pageBreakBefore w:val="0"/>
                        <w:widowControl w:val="0"/>
                        <w:kinsoku/>
                        <w:wordWrap/>
                        <w:overflowPunct/>
                        <w:topLinePunct w:val="0"/>
                        <w:autoSpaceDE/>
                        <w:autoSpaceDN/>
                        <w:bidi w:val="0"/>
                        <w:adjustRightInd/>
                        <w:snapToGrid/>
                        <w:spacing w:line="288" w:lineRule="auto"/>
                        <w:ind w:left="0" w:leftChars="0" w:firstLine="420" w:firstLineChars="0"/>
                        <w:textAlignment w:val="auto"/>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 w:val="21"/>
                          <w:szCs w:val="21"/>
                          <w:lang w:eastAsia="zh-CN"/>
                        </w:rPr>
                        <w:t>：</w:t>
                      </w:r>
                      <w:r>
                        <w:rPr>
                          <w:rFonts w:hint="eastAsia" w:ascii="Times New Roman" w:hAnsi="Times New Roman" w:eastAsia="宋体" w:cs="Times New Roman"/>
                          <w:b w:val="0"/>
                          <w:bCs/>
                          <w:sz w:val="21"/>
                          <w:szCs w:val="21"/>
                          <w:lang w:val="en-US" w:eastAsia="zh-CN"/>
                        </w:rPr>
                        <w:t>运输路线</w:t>
                      </w:r>
                    </w:p>
                  </w:txbxContent>
                </v:textbox>
              </v:rect>
            </w:pict>
          </mc:Fallback>
        </mc:AlternateContent>
      </w:r>
      <w:r>
        <w:rPr>
          <w:color w:val="auto"/>
          <w:sz w:val="28"/>
          <w:highlight w:val="none"/>
        </w:rPr>
        <mc:AlternateContent>
          <mc:Choice Requires="wps">
            <w:drawing>
              <wp:anchor distT="0" distB="0" distL="114300" distR="114300" simplePos="0" relativeHeight="251670528" behindDoc="0" locked="0" layoutInCell="1" allowOverlap="1">
                <wp:simplePos x="0" y="0"/>
                <wp:positionH relativeFrom="column">
                  <wp:posOffset>7491730</wp:posOffset>
                </wp:positionH>
                <wp:positionV relativeFrom="paragraph">
                  <wp:posOffset>4886960</wp:posOffset>
                </wp:positionV>
                <wp:extent cx="190500" cy="0"/>
                <wp:effectExtent l="0" t="12700" r="0" b="15875"/>
                <wp:wrapNone/>
                <wp:docPr id="55" name="直接连接符 55"/>
                <wp:cNvGraphicFramePr/>
                <a:graphic xmlns:a="http://schemas.openxmlformats.org/drawingml/2006/main">
                  <a:graphicData uri="http://schemas.microsoft.com/office/word/2010/wordprocessingShape">
                    <wps:wsp>
                      <wps:cNvCnPr/>
                      <wps:spPr>
                        <a:xfrm>
                          <a:off x="7976235" y="5982970"/>
                          <a:ext cx="190500" cy="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89.9pt;margin-top:384.8pt;height:0pt;width:15pt;z-index:251670528;mso-width-relative:page;mso-height-relative:page;" filled="f" stroked="t" coordsize="21600,21600" o:gfxdata="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Og46ZdcA&#10;AAANAQAADwAAAAAAAAABACAAAAAiAAAAZHJzL2Rvd25yZXYueG1sUEsBAhQAFAAAAAgAh07iQAyU&#10;k8/nAQAAqAMAAA4AAAAAAAAAAQAgAAAAJgEAAGRycy9lMm9Eb2MueG1sUEsFBgAAAAAGAAYAWQEA&#10;AH8FAAAAAA==&#10;">
                <v:fill on="f" focussize="0,0"/>
                <v:stroke weight="2pt" color="#FFFF00 [3204]" joinstyle="round"/>
                <v:imagedata o:title=""/>
                <o:lock v:ext="edit" aspectratio="f"/>
              </v:line>
            </w:pict>
          </mc:Fallback>
        </mc:AlternateContent>
      </w:r>
      <w:r>
        <w:rPr>
          <w:color w:val="auto"/>
          <w:highlight w:val="none"/>
        </w:rPr>
        <w:drawing>
          <wp:inline distT="0" distB="0" distL="114300" distR="114300">
            <wp:extent cx="8740775" cy="5044440"/>
            <wp:effectExtent l="0" t="0" r="3175" b="3810"/>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56"/>
                    <a:stretch>
                      <a:fillRect/>
                    </a:stretch>
                  </pic:blipFill>
                  <pic:spPr>
                    <a:xfrm>
                      <a:off x="0" y="0"/>
                      <a:ext cx="8740775" cy="5044440"/>
                    </a:xfrm>
                    <a:prstGeom prst="rect">
                      <a:avLst/>
                    </a:prstGeom>
                    <a:noFill/>
                    <a:ln>
                      <a:noFill/>
                    </a:ln>
                  </pic:spPr>
                </pic:pic>
              </a:graphicData>
            </a:graphic>
          </wp:inline>
        </w:drawing>
      </w:r>
    </w:p>
    <w:p w14:paraId="7E088E82">
      <w:pPr>
        <w:pStyle w:val="2"/>
        <w:bidi w:val="0"/>
        <w:spacing w:line="240" w:lineRule="auto"/>
        <w:jc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附图</w:t>
      </w:r>
      <w:r>
        <w:rPr>
          <w:rFonts w:hint="eastAsia" w:eastAsia="宋体" w:cs="Times New Roman"/>
          <w:color w:val="auto"/>
          <w:sz w:val="24"/>
          <w:szCs w:val="24"/>
          <w:highlight w:val="none"/>
          <w:lang w:val="en-US" w:eastAsia="zh-CN"/>
        </w:rPr>
        <w:t>7</w:t>
      </w:r>
      <w:r>
        <w:rPr>
          <w:rFonts w:hint="eastAsia" w:ascii="Times New Roman" w:hAnsi="Times New Roman" w:eastAsia="宋体" w:cs="Times New Roman"/>
          <w:color w:val="auto"/>
          <w:sz w:val="24"/>
          <w:szCs w:val="24"/>
          <w:highlight w:val="none"/>
          <w:lang w:val="en-US" w:eastAsia="zh-CN"/>
        </w:rPr>
        <w:t xml:space="preserve">  运输路线图</w:t>
      </w:r>
    </w:p>
    <w:p w14:paraId="139D84CC">
      <w:pP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br w:type="page"/>
      </w:r>
    </w:p>
    <w:p w14:paraId="6D35EABF">
      <w:pPr>
        <w:bidi w:val="0"/>
        <w:ind w:left="0" w:leftChars="0" w:firstLine="0" w:firstLineChars="0"/>
        <w:rPr>
          <w:rFonts w:hint="eastAsia"/>
          <w:color w:val="auto"/>
          <w:highlight w:val="none"/>
          <w:lang w:val="en-US" w:eastAsia="zh-CN"/>
        </w:rPr>
      </w:pPr>
      <w:r>
        <w:rPr>
          <w:color w:val="auto"/>
          <w:sz w:val="28"/>
          <w:highlight w:val="none"/>
        </w:rPr>
        <mc:AlternateContent>
          <mc:Choice Requires="wps">
            <w:drawing>
              <wp:anchor distT="0" distB="0" distL="114300" distR="114300" simplePos="0" relativeHeight="251677696" behindDoc="0" locked="0" layoutInCell="1" allowOverlap="1">
                <wp:simplePos x="0" y="0"/>
                <wp:positionH relativeFrom="column">
                  <wp:posOffset>6912610</wp:posOffset>
                </wp:positionH>
                <wp:positionV relativeFrom="paragraph">
                  <wp:posOffset>4234815</wp:posOffset>
                </wp:positionV>
                <wp:extent cx="161290" cy="99060"/>
                <wp:effectExtent l="9525" t="9525" r="19685" b="24765"/>
                <wp:wrapNone/>
                <wp:docPr id="24" name="矩形 24"/>
                <wp:cNvGraphicFramePr/>
                <a:graphic xmlns:a="http://schemas.openxmlformats.org/drawingml/2006/main">
                  <a:graphicData uri="http://schemas.microsoft.com/office/word/2010/wordprocessingShape">
                    <wps:wsp>
                      <wps:cNvSpPr/>
                      <wps:spPr>
                        <a:xfrm>
                          <a:off x="0" y="0"/>
                          <a:ext cx="161290" cy="99060"/>
                        </a:xfrm>
                        <a:prstGeom prst="rect">
                          <a:avLst/>
                        </a:prstGeom>
                        <a:noFill/>
                        <a:ln w="19050">
                          <a:solidFill>
                            <a:srgbClr val="0BE7E7"/>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4.3pt;margin-top:333.45pt;height:7.8pt;width:12.7pt;z-index:251677696;v-text-anchor:middle;mso-width-relative:page;mso-height-relative:page;" filled="f" stroked="t" coordsize="21600,21600" o:gfxdata="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gvBVttsAAAANAQAADwAAAAAAAAABACAAAAAiAAAAZHJzL2Rvd25yZXYueG1sUEsBAhQAFAAA&#10;AAgAh07iQF9SzYZeAgAAtAQAAA4AAAAAAAAAAQAgAAAAKgEAAGRycy9lMm9Eb2MueG1sUEsFBgAA&#10;AAAGAAYAWQEAAPoFAAAAAA==&#10;">
                <v:fill on="f" focussize="0,0"/>
                <v:stroke weight="1.5pt" color="#0BE7E7 [2404]" joinstyle="round"/>
                <v:imagedata o:title=""/>
                <o:lock v:ext="edit" aspectratio="f"/>
              </v:rect>
            </w:pict>
          </mc:Fallback>
        </mc:AlternateContent>
      </w:r>
      <w:r>
        <w:rPr>
          <w:color w:val="auto"/>
          <w:sz w:val="28"/>
          <w:highlight w:val="none"/>
        </w:rPr>
        <mc:AlternateContent>
          <mc:Choice Requires="wps">
            <w:drawing>
              <wp:anchor distT="0" distB="0" distL="114300" distR="114300" simplePos="0" relativeHeight="251675648" behindDoc="0" locked="0" layoutInCell="1" allowOverlap="1">
                <wp:simplePos x="0" y="0"/>
                <wp:positionH relativeFrom="column">
                  <wp:posOffset>6906895</wp:posOffset>
                </wp:positionH>
                <wp:positionV relativeFrom="paragraph">
                  <wp:posOffset>4082415</wp:posOffset>
                </wp:positionV>
                <wp:extent cx="161290" cy="105410"/>
                <wp:effectExtent l="9525" t="9525" r="19685" b="18415"/>
                <wp:wrapNone/>
                <wp:docPr id="21" name="矩形 21"/>
                <wp:cNvGraphicFramePr/>
                <a:graphic xmlns:a="http://schemas.openxmlformats.org/drawingml/2006/main">
                  <a:graphicData uri="http://schemas.microsoft.com/office/word/2010/wordprocessingShape">
                    <wps:wsp>
                      <wps:cNvSpPr/>
                      <wps:spPr>
                        <a:xfrm>
                          <a:off x="0" y="0"/>
                          <a:ext cx="161290" cy="10541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3.85pt;margin-top:321.45pt;height:8.3pt;width:12.7pt;z-index:251675648;v-text-anchor:middle;mso-width-relative:page;mso-height-relative:page;" filled="f" stroked="t" coordsize="21600,21600" o:gfxdata="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CqKC7aAAAADQEAAA8AAAAAAAAAAQAgAAAAIgAAAGRycy9kb3ducmV2LnhtbFBLAQIUABQAAAAI&#10;AIdO4kDOD41TXQIAALUEAAAOAAAAAAAAAAEAIAAAACkBAABkcnMvZTJvRG9jLnhtbFBLBQYAAAAA&#10;BgAGAFkBAAD4BQAAAAA=&#10;">
                <v:fill on="f" focussize="0,0"/>
                <v:stroke weight="1.5pt" color="#FF0000 [2404]" joinstyle="round"/>
                <v:imagedata o:title=""/>
                <o:lock v:ext="edit" aspectratio="f"/>
              </v:rect>
            </w:pict>
          </mc:Fallback>
        </mc:AlternateContent>
      </w:r>
      <w:r>
        <w:rPr>
          <w:rFonts w:hint="eastAsia" w:ascii="宋体" w:hAnsi="宋体" w:eastAsia="宋体" w:cs="宋体"/>
          <w:color w:val="auto"/>
          <w:sz w:val="28"/>
          <w:highlight w:val="none"/>
          <w:u w:val="none"/>
        </w:rPr>
        <mc:AlternateContent>
          <mc:Choice Requires="wps">
            <w:drawing>
              <wp:anchor distT="0" distB="0" distL="114300" distR="114300" simplePos="0" relativeHeight="251674624" behindDoc="0" locked="0" layoutInCell="1" allowOverlap="1">
                <wp:simplePos x="0" y="0"/>
                <wp:positionH relativeFrom="column">
                  <wp:posOffset>6736080</wp:posOffset>
                </wp:positionH>
                <wp:positionV relativeFrom="paragraph">
                  <wp:posOffset>3672205</wp:posOffset>
                </wp:positionV>
                <wp:extent cx="1995805" cy="1042035"/>
                <wp:effectExtent l="5080" t="4445" r="18415" b="20320"/>
                <wp:wrapNone/>
                <wp:docPr id="19" name="矩形 12"/>
                <wp:cNvGraphicFramePr/>
                <a:graphic xmlns:a="http://schemas.openxmlformats.org/drawingml/2006/main">
                  <a:graphicData uri="http://schemas.microsoft.com/office/word/2010/wordprocessingShape">
                    <wps:wsp>
                      <wps:cNvSpPr>
                        <a:spLocks noChangeArrowheads="1"/>
                      </wps:cNvSpPr>
                      <wps:spPr bwMode="auto">
                        <a:xfrm>
                          <a:off x="0" y="0"/>
                          <a:ext cx="1995805" cy="1042035"/>
                        </a:xfrm>
                        <a:prstGeom prst="rect">
                          <a:avLst/>
                        </a:prstGeom>
                        <a:solidFill>
                          <a:srgbClr val="FFFFFF"/>
                        </a:solidFill>
                        <a:ln w="9525">
                          <a:solidFill>
                            <a:srgbClr val="000000"/>
                          </a:solidFill>
                          <a:miter lim="800000"/>
                        </a:ln>
                        <a:effectLst/>
                      </wps:spPr>
                      <wps:txbx>
                        <w:txbxContent>
                          <w:p w14:paraId="1158E12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图例</w:t>
                            </w:r>
                          </w:p>
                          <w:p w14:paraId="7EF4B2DD">
                            <w:pPr>
                              <w:pStyle w:val="5"/>
                              <w:pageBreakBefore w:val="0"/>
                              <w:widowControl w:val="0"/>
                              <w:kinsoku/>
                              <w:wordWrap/>
                              <w:overflowPunct/>
                              <w:topLinePunct w:val="0"/>
                              <w:bidi w:val="0"/>
                              <w:adjustRightInd/>
                              <w:snapToGrid/>
                              <w:spacing w:before="0" w:beforeLines="0" w:after="0" w:afterLines="0" w:line="240" w:lineRule="auto"/>
                              <w:ind w:left="0" w:leftChars="0" w:firstLine="420" w:firstLineChars="0"/>
                              <w:textAlignment w:val="auto"/>
                              <w:rPr>
                                <w:rFonts w:hint="default"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eastAsia="zh-CN"/>
                              </w:rPr>
                              <w:t>：项目位置</w:t>
                            </w:r>
                            <w:r>
                              <w:rPr>
                                <w:rFonts w:hint="eastAsia" w:ascii="Times New Roman" w:hAnsi="Times New Roman" w:eastAsia="宋体" w:cs="Times New Roman"/>
                                <w:b w:val="0"/>
                                <w:bCs/>
                                <w:sz w:val="18"/>
                                <w:szCs w:val="18"/>
                                <w:lang w:eastAsia="zh-CN"/>
                              </w:rPr>
                              <w:br w:type="textWrapping"/>
                            </w:r>
                            <w:r>
                              <w:rPr>
                                <w:rFonts w:hint="eastAsia" w:ascii="Times New Roman" w:hAnsi="Times New Roman" w:eastAsia="宋体" w:cs="Times New Roman"/>
                                <w:b w:val="0"/>
                                <w:bCs/>
                                <w:sz w:val="18"/>
                                <w:szCs w:val="18"/>
                                <w:lang w:val="en-US" w:eastAsia="zh-CN"/>
                              </w:rPr>
                              <w:tab/>
                            </w:r>
                            <w:r>
                              <w:rPr>
                                <w:rFonts w:hint="eastAsia" w:ascii="Times New Roman" w:hAnsi="Times New Roman" w:eastAsia="宋体" w:cs="Times New Roman"/>
                                <w:b w:val="0"/>
                                <w:bCs/>
                                <w:sz w:val="18"/>
                                <w:szCs w:val="18"/>
                                <w:lang w:val="en-US" w:eastAsia="zh-CN"/>
                              </w:rPr>
                              <w:t>：厂界</w:t>
                            </w:r>
                          </w:p>
                          <w:p w14:paraId="1DB0CB84">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0"/>
                              <w:textAlignment w:val="auto"/>
                              <w:rPr>
                                <w:rFonts w:hint="eastAsia"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eastAsia="zh-CN"/>
                              </w:rPr>
                              <w:t>：保护目标</w:t>
                            </w:r>
                          </w:p>
                          <w:p w14:paraId="7C3B641C">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0"/>
                              <w:textAlignment w:val="auto"/>
                              <w:rPr>
                                <w:rFonts w:hint="eastAsia"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val="en-US" w:eastAsia="zh-CN"/>
                              </w:rPr>
                              <w:t>：500m大气环境保护目标范围</w:t>
                            </w:r>
                          </w:p>
                          <w:p w14:paraId="7038E7A0">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0"/>
                              <w:textAlignment w:val="auto"/>
                              <w:rPr>
                                <w:rFonts w:hint="default"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val="en-US" w:eastAsia="zh-CN"/>
                              </w:rPr>
                              <w:t>：50m声环境保护目标范围</w:t>
                            </w:r>
                          </w:p>
                        </w:txbxContent>
                      </wps:txbx>
                      <wps:bodyPr rot="0" vert="horz" wrap="square" lIns="91440" tIns="45720" rIns="91440" bIns="45720" anchor="t" anchorCtr="0" upright="1">
                        <a:noAutofit/>
                      </wps:bodyPr>
                    </wps:wsp>
                  </a:graphicData>
                </a:graphic>
              </wp:anchor>
            </w:drawing>
          </mc:Choice>
          <mc:Fallback>
            <w:pict>
              <v:rect id="矩形 12" o:spid="_x0000_s1026" o:spt="1" style="position:absolute;left:0pt;margin-left:530.4pt;margin-top:289.15pt;height:82.05pt;width:157.15pt;z-index:251674624;mso-width-relative:page;mso-height-relative:page;" fillcolor="#FFFFFF" filled="t" stroked="t" coordsize="21600,21600" o:gfxdata="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y/gWz2gAAAA0BAAAPAAAAAAAAAAEAIAAAACIA&#10;AABkcnMvZG93bnJldi54bWxQSwECFAAUAAAACACHTuJAKTG25EACAACLBAAADgAAAAAAAAABACAA&#10;AAApAQAAZHJzL2Uyb0RvYy54bWxQSwUGAAAAAAYABgBZAQAA2wUAAAAA&#10;">
                <v:fill on="t" focussize="0,0"/>
                <v:stroke color="#000000" miterlimit="8" joinstyle="miter"/>
                <v:imagedata o:title=""/>
                <o:lock v:ext="edit" aspectratio="f"/>
                <v:textbox>
                  <w:txbxContent>
                    <w:p w14:paraId="1158E12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图例</w:t>
                      </w:r>
                    </w:p>
                    <w:p w14:paraId="7EF4B2DD">
                      <w:pPr>
                        <w:pStyle w:val="5"/>
                        <w:pageBreakBefore w:val="0"/>
                        <w:widowControl w:val="0"/>
                        <w:kinsoku/>
                        <w:wordWrap/>
                        <w:overflowPunct/>
                        <w:topLinePunct w:val="0"/>
                        <w:bidi w:val="0"/>
                        <w:adjustRightInd/>
                        <w:snapToGrid/>
                        <w:spacing w:before="0" w:beforeLines="0" w:after="0" w:afterLines="0" w:line="240" w:lineRule="auto"/>
                        <w:ind w:left="0" w:leftChars="0" w:firstLine="420" w:firstLineChars="0"/>
                        <w:textAlignment w:val="auto"/>
                        <w:rPr>
                          <w:rFonts w:hint="default"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eastAsia="zh-CN"/>
                        </w:rPr>
                        <w:t>：项目位置</w:t>
                      </w:r>
                      <w:r>
                        <w:rPr>
                          <w:rFonts w:hint="eastAsia" w:ascii="Times New Roman" w:hAnsi="Times New Roman" w:eastAsia="宋体" w:cs="Times New Roman"/>
                          <w:b w:val="0"/>
                          <w:bCs/>
                          <w:sz w:val="18"/>
                          <w:szCs w:val="18"/>
                          <w:lang w:eastAsia="zh-CN"/>
                        </w:rPr>
                        <w:br w:type="textWrapping"/>
                      </w:r>
                      <w:r>
                        <w:rPr>
                          <w:rFonts w:hint="eastAsia" w:ascii="Times New Roman" w:hAnsi="Times New Roman" w:eastAsia="宋体" w:cs="Times New Roman"/>
                          <w:b w:val="0"/>
                          <w:bCs/>
                          <w:sz w:val="18"/>
                          <w:szCs w:val="18"/>
                          <w:lang w:val="en-US" w:eastAsia="zh-CN"/>
                        </w:rPr>
                        <w:tab/>
                      </w:r>
                      <w:r>
                        <w:rPr>
                          <w:rFonts w:hint="eastAsia" w:ascii="Times New Roman" w:hAnsi="Times New Roman" w:eastAsia="宋体" w:cs="Times New Roman"/>
                          <w:b w:val="0"/>
                          <w:bCs/>
                          <w:sz w:val="18"/>
                          <w:szCs w:val="18"/>
                          <w:lang w:val="en-US" w:eastAsia="zh-CN"/>
                        </w:rPr>
                        <w:t>：厂界</w:t>
                      </w:r>
                    </w:p>
                    <w:p w14:paraId="1DB0CB84">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0"/>
                        <w:textAlignment w:val="auto"/>
                        <w:rPr>
                          <w:rFonts w:hint="eastAsia"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eastAsia="zh-CN"/>
                        </w:rPr>
                        <w:t>：保护目标</w:t>
                      </w:r>
                    </w:p>
                    <w:p w14:paraId="7C3B641C">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0"/>
                        <w:textAlignment w:val="auto"/>
                        <w:rPr>
                          <w:rFonts w:hint="eastAsia"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val="en-US" w:eastAsia="zh-CN"/>
                        </w:rPr>
                        <w:t>：500m大气环境保护目标范围</w:t>
                      </w:r>
                    </w:p>
                    <w:p w14:paraId="7038E7A0">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0"/>
                        <w:textAlignment w:val="auto"/>
                        <w:rPr>
                          <w:rFonts w:hint="default" w:ascii="Times New Roman" w:hAnsi="Times New Roman" w:eastAsia="宋体" w:cs="Times New Roman"/>
                          <w:b w:val="0"/>
                          <w:bCs/>
                          <w:sz w:val="18"/>
                          <w:szCs w:val="18"/>
                          <w:lang w:val="en-US" w:eastAsia="zh-CN"/>
                        </w:rPr>
                      </w:pPr>
                      <w:r>
                        <w:rPr>
                          <w:rFonts w:hint="eastAsia" w:ascii="Times New Roman" w:hAnsi="Times New Roman" w:eastAsia="宋体" w:cs="Times New Roman"/>
                          <w:b w:val="0"/>
                          <w:bCs/>
                          <w:sz w:val="18"/>
                          <w:szCs w:val="18"/>
                          <w:lang w:val="en-US" w:eastAsia="zh-CN"/>
                        </w:rPr>
                        <w:t>：50m声环境保护目标范围</w:t>
                      </w:r>
                    </w:p>
                  </w:txbxContent>
                </v:textbox>
              </v:rect>
            </w:pict>
          </mc:Fallback>
        </mc:AlternateContent>
      </w:r>
      <w:r>
        <w:rPr>
          <w:color w:val="auto"/>
          <w:sz w:val="28"/>
          <w:highlight w:val="none"/>
        </w:rPr>
        <mc:AlternateContent>
          <mc:Choice Requires="wps">
            <w:drawing>
              <wp:anchor distT="0" distB="0" distL="114300" distR="114300" simplePos="0" relativeHeight="251679744" behindDoc="0" locked="0" layoutInCell="1" allowOverlap="1">
                <wp:simplePos x="0" y="0"/>
                <wp:positionH relativeFrom="column">
                  <wp:posOffset>6905625</wp:posOffset>
                </wp:positionH>
                <wp:positionV relativeFrom="paragraph">
                  <wp:posOffset>4368800</wp:posOffset>
                </wp:positionV>
                <wp:extent cx="161290" cy="99060"/>
                <wp:effectExtent l="9525" t="9525" r="19685" b="24765"/>
                <wp:wrapNone/>
                <wp:docPr id="27" name="矩形 27"/>
                <wp:cNvGraphicFramePr/>
                <a:graphic xmlns:a="http://schemas.openxmlformats.org/drawingml/2006/main">
                  <a:graphicData uri="http://schemas.microsoft.com/office/word/2010/wordprocessingShape">
                    <wps:wsp>
                      <wps:cNvSpPr/>
                      <wps:spPr>
                        <a:xfrm>
                          <a:off x="0" y="0"/>
                          <a:ext cx="161290" cy="99060"/>
                        </a:xfrm>
                        <a:prstGeom prst="rect">
                          <a:avLst/>
                        </a:prstGeom>
                        <a:noFill/>
                        <a:ln w="19050">
                          <a:solidFill>
                            <a:srgbClr val="EBEE0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3.75pt;margin-top:344pt;height:7.8pt;width:12.7pt;z-index:251679744;v-text-anchor:middle;mso-width-relative:page;mso-height-relative:page;" filled="f" stroked="t" coordsize="21600,21600" o:gfxdata="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8tfAtNcAAAANAQAADwAAAAAAAAABACAAAAAiAAAAZHJzL2Rvd25yZXYueG1sUEsBAhQAFAAAAAgA&#10;h07iQGMlnOZfAgAAtAQAAA4AAAAAAAAAAQAgAAAAJgEAAGRycy9lMm9Eb2MueG1sUEsFBgAAAAAG&#10;AAYAWQEAAPcFAAAAAA==&#10;">
                <v:fill on="f" focussize="0,0"/>
                <v:stroke weight="1.5pt" color="#EBEE04 [2404]" joinstyle="round"/>
                <v:imagedata o:title=""/>
                <o:lock v:ext="edit" aspectratio="f"/>
              </v:rect>
            </w:pict>
          </mc:Fallback>
        </mc:AlternateContent>
      </w:r>
      <w:r>
        <w:rPr>
          <w:color w:val="auto"/>
          <w:sz w:val="28"/>
          <w:highlight w:val="none"/>
        </w:rPr>
        <mc:AlternateContent>
          <mc:Choice Requires="wps">
            <w:drawing>
              <wp:anchor distT="0" distB="0" distL="114300" distR="114300" simplePos="0" relativeHeight="251678720" behindDoc="0" locked="0" layoutInCell="1" allowOverlap="1">
                <wp:simplePos x="0" y="0"/>
                <wp:positionH relativeFrom="column">
                  <wp:posOffset>6906260</wp:posOffset>
                </wp:positionH>
                <wp:positionV relativeFrom="paragraph">
                  <wp:posOffset>4503420</wp:posOffset>
                </wp:positionV>
                <wp:extent cx="161290" cy="99060"/>
                <wp:effectExtent l="9525" t="9525" r="19685" b="24765"/>
                <wp:wrapNone/>
                <wp:docPr id="26" name="矩形 26"/>
                <wp:cNvGraphicFramePr/>
                <a:graphic xmlns:a="http://schemas.openxmlformats.org/drawingml/2006/main">
                  <a:graphicData uri="http://schemas.microsoft.com/office/word/2010/wordprocessingShape">
                    <wps:wsp>
                      <wps:cNvSpPr/>
                      <wps:spPr>
                        <a:xfrm>
                          <a:off x="0" y="0"/>
                          <a:ext cx="161290" cy="99060"/>
                        </a:xfrm>
                        <a:prstGeom prst="rect">
                          <a:avLst/>
                        </a:prstGeom>
                        <a:noFill/>
                        <a:ln w="19050">
                          <a:solidFill>
                            <a:srgbClr val="00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3.8pt;margin-top:354.6pt;height:7.8pt;width:12.7pt;z-index:251678720;v-text-anchor:middle;mso-width-relative:page;mso-height-relative:page;" filled="f" stroked="t" coordsize="21600,21600" o:gfxdata="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XJNAk2wAAAA0BAAAPAAAAAAAAAAEAIAAAACIAAABkcnMvZG93bnJldi54bWxQSwECFAAUAAAA&#10;CACHTuJA+keerV0CAAC0BAAADgAAAAAAAAABACAAAAAqAQAAZHJzL2Uyb0RvYy54bWxQSwUGAAAA&#10;AAYABgBZAQAA+QUAAAAA&#10;">
                <v:fill on="f" focussize="0,0"/>
                <v:stroke weight="1.5pt" color="#00FF00 [2404]" joinstyle="round"/>
                <v:imagedata o:title=""/>
                <o:lock v:ext="edit" aspectratio="f"/>
              </v:rect>
            </w:pict>
          </mc:Fallback>
        </mc:AlternateContent>
      </w:r>
      <w:r>
        <w:rPr>
          <w:color w:val="auto"/>
          <w:sz w:val="28"/>
          <w:highlight w:val="none"/>
        </w:rPr>
        <mc:AlternateContent>
          <mc:Choice Requires="wps">
            <w:drawing>
              <wp:anchor distT="0" distB="0" distL="114300" distR="114300" simplePos="0" relativeHeight="251676672" behindDoc="0" locked="0" layoutInCell="1" allowOverlap="1">
                <wp:simplePos x="0" y="0"/>
                <wp:positionH relativeFrom="column">
                  <wp:posOffset>6905625</wp:posOffset>
                </wp:positionH>
                <wp:positionV relativeFrom="paragraph">
                  <wp:posOffset>3926840</wp:posOffset>
                </wp:positionV>
                <wp:extent cx="161290" cy="113665"/>
                <wp:effectExtent l="9525" t="9525" r="19685" b="10160"/>
                <wp:wrapNone/>
                <wp:docPr id="20" name="矩形 20"/>
                <wp:cNvGraphicFramePr/>
                <a:graphic xmlns:a="http://schemas.openxmlformats.org/drawingml/2006/main">
                  <a:graphicData uri="http://schemas.microsoft.com/office/word/2010/wordprocessingShape">
                    <wps:wsp>
                      <wps:cNvSpPr/>
                      <wps:spPr>
                        <a:xfrm>
                          <a:off x="0" y="0"/>
                          <a:ext cx="161290" cy="113665"/>
                        </a:xfrm>
                        <a:prstGeom prst="rect">
                          <a:avLst/>
                        </a:prstGeom>
                        <a:noFill/>
                        <a:ln w="19050">
                          <a:solidFill>
                            <a:srgbClr val="0000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3.75pt;margin-top:309.2pt;height:8.95pt;width:12.7pt;z-index:251676672;v-text-anchor:middle;mso-width-relative:page;mso-height-relative:page;" filled="f" stroked="t" coordsize="21600,21600" o:gfxdata="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DkrLg3AAAAA0BAAAPAAAAAAAAAAEAIAAAACIAAABkcnMvZG93bnJldi54bWxQSwECFAAUAAAA&#10;CACHTuJA150c71wCAAC1BAAADgAAAAAAAAABACAAAAArAQAAZHJzL2Uyb0RvYy54bWxQSwUGAAAA&#10;AAYABgBZAQAA+QUAAAAA&#10;">
                <v:fill on="f" focussize="0,0"/>
                <v:stroke weight="1.5pt" color="#0000FF [2404]" joinstyle="round"/>
                <v:imagedata o:title=""/>
                <o:lock v:ext="edit" aspectratio="f"/>
              </v:rect>
            </w:pict>
          </mc:Fallback>
        </mc:AlternateContent>
      </w:r>
      <w:r>
        <w:rPr>
          <w:color w:val="auto"/>
          <w:highlight w:val="none"/>
        </w:rPr>
        <w:drawing>
          <wp:inline distT="0" distB="0" distL="114300" distR="114300">
            <wp:extent cx="8740140" cy="4721225"/>
            <wp:effectExtent l="0" t="0" r="3810" b="3175"/>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57"/>
                    <a:stretch>
                      <a:fillRect/>
                    </a:stretch>
                  </pic:blipFill>
                  <pic:spPr>
                    <a:xfrm>
                      <a:off x="0" y="0"/>
                      <a:ext cx="8740140" cy="4721225"/>
                    </a:xfrm>
                    <a:prstGeom prst="rect">
                      <a:avLst/>
                    </a:prstGeom>
                    <a:noFill/>
                    <a:ln>
                      <a:noFill/>
                    </a:ln>
                  </pic:spPr>
                </pic:pic>
              </a:graphicData>
            </a:graphic>
          </wp:inline>
        </w:drawing>
      </w:r>
      <w:r>
        <w:rPr>
          <w:rFonts w:hint="eastAsia" w:ascii="Times New Roman" w:hAnsi="Times New Roman" w:eastAsia="宋体" w:cs="Times New Roman"/>
          <w:b/>
          <w:bCs/>
          <w:snapToGrid w:val="0"/>
          <w:color w:val="auto"/>
          <w:kern w:val="0"/>
          <w:sz w:val="24"/>
          <w:szCs w:val="24"/>
          <w:highlight w:val="none"/>
          <w:lang w:eastAsia="zh-CN"/>
        </w:rPr>
        <w:drawing>
          <wp:anchor distT="0" distB="0" distL="114300" distR="114300" simplePos="0" relativeHeight="251673600" behindDoc="0" locked="0" layoutInCell="1" allowOverlap="1">
            <wp:simplePos x="0" y="0"/>
            <wp:positionH relativeFrom="column">
              <wp:posOffset>8173720</wp:posOffset>
            </wp:positionH>
            <wp:positionV relativeFrom="paragraph">
              <wp:posOffset>11430</wp:posOffset>
            </wp:positionV>
            <wp:extent cx="552450" cy="990600"/>
            <wp:effectExtent l="0" t="0" r="0" b="0"/>
            <wp:wrapNone/>
            <wp:docPr id="18" name="图片 20" descr="172862403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0" descr="1728624032097"/>
                    <pic:cNvPicPr>
                      <a:picLocks noChangeAspect="1"/>
                    </pic:cNvPicPr>
                  </pic:nvPicPr>
                  <pic:blipFill>
                    <a:blip r:embed="rId55"/>
                    <a:stretch>
                      <a:fillRect/>
                    </a:stretch>
                  </pic:blipFill>
                  <pic:spPr>
                    <a:xfrm>
                      <a:off x="0" y="0"/>
                      <a:ext cx="552450" cy="990600"/>
                    </a:xfrm>
                    <a:prstGeom prst="rect">
                      <a:avLst/>
                    </a:prstGeom>
                    <a:noFill/>
                    <a:ln>
                      <a:noFill/>
                    </a:ln>
                  </pic:spPr>
                </pic:pic>
              </a:graphicData>
            </a:graphic>
          </wp:anchor>
        </w:drawing>
      </w:r>
    </w:p>
    <w:p w14:paraId="306DDED7">
      <w:pPr>
        <w:pStyle w:val="2"/>
        <w:bidi w:val="0"/>
        <w:spacing w:line="240" w:lineRule="auto"/>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附图</w:t>
      </w:r>
      <w:r>
        <w:rPr>
          <w:rFonts w:hint="eastAsia" w:eastAsia="宋体" w:cs="Times New Roman"/>
          <w:color w:val="auto"/>
          <w:sz w:val="24"/>
          <w:szCs w:val="24"/>
          <w:highlight w:val="none"/>
          <w:lang w:val="en-US" w:eastAsia="zh-CN"/>
        </w:rPr>
        <w:t>8</w:t>
      </w:r>
      <w:r>
        <w:rPr>
          <w:rFonts w:hint="eastAsia" w:ascii="Times New Roman" w:hAnsi="Times New Roman" w:eastAsia="宋体" w:cs="Times New Roman"/>
          <w:color w:val="auto"/>
          <w:sz w:val="24"/>
          <w:szCs w:val="24"/>
          <w:highlight w:val="none"/>
          <w:lang w:val="en-US" w:eastAsia="zh-CN"/>
        </w:rPr>
        <w:t xml:space="preserve">  周围环境保护目标图</w:t>
      </w:r>
    </w:p>
    <w:sectPr>
      <w:pgSz w:w="16838" w:h="11906" w:orient="landscape"/>
      <w:pgMar w:top="1531" w:right="1531" w:bottom="1531" w:left="1531" w:header="851" w:footer="851" w:gutter="0"/>
      <w:pgBorders>
        <w:top w:val="none" w:sz="0" w:space="0"/>
        <w:left w:val="none" w:sz="0" w:space="0"/>
        <w:bottom w:val="none" w:sz="0" w:space="0"/>
        <w:right w:val="none" w:sz="0" w:space="0"/>
      </w:pgBorders>
      <w:pgNumType w:fmt="decimal"/>
      <w:cols w:space="0" w:num="1"/>
      <w:rtlGutter w:val="0"/>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宋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97BEB4">
    <w:pPr>
      <w:tabs>
        <w:tab w:val="center" w:pos="4153"/>
        <w:tab w:val="right" w:pos="8306"/>
      </w:tabs>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3EACAA">
    <w:pPr>
      <w:tabs>
        <w:tab w:val="right" w:pos="8306"/>
      </w:tabs>
      <w:ind w:right="360" w:firstLine="360"/>
      <w:jc w:val="center"/>
    </w:pPr>
    <w:r>
      <w:rPr>
        <w:sz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75B35E">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14:paraId="0175B35E">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9EC8C2">
    <w:pPr>
      <w:tabs>
        <w:tab w:val="center" w:pos="4153"/>
        <w:tab w:val="right" w:pos="8306"/>
      </w:tabs>
      <w:ind w:right="360" w:firstLine="360"/>
    </w:pPr>
    <w:r>
      <w:rPr>
        <w:sz w:val="24"/>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263819">
                          <w:pPr>
                            <w:pStyle w:val="10"/>
                          </w:pPr>
                          <w:r>
                            <w:fldChar w:fldCharType="begin"/>
                          </w:r>
                          <w:r>
                            <w:instrText xml:space="preserve"> PAGE  \* MERGEFORMAT </w:instrText>
                          </w:r>
                          <w:r>
                            <w:fldChar w:fldCharType="separate"/>
                          </w:r>
                          <w:r>
                            <w:t>74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52263819">
                    <w:pPr>
                      <w:pStyle w:val="10"/>
                    </w:pPr>
                    <w:r>
                      <w:fldChar w:fldCharType="begin"/>
                    </w:r>
                    <w:r>
                      <w:instrText xml:space="preserve"> PAGE  \* MERGEFORMAT </w:instrText>
                    </w:r>
                    <w:r>
                      <w:fldChar w:fldCharType="separate"/>
                    </w:r>
                    <w:r>
                      <w:t>74</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1EEEE0">
    <w:pPr>
      <w:pStyle w:val="10"/>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D74E4F">
    <w:pPr>
      <w:tabs>
        <w:tab w:val="center" w:pos="4153"/>
        <w:tab w:val="right" w:pos="8306"/>
      </w:tabs>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673AAA">
    <w:pPr>
      <w:pStyle w:val="11"/>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B7A5BF"/>
    <w:multiLevelType w:val="singleLevel"/>
    <w:tmpl w:val="83B7A5BF"/>
    <w:lvl w:ilvl="0" w:tentative="0">
      <w:start w:val="1"/>
      <w:numFmt w:val="decimal"/>
      <w:pStyle w:val="25"/>
      <w:suff w:val="nothing"/>
      <w:lvlText w:val="表%1  "/>
      <w:lvlJc w:val="left"/>
      <w:pPr>
        <w:tabs>
          <w:tab w:val="left" w:pos="0"/>
        </w:tabs>
      </w:pPr>
      <w:rPr>
        <w:rFonts w:hint="default" w:ascii="Times New Roman" w:hAnsi="Times New Roman" w:eastAsia="宋体" w:cs="Times New Roman"/>
        <w:sz w:val="24"/>
        <w:szCs w:val="24"/>
      </w:rPr>
    </w:lvl>
  </w:abstractNum>
  <w:abstractNum w:abstractNumId="1">
    <w:nsid w:val="86516121"/>
    <w:multiLevelType w:val="singleLevel"/>
    <w:tmpl w:val="86516121"/>
    <w:lvl w:ilvl="0" w:tentative="0">
      <w:start w:val="1"/>
      <w:numFmt w:val="decimal"/>
      <w:suff w:val="nothing"/>
      <w:lvlText w:val="表%1"/>
      <w:lvlJc w:val="left"/>
      <w:pPr>
        <w:tabs>
          <w:tab w:val="left" w:pos="0"/>
        </w:tabs>
      </w:pPr>
      <w:rPr>
        <w:rFonts w:hint="default" w:ascii="Times New Roman" w:hAnsi="Times New Roman" w:eastAsia="宋体" w:cs="宋体"/>
      </w:rPr>
    </w:lvl>
  </w:abstractNum>
  <w:abstractNum w:abstractNumId="2">
    <w:nsid w:val="92BCA787"/>
    <w:multiLevelType w:val="singleLevel"/>
    <w:tmpl w:val="92BCA787"/>
    <w:lvl w:ilvl="0" w:tentative="0">
      <w:start w:val="1"/>
      <w:numFmt w:val="decimal"/>
      <w:pStyle w:val="38"/>
      <w:lvlText w:val="表%1"/>
      <w:lvlJc w:val="center"/>
      <w:pPr>
        <w:tabs>
          <w:tab w:val="left" w:pos="680"/>
        </w:tabs>
      </w:pPr>
      <w:rPr>
        <w:rFonts w:hint="default" w:ascii="Times New Roman" w:hAnsi="Times New Roman" w:eastAsia="宋体" w:cs="宋体"/>
        <w:sz w:val="21"/>
        <w:szCs w:val="21"/>
      </w:rPr>
    </w:lvl>
  </w:abstractNum>
  <w:abstractNum w:abstractNumId="3">
    <w:nsid w:val="6E49DE05"/>
    <w:multiLevelType w:val="singleLevel"/>
    <w:tmpl w:val="6E49DE05"/>
    <w:lvl w:ilvl="0" w:tentative="0">
      <w:start w:val="1"/>
      <w:numFmt w:val="decimal"/>
      <w:pStyle w:val="42"/>
      <w:suff w:val="nothing"/>
      <w:lvlText w:val="表%1"/>
      <w:lvlJc w:val="left"/>
      <w:pPr>
        <w:tabs>
          <w:tab w:val="left" w:pos="0"/>
        </w:tabs>
      </w:pPr>
      <w:rPr>
        <w:rFonts w:hint="default" w:ascii="Times New Roman" w:hAnsi="Times New Roman" w:eastAsia="宋体" w:cs="仿宋_GB2312"/>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Y3MTQ2N2VlZjgzN2E1ZTdlNDlhZDFjMjUzNTkxYmYifQ=="/>
  </w:docVars>
  <w:rsids>
    <w:rsidRoot w:val="00A14947"/>
    <w:rsid w:val="000060B3"/>
    <w:rsid w:val="000209E2"/>
    <w:rsid w:val="00020D8B"/>
    <w:rsid w:val="00043144"/>
    <w:rsid w:val="0004364B"/>
    <w:rsid w:val="00061B1F"/>
    <w:rsid w:val="00067259"/>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2557"/>
    <w:rsid w:val="000E3ED2"/>
    <w:rsid w:val="00131F42"/>
    <w:rsid w:val="001357F1"/>
    <w:rsid w:val="00140FA8"/>
    <w:rsid w:val="00142FEB"/>
    <w:rsid w:val="00143A2D"/>
    <w:rsid w:val="00145A41"/>
    <w:rsid w:val="00151675"/>
    <w:rsid w:val="00157435"/>
    <w:rsid w:val="0017504D"/>
    <w:rsid w:val="0017671A"/>
    <w:rsid w:val="00177422"/>
    <w:rsid w:val="00184590"/>
    <w:rsid w:val="00186F61"/>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190E"/>
    <w:rsid w:val="00254345"/>
    <w:rsid w:val="00264557"/>
    <w:rsid w:val="002805AB"/>
    <w:rsid w:val="00284204"/>
    <w:rsid w:val="00291773"/>
    <w:rsid w:val="002A168C"/>
    <w:rsid w:val="002A3DC7"/>
    <w:rsid w:val="002B224D"/>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0E24"/>
    <w:rsid w:val="0036170C"/>
    <w:rsid w:val="00366E0F"/>
    <w:rsid w:val="00381A72"/>
    <w:rsid w:val="00384676"/>
    <w:rsid w:val="00390857"/>
    <w:rsid w:val="003945C4"/>
    <w:rsid w:val="003A4BF3"/>
    <w:rsid w:val="003B420D"/>
    <w:rsid w:val="003C6C16"/>
    <w:rsid w:val="003D3169"/>
    <w:rsid w:val="003D794D"/>
    <w:rsid w:val="003E3058"/>
    <w:rsid w:val="003E76A9"/>
    <w:rsid w:val="003F0809"/>
    <w:rsid w:val="003F6A8C"/>
    <w:rsid w:val="003F755C"/>
    <w:rsid w:val="00406F01"/>
    <w:rsid w:val="00410235"/>
    <w:rsid w:val="00416D50"/>
    <w:rsid w:val="00416FD5"/>
    <w:rsid w:val="00417772"/>
    <w:rsid w:val="00420E6A"/>
    <w:rsid w:val="00425A9E"/>
    <w:rsid w:val="00426D6B"/>
    <w:rsid w:val="00431E6C"/>
    <w:rsid w:val="00433CE7"/>
    <w:rsid w:val="00450033"/>
    <w:rsid w:val="00452738"/>
    <w:rsid w:val="00456091"/>
    <w:rsid w:val="00466321"/>
    <w:rsid w:val="00484B9B"/>
    <w:rsid w:val="004855F6"/>
    <w:rsid w:val="0048661E"/>
    <w:rsid w:val="00494670"/>
    <w:rsid w:val="004A1F39"/>
    <w:rsid w:val="004A3823"/>
    <w:rsid w:val="004B0D73"/>
    <w:rsid w:val="004C1B8F"/>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271A"/>
    <w:rsid w:val="005A68A7"/>
    <w:rsid w:val="005D36AB"/>
    <w:rsid w:val="006071B7"/>
    <w:rsid w:val="00617CC3"/>
    <w:rsid w:val="006377A6"/>
    <w:rsid w:val="00637A3D"/>
    <w:rsid w:val="006411EF"/>
    <w:rsid w:val="00656C77"/>
    <w:rsid w:val="0066627F"/>
    <w:rsid w:val="006748B8"/>
    <w:rsid w:val="006775C3"/>
    <w:rsid w:val="00680225"/>
    <w:rsid w:val="0069290A"/>
    <w:rsid w:val="00697041"/>
    <w:rsid w:val="0069775A"/>
    <w:rsid w:val="00697813"/>
    <w:rsid w:val="006A3EE8"/>
    <w:rsid w:val="006A72BF"/>
    <w:rsid w:val="006B03F2"/>
    <w:rsid w:val="006B37DC"/>
    <w:rsid w:val="006B4F68"/>
    <w:rsid w:val="006C0592"/>
    <w:rsid w:val="006C272E"/>
    <w:rsid w:val="006C5479"/>
    <w:rsid w:val="006D13B5"/>
    <w:rsid w:val="006E12FF"/>
    <w:rsid w:val="006E607E"/>
    <w:rsid w:val="006F58B3"/>
    <w:rsid w:val="00706C5D"/>
    <w:rsid w:val="00726B41"/>
    <w:rsid w:val="00732922"/>
    <w:rsid w:val="007515D3"/>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06272"/>
    <w:rsid w:val="0081293E"/>
    <w:rsid w:val="00815465"/>
    <w:rsid w:val="00817E9A"/>
    <w:rsid w:val="008306BD"/>
    <w:rsid w:val="00831A80"/>
    <w:rsid w:val="00833743"/>
    <w:rsid w:val="008340A4"/>
    <w:rsid w:val="00835193"/>
    <w:rsid w:val="00867C8A"/>
    <w:rsid w:val="0087135F"/>
    <w:rsid w:val="00872D94"/>
    <w:rsid w:val="00880364"/>
    <w:rsid w:val="00887BFA"/>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1849"/>
    <w:rsid w:val="00902727"/>
    <w:rsid w:val="0090312B"/>
    <w:rsid w:val="0091736D"/>
    <w:rsid w:val="0092642D"/>
    <w:rsid w:val="0093037A"/>
    <w:rsid w:val="0093260A"/>
    <w:rsid w:val="0094154D"/>
    <w:rsid w:val="0095155F"/>
    <w:rsid w:val="00954429"/>
    <w:rsid w:val="009563CE"/>
    <w:rsid w:val="00976328"/>
    <w:rsid w:val="0097680D"/>
    <w:rsid w:val="00980E9E"/>
    <w:rsid w:val="00982438"/>
    <w:rsid w:val="0098404C"/>
    <w:rsid w:val="00985283"/>
    <w:rsid w:val="00995992"/>
    <w:rsid w:val="009A03E5"/>
    <w:rsid w:val="009A0F3B"/>
    <w:rsid w:val="009A1BB4"/>
    <w:rsid w:val="009A2628"/>
    <w:rsid w:val="009A3200"/>
    <w:rsid w:val="009B0897"/>
    <w:rsid w:val="009B7109"/>
    <w:rsid w:val="009B7BD9"/>
    <w:rsid w:val="009C4AFE"/>
    <w:rsid w:val="009C7DD5"/>
    <w:rsid w:val="009E227D"/>
    <w:rsid w:val="009E5019"/>
    <w:rsid w:val="00A04F1B"/>
    <w:rsid w:val="00A0501B"/>
    <w:rsid w:val="00A14947"/>
    <w:rsid w:val="00A159E9"/>
    <w:rsid w:val="00A3295D"/>
    <w:rsid w:val="00A32A83"/>
    <w:rsid w:val="00A368DB"/>
    <w:rsid w:val="00A423AA"/>
    <w:rsid w:val="00A535C4"/>
    <w:rsid w:val="00A53EC6"/>
    <w:rsid w:val="00A55C0F"/>
    <w:rsid w:val="00A8713F"/>
    <w:rsid w:val="00A90BA1"/>
    <w:rsid w:val="00A97A9A"/>
    <w:rsid w:val="00AA0671"/>
    <w:rsid w:val="00AA2531"/>
    <w:rsid w:val="00AB1E09"/>
    <w:rsid w:val="00AB5330"/>
    <w:rsid w:val="00AB7747"/>
    <w:rsid w:val="00AC14CE"/>
    <w:rsid w:val="00AC2A56"/>
    <w:rsid w:val="00AC6357"/>
    <w:rsid w:val="00AD055E"/>
    <w:rsid w:val="00AD47A7"/>
    <w:rsid w:val="00AF0CBF"/>
    <w:rsid w:val="00AF257F"/>
    <w:rsid w:val="00AF33CF"/>
    <w:rsid w:val="00AF4D50"/>
    <w:rsid w:val="00AF6179"/>
    <w:rsid w:val="00B1295A"/>
    <w:rsid w:val="00B20A45"/>
    <w:rsid w:val="00B22C5C"/>
    <w:rsid w:val="00B24F30"/>
    <w:rsid w:val="00B31ABF"/>
    <w:rsid w:val="00B33BE3"/>
    <w:rsid w:val="00B43DC7"/>
    <w:rsid w:val="00B46918"/>
    <w:rsid w:val="00B53B5D"/>
    <w:rsid w:val="00B6055E"/>
    <w:rsid w:val="00B6317D"/>
    <w:rsid w:val="00B7723F"/>
    <w:rsid w:val="00B80534"/>
    <w:rsid w:val="00B8433C"/>
    <w:rsid w:val="00B87491"/>
    <w:rsid w:val="00BA29E9"/>
    <w:rsid w:val="00BA7142"/>
    <w:rsid w:val="00BB237C"/>
    <w:rsid w:val="00BB41A3"/>
    <w:rsid w:val="00BC130D"/>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51846"/>
    <w:rsid w:val="00C61E4B"/>
    <w:rsid w:val="00C64BFF"/>
    <w:rsid w:val="00C704E9"/>
    <w:rsid w:val="00C763C9"/>
    <w:rsid w:val="00C80057"/>
    <w:rsid w:val="00C82232"/>
    <w:rsid w:val="00C82913"/>
    <w:rsid w:val="00C91C98"/>
    <w:rsid w:val="00C972B1"/>
    <w:rsid w:val="00CA0D6B"/>
    <w:rsid w:val="00CA2CCE"/>
    <w:rsid w:val="00CA43FD"/>
    <w:rsid w:val="00CA7EF8"/>
    <w:rsid w:val="00CB4F48"/>
    <w:rsid w:val="00CB57FE"/>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6410F"/>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42B3"/>
    <w:rsid w:val="00E2656A"/>
    <w:rsid w:val="00E31011"/>
    <w:rsid w:val="00E412D0"/>
    <w:rsid w:val="00E56322"/>
    <w:rsid w:val="00E60982"/>
    <w:rsid w:val="00E62C62"/>
    <w:rsid w:val="00E654C1"/>
    <w:rsid w:val="00E65D97"/>
    <w:rsid w:val="00E72A5A"/>
    <w:rsid w:val="00E73354"/>
    <w:rsid w:val="00E9242D"/>
    <w:rsid w:val="00EA3EF0"/>
    <w:rsid w:val="00EB5255"/>
    <w:rsid w:val="00EB5C47"/>
    <w:rsid w:val="00ED0639"/>
    <w:rsid w:val="00EF4755"/>
    <w:rsid w:val="00EF7135"/>
    <w:rsid w:val="00F01FD5"/>
    <w:rsid w:val="00F027DB"/>
    <w:rsid w:val="00F14A7A"/>
    <w:rsid w:val="00F22985"/>
    <w:rsid w:val="00F3383E"/>
    <w:rsid w:val="00F437A3"/>
    <w:rsid w:val="00F465A7"/>
    <w:rsid w:val="00F50B7C"/>
    <w:rsid w:val="00F50CDF"/>
    <w:rsid w:val="00F550E6"/>
    <w:rsid w:val="00F642D1"/>
    <w:rsid w:val="00F74345"/>
    <w:rsid w:val="00F80A0A"/>
    <w:rsid w:val="00F82B19"/>
    <w:rsid w:val="00F9212D"/>
    <w:rsid w:val="00F965DA"/>
    <w:rsid w:val="00FA406A"/>
    <w:rsid w:val="00FB503A"/>
    <w:rsid w:val="00FB516C"/>
    <w:rsid w:val="00FD0236"/>
    <w:rsid w:val="00FD06DE"/>
    <w:rsid w:val="00FD18F4"/>
    <w:rsid w:val="00FD54DB"/>
    <w:rsid w:val="00FD619F"/>
    <w:rsid w:val="00FD6BBB"/>
    <w:rsid w:val="010B6590"/>
    <w:rsid w:val="01165292"/>
    <w:rsid w:val="01290F7E"/>
    <w:rsid w:val="01355D45"/>
    <w:rsid w:val="013B1A9C"/>
    <w:rsid w:val="015D1E09"/>
    <w:rsid w:val="01725805"/>
    <w:rsid w:val="018C74B6"/>
    <w:rsid w:val="01A050EF"/>
    <w:rsid w:val="01E74ACC"/>
    <w:rsid w:val="01F67C2B"/>
    <w:rsid w:val="02062685"/>
    <w:rsid w:val="02330E59"/>
    <w:rsid w:val="02427F54"/>
    <w:rsid w:val="02462395"/>
    <w:rsid w:val="026145EB"/>
    <w:rsid w:val="0266294F"/>
    <w:rsid w:val="02675D7F"/>
    <w:rsid w:val="02697903"/>
    <w:rsid w:val="026D677E"/>
    <w:rsid w:val="02900CBF"/>
    <w:rsid w:val="02A421CE"/>
    <w:rsid w:val="02BD75DA"/>
    <w:rsid w:val="02DF57A3"/>
    <w:rsid w:val="02E51097"/>
    <w:rsid w:val="02EE67F5"/>
    <w:rsid w:val="02F96569"/>
    <w:rsid w:val="02FE2741"/>
    <w:rsid w:val="032C18A2"/>
    <w:rsid w:val="03326801"/>
    <w:rsid w:val="03403FE3"/>
    <w:rsid w:val="0355795F"/>
    <w:rsid w:val="035C6062"/>
    <w:rsid w:val="0364199E"/>
    <w:rsid w:val="03655CA8"/>
    <w:rsid w:val="03795BF7"/>
    <w:rsid w:val="037E320E"/>
    <w:rsid w:val="037E3E9B"/>
    <w:rsid w:val="037E4FBC"/>
    <w:rsid w:val="03977C7D"/>
    <w:rsid w:val="03AF3DA4"/>
    <w:rsid w:val="03B22EB7"/>
    <w:rsid w:val="03B23FB0"/>
    <w:rsid w:val="03C926DB"/>
    <w:rsid w:val="03D61A84"/>
    <w:rsid w:val="03E56DE9"/>
    <w:rsid w:val="03EA7B21"/>
    <w:rsid w:val="03FB766B"/>
    <w:rsid w:val="04761B44"/>
    <w:rsid w:val="04842AA6"/>
    <w:rsid w:val="049074D7"/>
    <w:rsid w:val="049D3B67"/>
    <w:rsid w:val="049F6B77"/>
    <w:rsid w:val="04BA5D22"/>
    <w:rsid w:val="04D105EC"/>
    <w:rsid w:val="04D41E08"/>
    <w:rsid w:val="050C2C6B"/>
    <w:rsid w:val="05412CA3"/>
    <w:rsid w:val="05490FE9"/>
    <w:rsid w:val="054E7AF3"/>
    <w:rsid w:val="05546DF0"/>
    <w:rsid w:val="055A4D20"/>
    <w:rsid w:val="057518F7"/>
    <w:rsid w:val="0583192B"/>
    <w:rsid w:val="05916677"/>
    <w:rsid w:val="05AE40C8"/>
    <w:rsid w:val="05B60DE5"/>
    <w:rsid w:val="05D57429"/>
    <w:rsid w:val="05F3434A"/>
    <w:rsid w:val="05F83EAE"/>
    <w:rsid w:val="05F9301F"/>
    <w:rsid w:val="062A571C"/>
    <w:rsid w:val="062E7632"/>
    <w:rsid w:val="063302DF"/>
    <w:rsid w:val="063E7D85"/>
    <w:rsid w:val="06434CF1"/>
    <w:rsid w:val="06656D40"/>
    <w:rsid w:val="06703051"/>
    <w:rsid w:val="068250D7"/>
    <w:rsid w:val="068D41EC"/>
    <w:rsid w:val="06BA630B"/>
    <w:rsid w:val="06C02D9F"/>
    <w:rsid w:val="06FE60DB"/>
    <w:rsid w:val="07096E68"/>
    <w:rsid w:val="070C764D"/>
    <w:rsid w:val="07293586"/>
    <w:rsid w:val="07295285"/>
    <w:rsid w:val="07603B90"/>
    <w:rsid w:val="07636392"/>
    <w:rsid w:val="076F41ED"/>
    <w:rsid w:val="07770C56"/>
    <w:rsid w:val="077A1F3E"/>
    <w:rsid w:val="07834FAC"/>
    <w:rsid w:val="07A6431B"/>
    <w:rsid w:val="07A86AAB"/>
    <w:rsid w:val="07AF5FD6"/>
    <w:rsid w:val="07B13BB2"/>
    <w:rsid w:val="07B724E2"/>
    <w:rsid w:val="07B82CE8"/>
    <w:rsid w:val="07C67662"/>
    <w:rsid w:val="07DB5748"/>
    <w:rsid w:val="07E00A19"/>
    <w:rsid w:val="07F455B2"/>
    <w:rsid w:val="08066445"/>
    <w:rsid w:val="083C282B"/>
    <w:rsid w:val="0853064A"/>
    <w:rsid w:val="0881384D"/>
    <w:rsid w:val="088176B4"/>
    <w:rsid w:val="08876261"/>
    <w:rsid w:val="08AC3ECF"/>
    <w:rsid w:val="08AF79C5"/>
    <w:rsid w:val="08B0518A"/>
    <w:rsid w:val="08CC67C9"/>
    <w:rsid w:val="08F25AEF"/>
    <w:rsid w:val="09051450"/>
    <w:rsid w:val="090D306A"/>
    <w:rsid w:val="09166F09"/>
    <w:rsid w:val="091F4B4B"/>
    <w:rsid w:val="092217DD"/>
    <w:rsid w:val="0932487E"/>
    <w:rsid w:val="09371E95"/>
    <w:rsid w:val="093A7294"/>
    <w:rsid w:val="095C1386"/>
    <w:rsid w:val="095D1A5F"/>
    <w:rsid w:val="09651EB9"/>
    <w:rsid w:val="09835E20"/>
    <w:rsid w:val="0986672D"/>
    <w:rsid w:val="098A4826"/>
    <w:rsid w:val="09A51D4C"/>
    <w:rsid w:val="09AD114F"/>
    <w:rsid w:val="09B613D8"/>
    <w:rsid w:val="09D0388E"/>
    <w:rsid w:val="09E244F6"/>
    <w:rsid w:val="09F73E20"/>
    <w:rsid w:val="0A0106F5"/>
    <w:rsid w:val="0A0107ED"/>
    <w:rsid w:val="0A263993"/>
    <w:rsid w:val="0A2D3AC2"/>
    <w:rsid w:val="0A3E3146"/>
    <w:rsid w:val="0A4F44B0"/>
    <w:rsid w:val="0A866DC4"/>
    <w:rsid w:val="0AA755DF"/>
    <w:rsid w:val="0AC92FC0"/>
    <w:rsid w:val="0ACC33BB"/>
    <w:rsid w:val="0AD83203"/>
    <w:rsid w:val="0ADE42C6"/>
    <w:rsid w:val="0AFD6677"/>
    <w:rsid w:val="0B0630C0"/>
    <w:rsid w:val="0B120D44"/>
    <w:rsid w:val="0B1C1A33"/>
    <w:rsid w:val="0B1C3AEA"/>
    <w:rsid w:val="0B1F52D6"/>
    <w:rsid w:val="0B381EF4"/>
    <w:rsid w:val="0B685B6D"/>
    <w:rsid w:val="0B6E5916"/>
    <w:rsid w:val="0B876205"/>
    <w:rsid w:val="0B932C6F"/>
    <w:rsid w:val="0BA8707A"/>
    <w:rsid w:val="0BB73677"/>
    <w:rsid w:val="0BBB1CD2"/>
    <w:rsid w:val="0BCD0FD4"/>
    <w:rsid w:val="0BCD4057"/>
    <w:rsid w:val="0BD27BF6"/>
    <w:rsid w:val="0BF24799"/>
    <w:rsid w:val="0C011EE7"/>
    <w:rsid w:val="0C05044A"/>
    <w:rsid w:val="0C0B13B7"/>
    <w:rsid w:val="0C210BDA"/>
    <w:rsid w:val="0C34090D"/>
    <w:rsid w:val="0C396977"/>
    <w:rsid w:val="0C3B3C7D"/>
    <w:rsid w:val="0C46697A"/>
    <w:rsid w:val="0C4C1B33"/>
    <w:rsid w:val="0C5E4C02"/>
    <w:rsid w:val="0C6D4563"/>
    <w:rsid w:val="0CAB0EFE"/>
    <w:rsid w:val="0CAB2EAE"/>
    <w:rsid w:val="0CAC1E0A"/>
    <w:rsid w:val="0CBA1AB1"/>
    <w:rsid w:val="0CC528CF"/>
    <w:rsid w:val="0CD56232"/>
    <w:rsid w:val="0CDD0FA5"/>
    <w:rsid w:val="0CEB1914"/>
    <w:rsid w:val="0CF21A17"/>
    <w:rsid w:val="0D004C93"/>
    <w:rsid w:val="0D027152"/>
    <w:rsid w:val="0D31667C"/>
    <w:rsid w:val="0D365267"/>
    <w:rsid w:val="0D480A9C"/>
    <w:rsid w:val="0D4930F7"/>
    <w:rsid w:val="0D541046"/>
    <w:rsid w:val="0D5D5C42"/>
    <w:rsid w:val="0D621C7D"/>
    <w:rsid w:val="0D892052"/>
    <w:rsid w:val="0D996407"/>
    <w:rsid w:val="0DB963BF"/>
    <w:rsid w:val="0DBA12E6"/>
    <w:rsid w:val="0DE064AB"/>
    <w:rsid w:val="0DE52D71"/>
    <w:rsid w:val="0DFB0F08"/>
    <w:rsid w:val="0DFE2A31"/>
    <w:rsid w:val="0E0C084D"/>
    <w:rsid w:val="0E3D2AC9"/>
    <w:rsid w:val="0E404E0B"/>
    <w:rsid w:val="0E4B63E2"/>
    <w:rsid w:val="0E5131BF"/>
    <w:rsid w:val="0E602F64"/>
    <w:rsid w:val="0E702A8F"/>
    <w:rsid w:val="0E73034D"/>
    <w:rsid w:val="0EBB3A12"/>
    <w:rsid w:val="0EC90C4D"/>
    <w:rsid w:val="0F13775A"/>
    <w:rsid w:val="0F1F58A5"/>
    <w:rsid w:val="0F222EF3"/>
    <w:rsid w:val="0F4141A5"/>
    <w:rsid w:val="0F41676A"/>
    <w:rsid w:val="0F423341"/>
    <w:rsid w:val="0F42436F"/>
    <w:rsid w:val="0F5F45FE"/>
    <w:rsid w:val="0F64775C"/>
    <w:rsid w:val="0F7E0C2E"/>
    <w:rsid w:val="0F8A6A96"/>
    <w:rsid w:val="0F977B31"/>
    <w:rsid w:val="0F9A112B"/>
    <w:rsid w:val="0F9F2542"/>
    <w:rsid w:val="0FAF7EE0"/>
    <w:rsid w:val="0FB73569"/>
    <w:rsid w:val="0FCA3416"/>
    <w:rsid w:val="0FCA4053"/>
    <w:rsid w:val="0FF25F25"/>
    <w:rsid w:val="0FF36CB9"/>
    <w:rsid w:val="100F603B"/>
    <w:rsid w:val="102F782E"/>
    <w:rsid w:val="10316B70"/>
    <w:rsid w:val="104B79FA"/>
    <w:rsid w:val="10593038"/>
    <w:rsid w:val="106D2F64"/>
    <w:rsid w:val="107F0B8D"/>
    <w:rsid w:val="10801A0D"/>
    <w:rsid w:val="1090632E"/>
    <w:rsid w:val="109C4CD3"/>
    <w:rsid w:val="10AB0728"/>
    <w:rsid w:val="10AB6660"/>
    <w:rsid w:val="10AC3A44"/>
    <w:rsid w:val="10B3413F"/>
    <w:rsid w:val="10B63710"/>
    <w:rsid w:val="10EA7240"/>
    <w:rsid w:val="10F10820"/>
    <w:rsid w:val="111C2F7A"/>
    <w:rsid w:val="11276176"/>
    <w:rsid w:val="115769B5"/>
    <w:rsid w:val="115F016F"/>
    <w:rsid w:val="11651569"/>
    <w:rsid w:val="11665CA1"/>
    <w:rsid w:val="116C422D"/>
    <w:rsid w:val="11716160"/>
    <w:rsid w:val="117B0D8C"/>
    <w:rsid w:val="11BA3663"/>
    <w:rsid w:val="11DB69D7"/>
    <w:rsid w:val="11E75871"/>
    <w:rsid w:val="11E84674"/>
    <w:rsid w:val="123F2296"/>
    <w:rsid w:val="12563CD8"/>
    <w:rsid w:val="12647080"/>
    <w:rsid w:val="12665599"/>
    <w:rsid w:val="126C4FE3"/>
    <w:rsid w:val="126E4098"/>
    <w:rsid w:val="12C3253E"/>
    <w:rsid w:val="12F632CE"/>
    <w:rsid w:val="13010D7D"/>
    <w:rsid w:val="130322F6"/>
    <w:rsid w:val="130431A6"/>
    <w:rsid w:val="13117C94"/>
    <w:rsid w:val="13155E00"/>
    <w:rsid w:val="13160D6D"/>
    <w:rsid w:val="13164834"/>
    <w:rsid w:val="1356385F"/>
    <w:rsid w:val="13573133"/>
    <w:rsid w:val="13626C02"/>
    <w:rsid w:val="136E2957"/>
    <w:rsid w:val="13951726"/>
    <w:rsid w:val="13AC657F"/>
    <w:rsid w:val="13AD31E0"/>
    <w:rsid w:val="13BE5982"/>
    <w:rsid w:val="13C45F96"/>
    <w:rsid w:val="13D74C58"/>
    <w:rsid w:val="13EA0B77"/>
    <w:rsid w:val="13EF07C3"/>
    <w:rsid w:val="13FD092F"/>
    <w:rsid w:val="14396509"/>
    <w:rsid w:val="144741B8"/>
    <w:rsid w:val="144C07BE"/>
    <w:rsid w:val="144C629F"/>
    <w:rsid w:val="146976FA"/>
    <w:rsid w:val="147105DB"/>
    <w:rsid w:val="14811BA7"/>
    <w:rsid w:val="149363ED"/>
    <w:rsid w:val="14A81B2B"/>
    <w:rsid w:val="14B10881"/>
    <w:rsid w:val="14B77DB4"/>
    <w:rsid w:val="14C60A34"/>
    <w:rsid w:val="14D273DE"/>
    <w:rsid w:val="14DD2C3C"/>
    <w:rsid w:val="15452855"/>
    <w:rsid w:val="15772E92"/>
    <w:rsid w:val="15791A87"/>
    <w:rsid w:val="15793835"/>
    <w:rsid w:val="159E5049"/>
    <w:rsid w:val="15AA1C40"/>
    <w:rsid w:val="15C26F8A"/>
    <w:rsid w:val="15D305E6"/>
    <w:rsid w:val="15D5759E"/>
    <w:rsid w:val="15F01D49"/>
    <w:rsid w:val="15F97C5A"/>
    <w:rsid w:val="16087E1D"/>
    <w:rsid w:val="16201F02"/>
    <w:rsid w:val="1627383C"/>
    <w:rsid w:val="162C3FED"/>
    <w:rsid w:val="163D2AB4"/>
    <w:rsid w:val="16484CE6"/>
    <w:rsid w:val="16631B49"/>
    <w:rsid w:val="16704C38"/>
    <w:rsid w:val="16745059"/>
    <w:rsid w:val="169A71C8"/>
    <w:rsid w:val="16E00E97"/>
    <w:rsid w:val="16EE33C9"/>
    <w:rsid w:val="16FE2244"/>
    <w:rsid w:val="1703329A"/>
    <w:rsid w:val="171001C9"/>
    <w:rsid w:val="171B0176"/>
    <w:rsid w:val="171D3947"/>
    <w:rsid w:val="171E1B30"/>
    <w:rsid w:val="172E39E8"/>
    <w:rsid w:val="17511575"/>
    <w:rsid w:val="175C7A7E"/>
    <w:rsid w:val="17701D14"/>
    <w:rsid w:val="17735226"/>
    <w:rsid w:val="178321B2"/>
    <w:rsid w:val="17920BDE"/>
    <w:rsid w:val="179E7F1D"/>
    <w:rsid w:val="179F247E"/>
    <w:rsid w:val="17A64EAC"/>
    <w:rsid w:val="17AA5F28"/>
    <w:rsid w:val="17B63973"/>
    <w:rsid w:val="17B9380E"/>
    <w:rsid w:val="17E901C5"/>
    <w:rsid w:val="1804022B"/>
    <w:rsid w:val="181001D4"/>
    <w:rsid w:val="18185587"/>
    <w:rsid w:val="183479B0"/>
    <w:rsid w:val="18387277"/>
    <w:rsid w:val="185760AF"/>
    <w:rsid w:val="18723513"/>
    <w:rsid w:val="1874293A"/>
    <w:rsid w:val="18896968"/>
    <w:rsid w:val="189746FE"/>
    <w:rsid w:val="189F624C"/>
    <w:rsid w:val="18A521B1"/>
    <w:rsid w:val="18A62DE3"/>
    <w:rsid w:val="18B4594F"/>
    <w:rsid w:val="18C61589"/>
    <w:rsid w:val="18DF4998"/>
    <w:rsid w:val="194F4AE5"/>
    <w:rsid w:val="195E6FCA"/>
    <w:rsid w:val="19616ABA"/>
    <w:rsid w:val="196531A2"/>
    <w:rsid w:val="196D1903"/>
    <w:rsid w:val="19821167"/>
    <w:rsid w:val="19901348"/>
    <w:rsid w:val="19920E25"/>
    <w:rsid w:val="19953E92"/>
    <w:rsid w:val="199844A2"/>
    <w:rsid w:val="19B71BDB"/>
    <w:rsid w:val="19D50A4D"/>
    <w:rsid w:val="19EB2693"/>
    <w:rsid w:val="19FD2C86"/>
    <w:rsid w:val="1A1104E0"/>
    <w:rsid w:val="1A1C66C0"/>
    <w:rsid w:val="1A255D39"/>
    <w:rsid w:val="1A3D12D5"/>
    <w:rsid w:val="1A42393B"/>
    <w:rsid w:val="1A453B65"/>
    <w:rsid w:val="1A472154"/>
    <w:rsid w:val="1A7D0EB2"/>
    <w:rsid w:val="1A7D7581"/>
    <w:rsid w:val="1A846DA9"/>
    <w:rsid w:val="1A8B0AAF"/>
    <w:rsid w:val="1AAD45DE"/>
    <w:rsid w:val="1AB90A23"/>
    <w:rsid w:val="1AEE2215"/>
    <w:rsid w:val="1AF1795F"/>
    <w:rsid w:val="1AF61E20"/>
    <w:rsid w:val="1AFE0587"/>
    <w:rsid w:val="1B046F80"/>
    <w:rsid w:val="1B1C0EEA"/>
    <w:rsid w:val="1B1C7DC9"/>
    <w:rsid w:val="1B1E536C"/>
    <w:rsid w:val="1B256474"/>
    <w:rsid w:val="1B3267B5"/>
    <w:rsid w:val="1B3A71CC"/>
    <w:rsid w:val="1B40161D"/>
    <w:rsid w:val="1B441859"/>
    <w:rsid w:val="1B5B65FA"/>
    <w:rsid w:val="1B6606B1"/>
    <w:rsid w:val="1B721452"/>
    <w:rsid w:val="1B722C31"/>
    <w:rsid w:val="1B7357D5"/>
    <w:rsid w:val="1BA07D6D"/>
    <w:rsid w:val="1BA23D33"/>
    <w:rsid w:val="1BAE6B87"/>
    <w:rsid w:val="1BB76E65"/>
    <w:rsid w:val="1BCA7127"/>
    <w:rsid w:val="1BE35EAC"/>
    <w:rsid w:val="1C0A1F1A"/>
    <w:rsid w:val="1C122EC4"/>
    <w:rsid w:val="1C123ACB"/>
    <w:rsid w:val="1C1A6466"/>
    <w:rsid w:val="1C4F16D7"/>
    <w:rsid w:val="1C5E7925"/>
    <w:rsid w:val="1C7F69F2"/>
    <w:rsid w:val="1C8B523A"/>
    <w:rsid w:val="1C964CCC"/>
    <w:rsid w:val="1CA47324"/>
    <w:rsid w:val="1CA838BD"/>
    <w:rsid w:val="1CB80CE0"/>
    <w:rsid w:val="1CC507B9"/>
    <w:rsid w:val="1CE869F2"/>
    <w:rsid w:val="1CF163A7"/>
    <w:rsid w:val="1CF2414D"/>
    <w:rsid w:val="1CFD070F"/>
    <w:rsid w:val="1D07292A"/>
    <w:rsid w:val="1D260A31"/>
    <w:rsid w:val="1D38258E"/>
    <w:rsid w:val="1D3E15EC"/>
    <w:rsid w:val="1D52157F"/>
    <w:rsid w:val="1D552DD9"/>
    <w:rsid w:val="1D5F6196"/>
    <w:rsid w:val="1D6132A5"/>
    <w:rsid w:val="1D6D4AB3"/>
    <w:rsid w:val="1D701108"/>
    <w:rsid w:val="1D743260"/>
    <w:rsid w:val="1D8A0330"/>
    <w:rsid w:val="1D8E56D5"/>
    <w:rsid w:val="1DAA037A"/>
    <w:rsid w:val="1DCD76E0"/>
    <w:rsid w:val="1DD65CC8"/>
    <w:rsid w:val="1DDA4F6C"/>
    <w:rsid w:val="1DE877AA"/>
    <w:rsid w:val="1DEF6D60"/>
    <w:rsid w:val="1E19315B"/>
    <w:rsid w:val="1E1D7096"/>
    <w:rsid w:val="1E2335E8"/>
    <w:rsid w:val="1E386398"/>
    <w:rsid w:val="1E394C7F"/>
    <w:rsid w:val="1E4F163C"/>
    <w:rsid w:val="1E746936"/>
    <w:rsid w:val="1E760AF9"/>
    <w:rsid w:val="1E7A43DA"/>
    <w:rsid w:val="1E8872C6"/>
    <w:rsid w:val="1E8D33A4"/>
    <w:rsid w:val="1EB06519"/>
    <w:rsid w:val="1ECF44C6"/>
    <w:rsid w:val="1ED90204"/>
    <w:rsid w:val="1EF046EA"/>
    <w:rsid w:val="1F0722BB"/>
    <w:rsid w:val="1F200154"/>
    <w:rsid w:val="1F292BE0"/>
    <w:rsid w:val="1F3709E9"/>
    <w:rsid w:val="1F604D4D"/>
    <w:rsid w:val="1F6E1F30"/>
    <w:rsid w:val="1FA825B5"/>
    <w:rsid w:val="1FAA07E2"/>
    <w:rsid w:val="1FAE497E"/>
    <w:rsid w:val="1FB04730"/>
    <w:rsid w:val="1FB45B95"/>
    <w:rsid w:val="1FBE4C66"/>
    <w:rsid w:val="1FDD081F"/>
    <w:rsid w:val="1FDD4BB8"/>
    <w:rsid w:val="1FDF19B2"/>
    <w:rsid w:val="1FE7539E"/>
    <w:rsid w:val="200F268C"/>
    <w:rsid w:val="203C3DDD"/>
    <w:rsid w:val="20457872"/>
    <w:rsid w:val="2048311A"/>
    <w:rsid w:val="205F1C37"/>
    <w:rsid w:val="20627B3C"/>
    <w:rsid w:val="20671BE0"/>
    <w:rsid w:val="206C18D0"/>
    <w:rsid w:val="206F55C8"/>
    <w:rsid w:val="207B4905"/>
    <w:rsid w:val="20820462"/>
    <w:rsid w:val="208A0FEC"/>
    <w:rsid w:val="2092327B"/>
    <w:rsid w:val="20963CB8"/>
    <w:rsid w:val="2099095F"/>
    <w:rsid w:val="20A81A1B"/>
    <w:rsid w:val="20B07FB6"/>
    <w:rsid w:val="20B22436"/>
    <w:rsid w:val="20B646FB"/>
    <w:rsid w:val="20B73737"/>
    <w:rsid w:val="20C91B14"/>
    <w:rsid w:val="20D06E6A"/>
    <w:rsid w:val="20EA188C"/>
    <w:rsid w:val="20FF57D6"/>
    <w:rsid w:val="212154AC"/>
    <w:rsid w:val="213571AA"/>
    <w:rsid w:val="213B74B1"/>
    <w:rsid w:val="213C1666"/>
    <w:rsid w:val="21564CC5"/>
    <w:rsid w:val="215A2310"/>
    <w:rsid w:val="21A165ED"/>
    <w:rsid w:val="21A954A2"/>
    <w:rsid w:val="21B15C80"/>
    <w:rsid w:val="21CE0815"/>
    <w:rsid w:val="21DE318A"/>
    <w:rsid w:val="21E14C3C"/>
    <w:rsid w:val="21ED4154"/>
    <w:rsid w:val="21EF5B80"/>
    <w:rsid w:val="21FA5CFD"/>
    <w:rsid w:val="22042B99"/>
    <w:rsid w:val="2228286B"/>
    <w:rsid w:val="22576990"/>
    <w:rsid w:val="225874CA"/>
    <w:rsid w:val="2265586D"/>
    <w:rsid w:val="22667118"/>
    <w:rsid w:val="226F5669"/>
    <w:rsid w:val="227E7720"/>
    <w:rsid w:val="228757E3"/>
    <w:rsid w:val="228F4698"/>
    <w:rsid w:val="22953338"/>
    <w:rsid w:val="22A72B65"/>
    <w:rsid w:val="22C50060"/>
    <w:rsid w:val="22C95DFC"/>
    <w:rsid w:val="22CF0A4F"/>
    <w:rsid w:val="22D01AC4"/>
    <w:rsid w:val="22F47480"/>
    <w:rsid w:val="230C24DB"/>
    <w:rsid w:val="232E7D6A"/>
    <w:rsid w:val="23331568"/>
    <w:rsid w:val="23360FCB"/>
    <w:rsid w:val="233D2346"/>
    <w:rsid w:val="23654CE3"/>
    <w:rsid w:val="237613B4"/>
    <w:rsid w:val="239A58DA"/>
    <w:rsid w:val="23B343B6"/>
    <w:rsid w:val="23B44646"/>
    <w:rsid w:val="23BA30B1"/>
    <w:rsid w:val="23BB3ED8"/>
    <w:rsid w:val="23CD53B2"/>
    <w:rsid w:val="23DE1C48"/>
    <w:rsid w:val="23E833FD"/>
    <w:rsid w:val="23F71277"/>
    <w:rsid w:val="23F73CAD"/>
    <w:rsid w:val="240210CD"/>
    <w:rsid w:val="240707B8"/>
    <w:rsid w:val="240F28C4"/>
    <w:rsid w:val="24170DE9"/>
    <w:rsid w:val="241A75B5"/>
    <w:rsid w:val="2426510F"/>
    <w:rsid w:val="24457D1C"/>
    <w:rsid w:val="24505CDB"/>
    <w:rsid w:val="2452597D"/>
    <w:rsid w:val="247C0D5F"/>
    <w:rsid w:val="24AD4D8B"/>
    <w:rsid w:val="24B86C56"/>
    <w:rsid w:val="24BF09F7"/>
    <w:rsid w:val="24D9606C"/>
    <w:rsid w:val="24EA02AB"/>
    <w:rsid w:val="24EF58C2"/>
    <w:rsid w:val="24F84776"/>
    <w:rsid w:val="25276E09"/>
    <w:rsid w:val="252D53FE"/>
    <w:rsid w:val="253755DC"/>
    <w:rsid w:val="255C294B"/>
    <w:rsid w:val="25685003"/>
    <w:rsid w:val="258778A8"/>
    <w:rsid w:val="259721E1"/>
    <w:rsid w:val="259F2E44"/>
    <w:rsid w:val="25A83E40"/>
    <w:rsid w:val="25AC7BD0"/>
    <w:rsid w:val="25D80104"/>
    <w:rsid w:val="25E44CFA"/>
    <w:rsid w:val="25EC2D81"/>
    <w:rsid w:val="25F71EBD"/>
    <w:rsid w:val="260352F7"/>
    <w:rsid w:val="26123616"/>
    <w:rsid w:val="261C26E6"/>
    <w:rsid w:val="26317E33"/>
    <w:rsid w:val="26393298"/>
    <w:rsid w:val="26396DF4"/>
    <w:rsid w:val="264D464E"/>
    <w:rsid w:val="265F132E"/>
    <w:rsid w:val="266A5916"/>
    <w:rsid w:val="26775B6F"/>
    <w:rsid w:val="26EB1EFE"/>
    <w:rsid w:val="26F265A0"/>
    <w:rsid w:val="270C62B7"/>
    <w:rsid w:val="27233CC4"/>
    <w:rsid w:val="273A02F7"/>
    <w:rsid w:val="27402CF7"/>
    <w:rsid w:val="274D5443"/>
    <w:rsid w:val="276F4604"/>
    <w:rsid w:val="277057A2"/>
    <w:rsid w:val="277A27E4"/>
    <w:rsid w:val="27866D41"/>
    <w:rsid w:val="27A44741"/>
    <w:rsid w:val="27BE42F7"/>
    <w:rsid w:val="27EB4FC6"/>
    <w:rsid w:val="282242EC"/>
    <w:rsid w:val="28251CB3"/>
    <w:rsid w:val="28285372"/>
    <w:rsid w:val="282F178C"/>
    <w:rsid w:val="283346EC"/>
    <w:rsid w:val="28547446"/>
    <w:rsid w:val="286701B3"/>
    <w:rsid w:val="288362E0"/>
    <w:rsid w:val="28877B07"/>
    <w:rsid w:val="28B27CA3"/>
    <w:rsid w:val="28C86F05"/>
    <w:rsid w:val="28C92298"/>
    <w:rsid w:val="28DB23E5"/>
    <w:rsid w:val="28EE0144"/>
    <w:rsid w:val="28F735E7"/>
    <w:rsid w:val="29206EB8"/>
    <w:rsid w:val="29361B55"/>
    <w:rsid w:val="29581C87"/>
    <w:rsid w:val="29595666"/>
    <w:rsid w:val="295E258C"/>
    <w:rsid w:val="296960FC"/>
    <w:rsid w:val="296A5517"/>
    <w:rsid w:val="29735BA5"/>
    <w:rsid w:val="29744A9A"/>
    <w:rsid w:val="29792F4F"/>
    <w:rsid w:val="297A286D"/>
    <w:rsid w:val="297D16EE"/>
    <w:rsid w:val="29874881"/>
    <w:rsid w:val="29DF5F05"/>
    <w:rsid w:val="29E01A3D"/>
    <w:rsid w:val="29E325E0"/>
    <w:rsid w:val="29EF3C6E"/>
    <w:rsid w:val="29F5733B"/>
    <w:rsid w:val="2A0E0B36"/>
    <w:rsid w:val="2A105D28"/>
    <w:rsid w:val="2A270F19"/>
    <w:rsid w:val="2A391AB9"/>
    <w:rsid w:val="2A3F026A"/>
    <w:rsid w:val="2A452503"/>
    <w:rsid w:val="2A577201"/>
    <w:rsid w:val="2A5A353E"/>
    <w:rsid w:val="2A673E21"/>
    <w:rsid w:val="2A797AE5"/>
    <w:rsid w:val="2A9E191C"/>
    <w:rsid w:val="2AC810AE"/>
    <w:rsid w:val="2ACD0453"/>
    <w:rsid w:val="2AD416D9"/>
    <w:rsid w:val="2AD97BBC"/>
    <w:rsid w:val="2AF6322A"/>
    <w:rsid w:val="2B277B63"/>
    <w:rsid w:val="2B3C2EE3"/>
    <w:rsid w:val="2B4F3AD4"/>
    <w:rsid w:val="2B5D17D7"/>
    <w:rsid w:val="2B6C7218"/>
    <w:rsid w:val="2B7B0382"/>
    <w:rsid w:val="2B8079E1"/>
    <w:rsid w:val="2B8C0BB3"/>
    <w:rsid w:val="2BA936A8"/>
    <w:rsid w:val="2BAA2542"/>
    <w:rsid w:val="2BBB64FD"/>
    <w:rsid w:val="2BEC2B5B"/>
    <w:rsid w:val="2BFD08C4"/>
    <w:rsid w:val="2C1A76C8"/>
    <w:rsid w:val="2C273541"/>
    <w:rsid w:val="2C315A5A"/>
    <w:rsid w:val="2C3857DE"/>
    <w:rsid w:val="2C480611"/>
    <w:rsid w:val="2C4B1C25"/>
    <w:rsid w:val="2C715B65"/>
    <w:rsid w:val="2C784594"/>
    <w:rsid w:val="2C7E0228"/>
    <w:rsid w:val="2C8939D9"/>
    <w:rsid w:val="2C8E7465"/>
    <w:rsid w:val="2CA607C9"/>
    <w:rsid w:val="2CAD1597"/>
    <w:rsid w:val="2CBA5779"/>
    <w:rsid w:val="2CC755B5"/>
    <w:rsid w:val="2CCF0BBF"/>
    <w:rsid w:val="2CD76FC5"/>
    <w:rsid w:val="2CE7111A"/>
    <w:rsid w:val="2D011884"/>
    <w:rsid w:val="2D03015C"/>
    <w:rsid w:val="2D0D55B5"/>
    <w:rsid w:val="2D1B501F"/>
    <w:rsid w:val="2D3104DB"/>
    <w:rsid w:val="2D3D2B71"/>
    <w:rsid w:val="2D605F0D"/>
    <w:rsid w:val="2D6066AC"/>
    <w:rsid w:val="2D675F2D"/>
    <w:rsid w:val="2D7A1184"/>
    <w:rsid w:val="2D9E56F5"/>
    <w:rsid w:val="2DA03BFD"/>
    <w:rsid w:val="2DD57EA3"/>
    <w:rsid w:val="2DD67E80"/>
    <w:rsid w:val="2DDD6926"/>
    <w:rsid w:val="2DE17822"/>
    <w:rsid w:val="2DE6282C"/>
    <w:rsid w:val="2E112405"/>
    <w:rsid w:val="2E2501F1"/>
    <w:rsid w:val="2E556795"/>
    <w:rsid w:val="2E667F96"/>
    <w:rsid w:val="2E714081"/>
    <w:rsid w:val="2E816A29"/>
    <w:rsid w:val="2E8226AB"/>
    <w:rsid w:val="2E8C5F2F"/>
    <w:rsid w:val="2E974057"/>
    <w:rsid w:val="2EED4C20"/>
    <w:rsid w:val="2EFD278B"/>
    <w:rsid w:val="2F0A3C19"/>
    <w:rsid w:val="2F3526AA"/>
    <w:rsid w:val="2F3650DA"/>
    <w:rsid w:val="2F3D7EDA"/>
    <w:rsid w:val="2F664C07"/>
    <w:rsid w:val="2F7B66D0"/>
    <w:rsid w:val="2F7C4A47"/>
    <w:rsid w:val="2FA07EE4"/>
    <w:rsid w:val="2FAC705E"/>
    <w:rsid w:val="2FB054D4"/>
    <w:rsid w:val="2FB82D1D"/>
    <w:rsid w:val="2FB90FC2"/>
    <w:rsid w:val="2FBD0A5E"/>
    <w:rsid w:val="2FCF2452"/>
    <w:rsid w:val="2FCF2577"/>
    <w:rsid w:val="2FD065E6"/>
    <w:rsid w:val="2FD96870"/>
    <w:rsid w:val="2FE029D7"/>
    <w:rsid w:val="2FF04B23"/>
    <w:rsid w:val="300F6E18"/>
    <w:rsid w:val="30146116"/>
    <w:rsid w:val="301A06E5"/>
    <w:rsid w:val="303D1BD7"/>
    <w:rsid w:val="304C1E1A"/>
    <w:rsid w:val="30580BC9"/>
    <w:rsid w:val="30601A91"/>
    <w:rsid w:val="306058C5"/>
    <w:rsid w:val="30870C83"/>
    <w:rsid w:val="3087275D"/>
    <w:rsid w:val="3099025F"/>
    <w:rsid w:val="309B180E"/>
    <w:rsid w:val="30B62A4C"/>
    <w:rsid w:val="30BA0F63"/>
    <w:rsid w:val="30C5204C"/>
    <w:rsid w:val="30D20571"/>
    <w:rsid w:val="30DA4536"/>
    <w:rsid w:val="30F909E0"/>
    <w:rsid w:val="311E2ED7"/>
    <w:rsid w:val="314553B9"/>
    <w:rsid w:val="314A1A4C"/>
    <w:rsid w:val="315109C0"/>
    <w:rsid w:val="315619EE"/>
    <w:rsid w:val="315C449C"/>
    <w:rsid w:val="31615451"/>
    <w:rsid w:val="3180200D"/>
    <w:rsid w:val="31B82709"/>
    <w:rsid w:val="31D05482"/>
    <w:rsid w:val="322A6712"/>
    <w:rsid w:val="322D17D7"/>
    <w:rsid w:val="323245F4"/>
    <w:rsid w:val="323D6058"/>
    <w:rsid w:val="323E5792"/>
    <w:rsid w:val="32400B34"/>
    <w:rsid w:val="32476D3D"/>
    <w:rsid w:val="32674CE9"/>
    <w:rsid w:val="32684074"/>
    <w:rsid w:val="327C2351"/>
    <w:rsid w:val="329E6876"/>
    <w:rsid w:val="329F28C4"/>
    <w:rsid w:val="32A26FE0"/>
    <w:rsid w:val="32D4172B"/>
    <w:rsid w:val="32D87995"/>
    <w:rsid w:val="32DF00FE"/>
    <w:rsid w:val="32E36F4F"/>
    <w:rsid w:val="33023519"/>
    <w:rsid w:val="330C2BF8"/>
    <w:rsid w:val="33222257"/>
    <w:rsid w:val="33244988"/>
    <w:rsid w:val="333015F2"/>
    <w:rsid w:val="334B6320"/>
    <w:rsid w:val="33522D27"/>
    <w:rsid w:val="33627CAD"/>
    <w:rsid w:val="336D632F"/>
    <w:rsid w:val="337C078F"/>
    <w:rsid w:val="33B9293B"/>
    <w:rsid w:val="33BB385F"/>
    <w:rsid w:val="33C7317F"/>
    <w:rsid w:val="33D934D4"/>
    <w:rsid w:val="33D95773"/>
    <w:rsid w:val="33DB7CF5"/>
    <w:rsid w:val="33EF3E2E"/>
    <w:rsid w:val="33FE2F6A"/>
    <w:rsid w:val="3402498B"/>
    <w:rsid w:val="34046957"/>
    <w:rsid w:val="340E07E5"/>
    <w:rsid w:val="3419316B"/>
    <w:rsid w:val="341E7629"/>
    <w:rsid w:val="34235BF7"/>
    <w:rsid w:val="343108FC"/>
    <w:rsid w:val="34402B3D"/>
    <w:rsid w:val="34431811"/>
    <w:rsid w:val="34470471"/>
    <w:rsid w:val="34522AA0"/>
    <w:rsid w:val="34931DC5"/>
    <w:rsid w:val="34BD16F5"/>
    <w:rsid w:val="34CE54F3"/>
    <w:rsid w:val="352F2054"/>
    <w:rsid w:val="35321F89"/>
    <w:rsid w:val="35516B4C"/>
    <w:rsid w:val="35611EC4"/>
    <w:rsid w:val="35786FFF"/>
    <w:rsid w:val="35793BA4"/>
    <w:rsid w:val="358C5FA8"/>
    <w:rsid w:val="359A22CB"/>
    <w:rsid w:val="35B724E2"/>
    <w:rsid w:val="35B743FA"/>
    <w:rsid w:val="35B8004A"/>
    <w:rsid w:val="35C12962"/>
    <w:rsid w:val="35C15DF1"/>
    <w:rsid w:val="35CF3399"/>
    <w:rsid w:val="35E44BE1"/>
    <w:rsid w:val="35E820B0"/>
    <w:rsid w:val="35EB5C31"/>
    <w:rsid w:val="35FB4343"/>
    <w:rsid w:val="360016DD"/>
    <w:rsid w:val="36074A7F"/>
    <w:rsid w:val="3608370C"/>
    <w:rsid w:val="360E27E5"/>
    <w:rsid w:val="361C469A"/>
    <w:rsid w:val="362A4376"/>
    <w:rsid w:val="363346DB"/>
    <w:rsid w:val="363C23CD"/>
    <w:rsid w:val="364C66D0"/>
    <w:rsid w:val="3658529C"/>
    <w:rsid w:val="36597E41"/>
    <w:rsid w:val="365D5F72"/>
    <w:rsid w:val="3667732D"/>
    <w:rsid w:val="36817C0D"/>
    <w:rsid w:val="36923549"/>
    <w:rsid w:val="36A42BA1"/>
    <w:rsid w:val="36AD28C0"/>
    <w:rsid w:val="36B75FBF"/>
    <w:rsid w:val="36BD0C45"/>
    <w:rsid w:val="36D31395"/>
    <w:rsid w:val="36E77CEA"/>
    <w:rsid w:val="37177E68"/>
    <w:rsid w:val="371A4544"/>
    <w:rsid w:val="371E3752"/>
    <w:rsid w:val="374677EC"/>
    <w:rsid w:val="374E00AC"/>
    <w:rsid w:val="37540586"/>
    <w:rsid w:val="376A4A2E"/>
    <w:rsid w:val="37753A3E"/>
    <w:rsid w:val="37826591"/>
    <w:rsid w:val="37936580"/>
    <w:rsid w:val="3795312A"/>
    <w:rsid w:val="37D968FB"/>
    <w:rsid w:val="37E00298"/>
    <w:rsid w:val="37FE23E2"/>
    <w:rsid w:val="381C6576"/>
    <w:rsid w:val="3822625D"/>
    <w:rsid w:val="383218F5"/>
    <w:rsid w:val="383B43B9"/>
    <w:rsid w:val="385C2E16"/>
    <w:rsid w:val="38612B0B"/>
    <w:rsid w:val="387D2DA5"/>
    <w:rsid w:val="38961E84"/>
    <w:rsid w:val="38A376EC"/>
    <w:rsid w:val="38A65E3F"/>
    <w:rsid w:val="38B302F9"/>
    <w:rsid w:val="38B90269"/>
    <w:rsid w:val="38F12CD3"/>
    <w:rsid w:val="38F94775"/>
    <w:rsid w:val="39274AEB"/>
    <w:rsid w:val="392971ED"/>
    <w:rsid w:val="39325651"/>
    <w:rsid w:val="3935715B"/>
    <w:rsid w:val="39362181"/>
    <w:rsid w:val="39684B05"/>
    <w:rsid w:val="396B4F0F"/>
    <w:rsid w:val="397715F8"/>
    <w:rsid w:val="39934616"/>
    <w:rsid w:val="39A71E6F"/>
    <w:rsid w:val="39CB3DB0"/>
    <w:rsid w:val="3A003566"/>
    <w:rsid w:val="3A1E0383"/>
    <w:rsid w:val="3A3758E9"/>
    <w:rsid w:val="3A406DCA"/>
    <w:rsid w:val="3A437005"/>
    <w:rsid w:val="3A476426"/>
    <w:rsid w:val="3A4F5492"/>
    <w:rsid w:val="3A7A6FDB"/>
    <w:rsid w:val="3A7B0635"/>
    <w:rsid w:val="3A872856"/>
    <w:rsid w:val="3A892F84"/>
    <w:rsid w:val="3A9025C3"/>
    <w:rsid w:val="3AA7481D"/>
    <w:rsid w:val="3ADE6408"/>
    <w:rsid w:val="3B00415E"/>
    <w:rsid w:val="3B294681"/>
    <w:rsid w:val="3B312338"/>
    <w:rsid w:val="3B3763D1"/>
    <w:rsid w:val="3B482958"/>
    <w:rsid w:val="3B5B1163"/>
    <w:rsid w:val="3B5F6EA5"/>
    <w:rsid w:val="3BAA1C70"/>
    <w:rsid w:val="3BBF2AA9"/>
    <w:rsid w:val="3BC1190E"/>
    <w:rsid w:val="3BDB4335"/>
    <w:rsid w:val="3BF13876"/>
    <w:rsid w:val="3C110DE0"/>
    <w:rsid w:val="3C2F6E1E"/>
    <w:rsid w:val="3C454B43"/>
    <w:rsid w:val="3C4A1903"/>
    <w:rsid w:val="3C4B567C"/>
    <w:rsid w:val="3C4F64BA"/>
    <w:rsid w:val="3C5E4559"/>
    <w:rsid w:val="3C790269"/>
    <w:rsid w:val="3C947ED8"/>
    <w:rsid w:val="3C975423"/>
    <w:rsid w:val="3CCC056A"/>
    <w:rsid w:val="3CCE3FB9"/>
    <w:rsid w:val="3CDA245A"/>
    <w:rsid w:val="3CDE4893"/>
    <w:rsid w:val="3D163AF2"/>
    <w:rsid w:val="3D173B18"/>
    <w:rsid w:val="3D1E06B7"/>
    <w:rsid w:val="3D2F4655"/>
    <w:rsid w:val="3D425197"/>
    <w:rsid w:val="3D581DFE"/>
    <w:rsid w:val="3D8343FA"/>
    <w:rsid w:val="3D8E75CE"/>
    <w:rsid w:val="3DA00B4F"/>
    <w:rsid w:val="3DA0768F"/>
    <w:rsid w:val="3DB05041"/>
    <w:rsid w:val="3DB80AEF"/>
    <w:rsid w:val="3DC70D32"/>
    <w:rsid w:val="3E23240C"/>
    <w:rsid w:val="3E295549"/>
    <w:rsid w:val="3E3F6B1A"/>
    <w:rsid w:val="3E481E73"/>
    <w:rsid w:val="3E525C32"/>
    <w:rsid w:val="3E541CE3"/>
    <w:rsid w:val="3E5F71BC"/>
    <w:rsid w:val="3E8715A9"/>
    <w:rsid w:val="3E927592"/>
    <w:rsid w:val="3EC130F0"/>
    <w:rsid w:val="3ECC1865"/>
    <w:rsid w:val="3EDA0523"/>
    <w:rsid w:val="3EF5367D"/>
    <w:rsid w:val="3EF936CA"/>
    <w:rsid w:val="3F024152"/>
    <w:rsid w:val="3F2F6E92"/>
    <w:rsid w:val="3F321E37"/>
    <w:rsid w:val="3F484E9A"/>
    <w:rsid w:val="3F4F0DE2"/>
    <w:rsid w:val="3F697B89"/>
    <w:rsid w:val="3F7912BC"/>
    <w:rsid w:val="3F9966FE"/>
    <w:rsid w:val="3FDB7C84"/>
    <w:rsid w:val="3FEA7875"/>
    <w:rsid w:val="3FEF0943"/>
    <w:rsid w:val="3FF12096"/>
    <w:rsid w:val="3FFE65EB"/>
    <w:rsid w:val="401B3989"/>
    <w:rsid w:val="40317D92"/>
    <w:rsid w:val="40387CC5"/>
    <w:rsid w:val="40462C3D"/>
    <w:rsid w:val="40477F08"/>
    <w:rsid w:val="404D701A"/>
    <w:rsid w:val="4050500F"/>
    <w:rsid w:val="40540DA9"/>
    <w:rsid w:val="405C7E57"/>
    <w:rsid w:val="405D3B2C"/>
    <w:rsid w:val="406665E0"/>
    <w:rsid w:val="406D3E12"/>
    <w:rsid w:val="407A6407"/>
    <w:rsid w:val="407B080A"/>
    <w:rsid w:val="40980E17"/>
    <w:rsid w:val="40BC075C"/>
    <w:rsid w:val="40E13EB9"/>
    <w:rsid w:val="40E613CB"/>
    <w:rsid w:val="40FC0CF2"/>
    <w:rsid w:val="4106408E"/>
    <w:rsid w:val="41110429"/>
    <w:rsid w:val="411B56C4"/>
    <w:rsid w:val="413C6216"/>
    <w:rsid w:val="41444BB4"/>
    <w:rsid w:val="41475C22"/>
    <w:rsid w:val="41537F37"/>
    <w:rsid w:val="415814B0"/>
    <w:rsid w:val="415843F5"/>
    <w:rsid w:val="41590785"/>
    <w:rsid w:val="415D5C35"/>
    <w:rsid w:val="4168694B"/>
    <w:rsid w:val="417B7450"/>
    <w:rsid w:val="418A0F44"/>
    <w:rsid w:val="4194783E"/>
    <w:rsid w:val="41993BC2"/>
    <w:rsid w:val="41A41AB6"/>
    <w:rsid w:val="41A65D7D"/>
    <w:rsid w:val="41FB0028"/>
    <w:rsid w:val="4200449D"/>
    <w:rsid w:val="42156510"/>
    <w:rsid w:val="4216511A"/>
    <w:rsid w:val="423A3BCC"/>
    <w:rsid w:val="424E57D2"/>
    <w:rsid w:val="42975177"/>
    <w:rsid w:val="42A81083"/>
    <w:rsid w:val="42B26C49"/>
    <w:rsid w:val="42CE7D3E"/>
    <w:rsid w:val="42E9556E"/>
    <w:rsid w:val="42FF1E08"/>
    <w:rsid w:val="430F518E"/>
    <w:rsid w:val="43173021"/>
    <w:rsid w:val="43201866"/>
    <w:rsid w:val="433A6FE6"/>
    <w:rsid w:val="433C29B6"/>
    <w:rsid w:val="43480868"/>
    <w:rsid w:val="434A3CF5"/>
    <w:rsid w:val="4350713C"/>
    <w:rsid w:val="435272F0"/>
    <w:rsid w:val="435D4C1C"/>
    <w:rsid w:val="435D75B5"/>
    <w:rsid w:val="436653E0"/>
    <w:rsid w:val="437B4D47"/>
    <w:rsid w:val="439354D4"/>
    <w:rsid w:val="43A4228B"/>
    <w:rsid w:val="43AD6F36"/>
    <w:rsid w:val="43B0149C"/>
    <w:rsid w:val="43C4431A"/>
    <w:rsid w:val="43DE6DD5"/>
    <w:rsid w:val="43DF784D"/>
    <w:rsid w:val="43EA39CC"/>
    <w:rsid w:val="44295CDE"/>
    <w:rsid w:val="442C18EF"/>
    <w:rsid w:val="44676118"/>
    <w:rsid w:val="447339C1"/>
    <w:rsid w:val="44735770"/>
    <w:rsid w:val="44866BBB"/>
    <w:rsid w:val="44A616A1"/>
    <w:rsid w:val="44B951CC"/>
    <w:rsid w:val="44CD14E0"/>
    <w:rsid w:val="44DA7903"/>
    <w:rsid w:val="44E34D6B"/>
    <w:rsid w:val="44ED35B5"/>
    <w:rsid w:val="44EE2DF8"/>
    <w:rsid w:val="44F20B0B"/>
    <w:rsid w:val="44F66928"/>
    <w:rsid w:val="44FF5255"/>
    <w:rsid w:val="450308A1"/>
    <w:rsid w:val="451E1B7F"/>
    <w:rsid w:val="452D1DC2"/>
    <w:rsid w:val="452E5F4C"/>
    <w:rsid w:val="454B66EB"/>
    <w:rsid w:val="45612018"/>
    <w:rsid w:val="45717F01"/>
    <w:rsid w:val="457C68A6"/>
    <w:rsid w:val="457E31A4"/>
    <w:rsid w:val="458946E9"/>
    <w:rsid w:val="45A47C0E"/>
    <w:rsid w:val="45B52D58"/>
    <w:rsid w:val="46274A64"/>
    <w:rsid w:val="462D04F5"/>
    <w:rsid w:val="46374BE5"/>
    <w:rsid w:val="463B60DF"/>
    <w:rsid w:val="46577FD6"/>
    <w:rsid w:val="46603A44"/>
    <w:rsid w:val="46611BF5"/>
    <w:rsid w:val="46AC5F7E"/>
    <w:rsid w:val="46C74147"/>
    <w:rsid w:val="46CD068A"/>
    <w:rsid w:val="46CE1383"/>
    <w:rsid w:val="46D1677D"/>
    <w:rsid w:val="46D955A7"/>
    <w:rsid w:val="46E81166"/>
    <w:rsid w:val="46FF32EA"/>
    <w:rsid w:val="47086605"/>
    <w:rsid w:val="470E79D1"/>
    <w:rsid w:val="47133957"/>
    <w:rsid w:val="474A6017"/>
    <w:rsid w:val="4751711A"/>
    <w:rsid w:val="4752780B"/>
    <w:rsid w:val="476846FD"/>
    <w:rsid w:val="47745F05"/>
    <w:rsid w:val="4781047D"/>
    <w:rsid w:val="47902DF2"/>
    <w:rsid w:val="479229E6"/>
    <w:rsid w:val="479F54DD"/>
    <w:rsid w:val="47A07E0C"/>
    <w:rsid w:val="47AD71EA"/>
    <w:rsid w:val="47CA7D9C"/>
    <w:rsid w:val="47D115FE"/>
    <w:rsid w:val="47F045E0"/>
    <w:rsid w:val="481E59F2"/>
    <w:rsid w:val="48537D92"/>
    <w:rsid w:val="48623B31"/>
    <w:rsid w:val="48693111"/>
    <w:rsid w:val="4870272E"/>
    <w:rsid w:val="489348DF"/>
    <w:rsid w:val="48937BFC"/>
    <w:rsid w:val="4899794B"/>
    <w:rsid w:val="489A151D"/>
    <w:rsid w:val="48B06FCF"/>
    <w:rsid w:val="48BF1AC0"/>
    <w:rsid w:val="48CB3DCC"/>
    <w:rsid w:val="48D16F09"/>
    <w:rsid w:val="48D22655"/>
    <w:rsid w:val="48D8725E"/>
    <w:rsid w:val="48DE6FFF"/>
    <w:rsid w:val="48E02CBA"/>
    <w:rsid w:val="48EE736A"/>
    <w:rsid w:val="49006068"/>
    <w:rsid w:val="49210587"/>
    <w:rsid w:val="493228D3"/>
    <w:rsid w:val="493C2F20"/>
    <w:rsid w:val="49531B59"/>
    <w:rsid w:val="49724248"/>
    <w:rsid w:val="497A5EB5"/>
    <w:rsid w:val="498E7C1A"/>
    <w:rsid w:val="499917D4"/>
    <w:rsid w:val="49A64F01"/>
    <w:rsid w:val="49A87C69"/>
    <w:rsid w:val="49A94C84"/>
    <w:rsid w:val="49D2609F"/>
    <w:rsid w:val="49DC7715"/>
    <w:rsid w:val="49DF4779"/>
    <w:rsid w:val="49E35145"/>
    <w:rsid w:val="49E51878"/>
    <w:rsid w:val="49FB423D"/>
    <w:rsid w:val="4A023139"/>
    <w:rsid w:val="4A0250DD"/>
    <w:rsid w:val="4A055E16"/>
    <w:rsid w:val="4A080843"/>
    <w:rsid w:val="4A2540DF"/>
    <w:rsid w:val="4A2D478B"/>
    <w:rsid w:val="4A316608"/>
    <w:rsid w:val="4A320A5D"/>
    <w:rsid w:val="4A6A4E7B"/>
    <w:rsid w:val="4A7B576F"/>
    <w:rsid w:val="4A7C70F3"/>
    <w:rsid w:val="4A85677E"/>
    <w:rsid w:val="4A857FAB"/>
    <w:rsid w:val="4A910798"/>
    <w:rsid w:val="4A940BA9"/>
    <w:rsid w:val="4AA929DC"/>
    <w:rsid w:val="4AAB2C2A"/>
    <w:rsid w:val="4AB92052"/>
    <w:rsid w:val="4ADE53B7"/>
    <w:rsid w:val="4ADF5158"/>
    <w:rsid w:val="4AE922E8"/>
    <w:rsid w:val="4AF561A9"/>
    <w:rsid w:val="4B0C52F8"/>
    <w:rsid w:val="4B1E46BF"/>
    <w:rsid w:val="4B294DDA"/>
    <w:rsid w:val="4B2B0B52"/>
    <w:rsid w:val="4B4B2FA2"/>
    <w:rsid w:val="4B4C343E"/>
    <w:rsid w:val="4B50680B"/>
    <w:rsid w:val="4B55797D"/>
    <w:rsid w:val="4B5E0F27"/>
    <w:rsid w:val="4B6127C6"/>
    <w:rsid w:val="4B726781"/>
    <w:rsid w:val="4B946616"/>
    <w:rsid w:val="4B9E3B1C"/>
    <w:rsid w:val="4BAE52DF"/>
    <w:rsid w:val="4BDF0831"/>
    <w:rsid w:val="4BFE0015"/>
    <w:rsid w:val="4C0849EF"/>
    <w:rsid w:val="4C0B2731"/>
    <w:rsid w:val="4C0F4D8B"/>
    <w:rsid w:val="4C1E56C0"/>
    <w:rsid w:val="4C225C39"/>
    <w:rsid w:val="4C2F6420"/>
    <w:rsid w:val="4C3E5190"/>
    <w:rsid w:val="4C4A0649"/>
    <w:rsid w:val="4C4D4AF8"/>
    <w:rsid w:val="4C681932"/>
    <w:rsid w:val="4C7B78B7"/>
    <w:rsid w:val="4C7E5ECA"/>
    <w:rsid w:val="4C876AA5"/>
    <w:rsid w:val="4C8B19C3"/>
    <w:rsid w:val="4C947321"/>
    <w:rsid w:val="4CA95F5F"/>
    <w:rsid w:val="4CD07C03"/>
    <w:rsid w:val="4CD6689C"/>
    <w:rsid w:val="4CDB0356"/>
    <w:rsid w:val="4CE049BE"/>
    <w:rsid w:val="4CE92F73"/>
    <w:rsid w:val="4CEC14D0"/>
    <w:rsid w:val="4CF82CB6"/>
    <w:rsid w:val="4D0E00FB"/>
    <w:rsid w:val="4D151ABA"/>
    <w:rsid w:val="4D176606"/>
    <w:rsid w:val="4D2C0DB0"/>
    <w:rsid w:val="4D8367CC"/>
    <w:rsid w:val="4D8B1D7C"/>
    <w:rsid w:val="4D99279A"/>
    <w:rsid w:val="4D9D560B"/>
    <w:rsid w:val="4DB36BDD"/>
    <w:rsid w:val="4DC16DD5"/>
    <w:rsid w:val="4DCB0EF8"/>
    <w:rsid w:val="4DE904E0"/>
    <w:rsid w:val="4DEC4FB0"/>
    <w:rsid w:val="4E075D8A"/>
    <w:rsid w:val="4E115472"/>
    <w:rsid w:val="4E151645"/>
    <w:rsid w:val="4E222FDC"/>
    <w:rsid w:val="4E316171"/>
    <w:rsid w:val="4E402B66"/>
    <w:rsid w:val="4E6D410D"/>
    <w:rsid w:val="4E800DD9"/>
    <w:rsid w:val="4E965BF7"/>
    <w:rsid w:val="4EA136E6"/>
    <w:rsid w:val="4EA65417"/>
    <w:rsid w:val="4EA712B6"/>
    <w:rsid w:val="4EC00FAD"/>
    <w:rsid w:val="4ECA0682"/>
    <w:rsid w:val="4ED432AF"/>
    <w:rsid w:val="4EDD03B5"/>
    <w:rsid w:val="4EE768C1"/>
    <w:rsid w:val="4EFF657E"/>
    <w:rsid w:val="4F082DD2"/>
    <w:rsid w:val="4F334479"/>
    <w:rsid w:val="4F3501F1"/>
    <w:rsid w:val="4F4D2A95"/>
    <w:rsid w:val="4F512B51"/>
    <w:rsid w:val="4F5848ED"/>
    <w:rsid w:val="4F7D7924"/>
    <w:rsid w:val="4F7E3D02"/>
    <w:rsid w:val="4F840831"/>
    <w:rsid w:val="4F9843DC"/>
    <w:rsid w:val="4FBA1D96"/>
    <w:rsid w:val="4FC62A8C"/>
    <w:rsid w:val="4FD54AD8"/>
    <w:rsid w:val="4FDC708C"/>
    <w:rsid w:val="4FE20F0D"/>
    <w:rsid w:val="4FE51552"/>
    <w:rsid w:val="4FF800BE"/>
    <w:rsid w:val="500D6A78"/>
    <w:rsid w:val="5012408F"/>
    <w:rsid w:val="503808AC"/>
    <w:rsid w:val="50445C59"/>
    <w:rsid w:val="50477F26"/>
    <w:rsid w:val="50504C4B"/>
    <w:rsid w:val="50616DC4"/>
    <w:rsid w:val="506C7763"/>
    <w:rsid w:val="50703A76"/>
    <w:rsid w:val="5071695E"/>
    <w:rsid w:val="50805A14"/>
    <w:rsid w:val="509428C8"/>
    <w:rsid w:val="50967C07"/>
    <w:rsid w:val="509C6E7C"/>
    <w:rsid w:val="50AF6E33"/>
    <w:rsid w:val="50D130C8"/>
    <w:rsid w:val="50D158C3"/>
    <w:rsid w:val="50D5244B"/>
    <w:rsid w:val="50ED2406"/>
    <w:rsid w:val="50EE2CEC"/>
    <w:rsid w:val="50EF0A8F"/>
    <w:rsid w:val="512A0B7F"/>
    <w:rsid w:val="513B13C3"/>
    <w:rsid w:val="51406D80"/>
    <w:rsid w:val="515367A6"/>
    <w:rsid w:val="515E4AE3"/>
    <w:rsid w:val="515F4ABE"/>
    <w:rsid w:val="5162104E"/>
    <w:rsid w:val="516E677E"/>
    <w:rsid w:val="517D7C2E"/>
    <w:rsid w:val="517F3E88"/>
    <w:rsid w:val="51A92B15"/>
    <w:rsid w:val="51AE74D4"/>
    <w:rsid w:val="51B11685"/>
    <w:rsid w:val="51D31874"/>
    <w:rsid w:val="51DF2787"/>
    <w:rsid w:val="51DF5D2C"/>
    <w:rsid w:val="52187956"/>
    <w:rsid w:val="523A167B"/>
    <w:rsid w:val="525E366C"/>
    <w:rsid w:val="52733F35"/>
    <w:rsid w:val="528374C6"/>
    <w:rsid w:val="5290573F"/>
    <w:rsid w:val="529E1C09"/>
    <w:rsid w:val="52C75AF7"/>
    <w:rsid w:val="52F61A46"/>
    <w:rsid w:val="530028C4"/>
    <w:rsid w:val="53071EA5"/>
    <w:rsid w:val="530D63C4"/>
    <w:rsid w:val="53126739"/>
    <w:rsid w:val="532C0D46"/>
    <w:rsid w:val="532F3AA7"/>
    <w:rsid w:val="53395DD6"/>
    <w:rsid w:val="537163C4"/>
    <w:rsid w:val="537A056B"/>
    <w:rsid w:val="537F7C8D"/>
    <w:rsid w:val="53912714"/>
    <w:rsid w:val="539128D9"/>
    <w:rsid w:val="539F5829"/>
    <w:rsid w:val="53A039CC"/>
    <w:rsid w:val="53A1505A"/>
    <w:rsid w:val="53D004E8"/>
    <w:rsid w:val="53F7058E"/>
    <w:rsid w:val="54063E08"/>
    <w:rsid w:val="54171E4D"/>
    <w:rsid w:val="5420737B"/>
    <w:rsid w:val="542D7805"/>
    <w:rsid w:val="543437E8"/>
    <w:rsid w:val="54593DA2"/>
    <w:rsid w:val="54752E3E"/>
    <w:rsid w:val="5475533D"/>
    <w:rsid w:val="54B83F4D"/>
    <w:rsid w:val="54C01805"/>
    <w:rsid w:val="54F73313"/>
    <w:rsid w:val="54F80955"/>
    <w:rsid w:val="54FC789B"/>
    <w:rsid w:val="55012924"/>
    <w:rsid w:val="550541C2"/>
    <w:rsid w:val="554C3B9F"/>
    <w:rsid w:val="555170A7"/>
    <w:rsid w:val="556810DC"/>
    <w:rsid w:val="557A5AFD"/>
    <w:rsid w:val="5587536D"/>
    <w:rsid w:val="559612BE"/>
    <w:rsid w:val="559B174B"/>
    <w:rsid w:val="55A41C2D"/>
    <w:rsid w:val="55CB2C42"/>
    <w:rsid w:val="55CE0CF4"/>
    <w:rsid w:val="55D61A36"/>
    <w:rsid w:val="561670E5"/>
    <w:rsid w:val="562D273B"/>
    <w:rsid w:val="5630526E"/>
    <w:rsid w:val="56352E5C"/>
    <w:rsid w:val="56376ECA"/>
    <w:rsid w:val="56486A5C"/>
    <w:rsid w:val="56566879"/>
    <w:rsid w:val="5664702C"/>
    <w:rsid w:val="567C14AD"/>
    <w:rsid w:val="56A0017C"/>
    <w:rsid w:val="56B22A9C"/>
    <w:rsid w:val="56E44BB1"/>
    <w:rsid w:val="56EF389E"/>
    <w:rsid w:val="570606C5"/>
    <w:rsid w:val="57212E09"/>
    <w:rsid w:val="572528F9"/>
    <w:rsid w:val="574B2AF7"/>
    <w:rsid w:val="57660B55"/>
    <w:rsid w:val="577A6A91"/>
    <w:rsid w:val="57830B0E"/>
    <w:rsid w:val="57A019EE"/>
    <w:rsid w:val="57A1025C"/>
    <w:rsid w:val="57B72A76"/>
    <w:rsid w:val="57C3426C"/>
    <w:rsid w:val="57CE1F93"/>
    <w:rsid w:val="57EF1159"/>
    <w:rsid w:val="58095D77"/>
    <w:rsid w:val="582259CB"/>
    <w:rsid w:val="582E3E73"/>
    <w:rsid w:val="583D0374"/>
    <w:rsid w:val="583F3A73"/>
    <w:rsid w:val="5853793A"/>
    <w:rsid w:val="58661294"/>
    <w:rsid w:val="586A749A"/>
    <w:rsid w:val="587A7079"/>
    <w:rsid w:val="588743D1"/>
    <w:rsid w:val="5887701A"/>
    <w:rsid w:val="588817BB"/>
    <w:rsid w:val="588B1A9C"/>
    <w:rsid w:val="5897746B"/>
    <w:rsid w:val="58CB74D0"/>
    <w:rsid w:val="58D85F49"/>
    <w:rsid w:val="58DF5B47"/>
    <w:rsid w:val="58F25C6F"/>
    <w:rsid w:val="59305585"/>
    <w:rsid w:val="59416EAC"/>
    <w:rsid w:val="59426171"/>
    <w:rsid w:val="595B2910"/>
    <w:rsid w:val="59622529"/>
    <w:rsid w:val="59633680"/>
    <w:rsid w:val="599C4511"/>
    <w:rsid w:val="59B83EF9"/>
    <w:rsid w:val="59C0439F"/>
    <w:rsid w:val="59C70328"/>
    <w:rsid w:val="59D4360F"/>
    <w:rsid w:val="59DF3C54"/>
    <w:rsid w:val="59E9158F"/>
    <w:rsid w:val="5A010420"/>
    <w:rsid w:val="5A022ABC"/>
    <w:rsid w:val="5A051ED8"/>
    <w:rsid w:val="5A150F5A"/>
    <w:rsid w:val="5A3F1F24"/>
    <w:rsid w:val="5A5A6D5E"/>
    <w:rsid w:val="5A6A06C9"/>
    <w:rsid w:val="5A7528E7"/>
    <w:rsid w:val="5ABE2233"/>
    <w:rsid w:val="5AE34918"/>
    <w:rsid w:val="5AED1980"/>
    <w:rsid w:val="5B00575A"/>
    <w:rsid w:val="5B0942E0"/>
    <w:rsid w:val="5B0C00F7"/>
    <w:rsid w:val="5B1E6BBC"/>
    <w:rsid w:val="5B3C4B26"/>
    <w:rsid w:val="5B464723"/>
    <w:rsid w:val="5B4B2B4A"/>
    <w:rsid w:val="5B592800"/>
    <w:rsid w:val="5B5C24E6"/>
    <w:rsid w:val="5B6F51A8"/>
    <w:rsid w:val="5B982FBB"/>
    <w:rsid w:val="5B991B08"/>
    <w:rsid w:val="5BDF5D95"/>
    <w:rsid w:val="5BFE7528"/>
    <w:rsid w:val="5C0D7E00"/>
    <w:rsid w:val="5C146DAB"/>
    <w:rsid w:val="5C226863"/>
    <w:rsid w:val="5C30522C"/>
    <w:rsid w:val="5C3D2493"/>
    <w:rsid w:val="5C41031A"/>
    <w:rsid w:val="5C4150AC"/>
    <w:rsid w:val="5C6902F8"/>
    <w:rsid w:val="5C7E485A"/>
    <w:rsid w:val="5CA343C7"/>
    <w:rsid w:val="5CBF559E"/>
    <w:rsid w:val="5D3060F8"/>
    <w:rsid w:val="5D5D3279"/>
    <w:rsid w:val="5D6804BD"/>
    <w:rsid w:val="5D79677A"/>
    <w:rsid w:val="5DA12D7C"/>
    <w:rsid w:val="5DAA65E5"/>
    <w:rsid w:val="5DBE13B2"/>
    <w:rsid w:val="5DF55E4E"/>
    <w:rsid w:val="5DFE5C52"/>
    <w:rsid w:val="5E2467F1"/>
    <w:rsid w:val="5E274064"/>
    <w:rsid w:val="5E3D440A"/>
    <w:rsid w:val="5E4915C3"/>
    <w:rsid w:val="5E844376"/>
    <w:rsid w:val="5EAA2C55"/>
    <w:rsid w:val="5EAD0BB2"/>
    <w:rsid w:val="5EB20DA6"/>
    <w:rsid w:val="5ED13367"/>
    <w:rsid w:val="5EE27322"/>
    <w:rsid w:val="5EEF3E3F"/>
    <w:rsid w:val="5F125E59"/>
    <w:rsid w:val="5F1A2B43"/>
    <w:rsid w:val="5F1D38C7"/>
    <w:rsid w:val="5F227739"/>
    <w:rsid w:val="5F4F714B"/>
    <w:rsid w:val="5F6575F5"/>
    <w:rsid w:val="5FAD2FF7"/>
    <w:rsid w:val="5FB306AA"/>
    <w:rsid w:val="5FB837BB"/>
    <w:rsid w:val="5FB94527"/>
    <w:rsid w:val="5FCA04E2"/>
    <w:rsid w:val="5FDE405F"/>
    <w:rsid w:val="6002323E"/>
    <w:rsid w:val="60035BCB"/>
    <w:rsid w:val="60160AA9"/>
    <w:rsid w:val="602F5F9D"/>
    <w:rsid w:val="60372367"/>
    <w:rsid w:val="605C07F6"/>
    <w:rsid w:val="606E28F0"/>
    <w:rsid w:val="607B7A2E"/>
    <w:rsid w:val="608F6263"/>
    <w:rsid w:val="609536AB"/>
    <w:rsid w:val="609D79A4"/>
    <w:rsid w:val="60BD2DA5"/>
    <w:rsid w:val="60C05A34"/>
    <w:rsid w:val="60C110F2"/>
    <w:rsid w:val="60CC405A"/>
    <w:rsid w:val="60DA0809"/>
    <w:rsid w:val="60E952E3"/>
    <w:rsid w:val="611411DF"/>
    <w:rsid w:val="61152EB3"/>
    <w:rsid w:val="61287423"/>
    <w:rsid w:val="612E1517"/>
    <w:rsid w:val="612E2CF2"/>
    <w:rsid w:val="6138147B"/>
    <w:rsid w:val="615844FD"/>
    <w:rsid w:val="617777DD"/>
    <w:rsid w:val="619A43C4"/>
    <w:rsid w:val="61AF5DE8"/>
    <w:rsid w:val="61D373F6"/>
    <w:rsid w:val="61E11B13"/>
    <w:rsid w:val="61E215D8"/>
    <w:rsid w:val="61E909C7"/>
    <w:rsid w:val="61F658B1"/>
    <w:rsid w:val="61F717D4"/>
    <w:rsid w:val="621B3775"/>
    <w:rsid w:val="62364782"/>
    <w:rsid w:val="624331DF"/>
    <w:rsid w:val="624D09AF"/>
    <w:rsid w:val="62614BA1"/>
    <w:rsid w:val="626C5880"/>
    <w:rsid w:val="626E6459"/>
    <w:rsid w:val="627209BD"/>
    <w:rsid w:val="62826A20"/>
    <w:rsid w:val="62901D82"/>
    <w:rsid w:val="629642BB"/>
    <w:rsid w:val="62A36DC8"/>
    <w:rsid w:val="62B965EC"/>
    <w:rsid w:val="62C85135"/>
    <w:rsid w:val="62DE6052"/>
    <w:rsid w:val="62E84ADA"/>
    <w:rsid w:val="62EC076F"/>
    <w:rsid w:val="63222F8D"/>
    <w:rsid w:val="63452257"/>
    <w:rsid w:val="634633F6"/>
    <w:rsid w:val="63546CE0"/>
    <w:rsid w:val="636852DF"/>
    <w:rsid w:val="6372210C"/>
    <w:rsid w:val="63824442"/>
    <w:rsid w:val="63894210"/>
    <w:rsid w:val="63910D28"/>
    <w:rsid w:val="6394356A"/>
    <w:rsid w:val="639D4CF9"/>
    <w:rsid w:val="639D5F0D"/>
    <w:rsid w:val="639F7B81"/>
    <w:rsid w:val="639F7EE0"/>
    <w:rsid w:val="63C61B2C"/>
    <w:rsid w:val="63C9209B"/>
    <w:rsid w:val="63CF1F95"/>
    <w:rsid w:val="63D40BE9"/>
    <w:rsid w:val="63F54866"/>
    <w:rsid w:val="64030466"/>
    <w:rsid w:val="64080D37"/>
    <w:rsid w:val="64102431"/>
    <w:rsid w:val="64137F7D"/>
    <w:rsid w:val="6417181C"/>
    <w:rsid w:val="642553E3"/>
    <w:rsid w:val="643028DD"/>
    <w:rsid w:val="643B3538"/>
    <w:rsid w:val="64446389"/>
    <w:rsid w:val="64590086"/>
    <w:rsid w:val="645E38EF"/>
    <w:rsid w:val="648F3AA8"/>
    <w:rsid w:val="64956FE9"/>
    <w:rsid w:val="649B1A22"/>
    <w:rsid w:val="64A5243A"/>
    <w:rsid w:val="64A84B6A"/>
    <w:rsid w:val="64AA08E2"/>
    <w:rsid w:val="64F531DE"/>
    <w:rsid w:val="652D7C77"/>
    <w:rsid w:val="65373578"/>
    <w:rsid w:val="65436EA4"/>
    <w:rsid w:val="6547010C"/>
    <w:rsid w:val="654B2D24"/>
    <w:rsid w:val="65744A4C"/>
    <w:rsid w:val="657F58CB"/>
    <w:rsid w:val="65853EEA"/>
    <w:rsid w:val="659A2704"/>
    <w:rsid w:val="65A66489"/>
    <w:rsid w:val="65B62FE7"/>
    <w:rsid w:val="65C82BED"/>
    <w:rsid w:val="65F13B12"/>
    <w:rsid w:val="662B2FED"/>
    <w:rsid w:val="664C77F7"/>
    <w:rsid w:val="664D662E"/>
    <w:rsid w:val="666C01DA"/>
    <w:rsid w:val="667C4366"/>
    <w:rsid w:val="667F0FA8"/>
    <w:rsid w:val="668F7EC3"/>
    <w:rsid w:val="669B6734"/>
    <w:rsid w:val="66D442C9"/>
    <w:rsid w:val="66D53406"/>
    <w:rsid w:val="66DC192D"/>
    <w:rsid w:val="66E147D1"/>
    <w:rsid w:val="66F347C2"/>
    <w:rsid w:val="670936A0"/>
    <w:rsid w:val="670B708D"/>
    <w:rsid w:val="670F519E"/>
    <w:rsid w:val="671362D9"/>
    <w:rsid w:val="671852DE"/>
    <w:rsid w:val="671F124A"/>
    <w:rsid w:val="6721370B"/>
    <w:rsid w:val="672243D1"/>
    <w:rsid w:val="67281F92"/>
    <w:rsid w:val="67492634"/>
    <w:rsid w:val="675B5EC3"/>
    <w:rsid w:val="677A33C6"/>
    <w:rsid w:val="678E2ADF"/>
    <w:rsid w:val="67CD165D"/>
    <w:rsid w:val="67EF6AF5"/>
    <w:rsid w:val="67F468E2"/>
    <w:rsid w:val="68016A6B"/>
    <w:rsid w:val="68061846"/>
    <w:rsid w:val="681F6961"/>
    <w:rsid w:val="68384853"/>
    <w:rsid w:val="6851520C"/>
    <w:rsid w:val="68610A2F"/>
    <w:rsid w:val="68727968"/>
    <w:rsid w:val="68776D2D"/>
    <w:rsid w:val="68805514"/>
    <w:rsid w:val="68863414"/>
    <w:rsid w:val="68B60BB5"/>
    <w:rsid w:val="68BC34F1"/>
    <w:rsid w:val="68DE2AE2"/>
    <w:rsid w:val="68E41866"/>
    <w:rsid w:val="69316E2F"/>
    <w:rsid w:val="694965AB"/>
    <w:rsid w:val="694A5C72"/>
    <w:rsid w:val="694E2071"/>
    <w:rsid w:val="69547468"/>
    <w:rsid w:val="695A3B2C"/>
    <w:rsid w:val="695F0DD1"/>
    <w:rsid w:val="69763488"/>
    <w:rsid w:val="69766163"/>
    <w:rsid w:val="697A3B33"/>
    <w:rsid w:val="69950D2C"/>
    <w:rsid w:val="699B0A85"/>
    <w:rsid w:val="69AD4F53"/>
    <w:rsid w:val="69C353DF"/>
    <w:rsid w:val="69C94FDA"/>
    <w:rsid w:val="69CD7D75"/>
    <w:rsid w:val="69D44760"/>
    <w:rsid w:val="69F00FB1"/>
    <w:rsid w:val="69F77510"/>
    <w:rsid w:val="69FA0B6D"/>
    <w:rsid w:val="69FB258E"/>
    <w:rsid w:val="6A05722C"/>
    <w:rsid w:val="6A0C5884"/>
    <w:rsid w:val="6A197154"/>
    <w:rsid w:val="6A2D1D11"/>
    <w:rsid w:val="6A3749C6"/>
    <w:rsid w:val="6A3E2A89"/>
    <w:rsid w:val="6A3F1ACC"/>
    <w:rsid w:val="6A520EC7"/>
    <w:rsid w:val="6A764CCA"/>
    <w:rsid w:val="6A793230"/>
    <w:rsid w:val="6A794FDE"/>
    <w:rsid w:val="6A7A1926"/>
    <w:rsid w:val="6A9A31A7"/>
    <w:rsid w:val="6AA656A7"/>
    <w:rsid w:val="6AAF6C4E"/>
    <w:rsid w:val="6ABC4ECB"/>
    <w:rsid w:val="6AC87FE6"/>
    <w:rsid w:val="6ACA2846"/>
    <w:rsid w:val="6AF64881"/>
    <w:rsid w:val="6AF87E20"/>
    <w:rsid w:val="6B105B9F"/>
    <w:rsid w:val="6B144D07"/>
    <w:rsid w:val="6B1B0CD9"/>
    <w:rsid w:val="6B284A57"/>
    <w:rsid w:val="6B322639"/>
    <w:rsid w:val="6B3B7BB1"/>
    <w:rsid w:val="6B480E55"/>
    <w:rsid w:val="6B677937"/>
    <w:rsid w:val="6B6B5F51"/>
    <w:rsid w:val="6B736057"/>
    <w:rsid w:val="6B8C6F93"/>
    <w:rsid w:val="6B9B0F84"/>
    <w:rsid w:val="6BA53BB1"/>
    <w:rsid w:val="6BDB2EC3"/>
    <w:rsid w:val="6BF26D34"/>
    <w:rsid w:val="6C07239D"/>
    <w:rsid w:val="6C133194"/>
    <w:rsid w:val="6C172D01"/>
    <w:rsid w:val="6C1B11A6"/>
    <w:rsid w:val="6C256AA0"/>
    <w:rsid w:val="6C381E56"/>
    <w:rsid w:val="6C44161C"/>
    <w:rsid w:val="6C4E379B"/>
    <w:rsid w:val="6C5A0E3F"/>
    <w:rsid w:val="6C5B0BDE"/>
    <w:rsid w:val="6C636C38"/>
    <w:rsid w:val="6C726189"/>
    <w:rsid w:val="6C78549A"/>
    <w:rsid w:val="6C7C7008"/>
    <w:rsid w:val="6C9F6415"/>
    <w:rsid w:val="6CB515AC"/>
    <w:rsid w:val="6CBE2207"/>
    <w:rsid w:val="6CCA2A9F"/>
    <w:rsid w:val="6CD50705"/>
    <w:rsid w:val="6CDB500C"/>
    <w:rsid w:val="6CF35B63"/>
    <w:rsid w:val="6CF433C3"/>
    <w:rsid w:val="6D124381"/>
    <w:rsid w:val="6D264EF8"/>
    <w:rsid w:val="6D2F2FDA"/>
    <w:rsid w:val="6D3015E2"/>
    <w:rsid w:val="6D3E606B"/>
    <w:rsid w:val="6D572E2F"/>
    <w:rsid w:val="6D66032D"/>
    <w:rsid w:val="6D964D45"/>
    <w:rsid w:val="6DB225B5"/>
    <w:rsid w:val="6DB34098"/>
    <w:rsid w:val="6DB545B6"/>
    <w:rsid w:val="6DC347C2"/>
    <w:rsid w:val="6DE02FB4"/>
    <w:rsid w:val="6E0077C5"/>
    <w:rsid w:val="6E1926BA"/>
    <w:rsid w:val="6E393B38"/>
    <w:rsid w:val="6E3E5D92"/>
    <w:rsid w:val="6E514CED"/>
    <w:rsid w:val="6E6D1C3D"/>
    <w:rsid w:val="6E6E472E"/>
    <w:rsid w:val="6E843F52"/>
    <w:rsid w:val="6E9323E7"/>
    <w:rsid w:val="6E9540DB"/>
    <w:rsid w:val="6E9F0706"/>
    <w:rsid w:val="6EA45C7C"/>
    <w:rsid w:val="6EB563D5"/>
    <w:rsid w:val="6EB9037F"/>
    <w:rsid w:val="6EC570A2"/>
    <w:rsid w:val="6ED92677"/>
    <w:rsid w:val="6EE23D3D"/>
    <w:rsid w:val="6F0B474B"/>
    <w:rsid w:val="6F225983"/>
    <w:rsid w:val="6F5E760F"/>
    <w:rsid w:val="6F9C351D"/>
    <w:rsid w:val="6FAF361C"/>
    <w:rsid w:val="6FCD12F8"/>
    <w:rsid w:val="6FD131C7"/>
    <w:rsid w:val="6FFC5590"/>
    <w:rsid w:val="70124827"/>
    <w:rsid w:val="70432DA3"/>
    <w:rsid w:val="70473218"/>
    <w:rsid w:val="704C6CF1"/>
    <w:rsid w:val="704E09C0"/>
    <w:rsid w:val="70592AE8"/>
    <w:rsid w:val="706D1DD0"/>
    <w:rsid w:val="707A5DE5"/>
    <w:rsid w:val="707B416A"/>
    <w:rsid w:val="707C2B96"/>
    <w:rsid w:val="70856B87"/>
    <w:rsid w:val="70864A0B"/>
    <w:rsid w:val="708D18A0"/>
    <w:rsid w:val="70B71FCA"/>
    <w:rsid w:val="70C80B8C"/>
    <w:rsid w:val="70C82FF9"/>
    <w:rsid w:val="70D527EE"/>
    <w:rsid w:val="711041C2"/>
    <w:rsid w:val="71106B9D"/>
    <w:rsid w:val="713003C1"/>
    <w:rsid w:val="71324139"/>
    <w:rsid w:val="713622F4"/>
    <w:rsid w:val="715B5300"/>
    <w:rsid w:val="716416FA"/>
    <w:rsid w:val="719C006C"/>
    <w:rsid w:val="71AE3006"/>
    <w:rsid w:val="71B74727"/>
    <w:rsid w:val="71BA40BB"/>
    <w:rsid w:val="71C56D5B"/>
    <w:rsid w:val="71C9252A"/>
    <w:rsid w:val="71D27F8A"/>
    <w:rsid w:val="71D84CE0"/>
    <w:rsid w:val="71F413EE"/>
    <w:rsid w:val="72002F61"/>
    <w:rsid w:val="720C498A"/>
    <w:rsid w:val="72103D9A"/>
    <w:rsid w:val="72231CD3"/>
    <w:rsid w:val="72553024"/>
    <w:rsid w:val="72C56464"/>
    <w:rsid w:val="72D35B3C"/>
    <w:rsid w:val="72FA2A34"/>
    <w:rsid w:val="73122968"/>
    <w:rsid w:val="731F5D5E"/>
    <w:rsid w:val="73394D7D"/>
    <w:rsid w:val="734E2D80"/>
    <w:rsid w:val="73534DA6"/>
    <w:rsid w:val="735C1A73"/>
    <w:rsid w:val="736B7A45"/>
    <w:rsid w:val="73755337"/>
    <w:rsid w:val="737B6FE4"/>
    <w:rsid w:val="738844E4"/>
    <w:rsid w:val="73993FFB"/>
    <w:rsid w:val="73BC5F3C"/>
    <w:rsid w:val="73C51AD5"/>
    <w:rsid w:val="73C54EE2"/>
    <w:rsid w:val="73E01C2A"/>
    <w:rsid w:val="740022CC"/>
    <w:rsid w:val="74101B90"/>
    <w:rsid w:val="741048D5"/>
    <w:rsid w:val="7414706A"/>
    <w:rsid w:val="7415438E"/>
    <w:rsid w:val="741E793C"/>
    <w:rsid w:val="74356293"/>
    <w:rsid w:val="74455F31"/>
    <w:rsid w:val="745E3944"/>
    <w:rsid w:val="7465624D"/>
    <w:rsid w:val="747A67B7"/>
    <w:rsid w:val="749D565F"/>
    <w:rsid w:val="74A013B9"/>
    <w:rsid w:val="74D74BBC"/>
    <w:rsid w:val="74F86D80"/>
    <w:rsid w:val="74FA0344"/>
    <w:rsid w:val="750C70AA"/>
    <w:rsid w:val="75175B20"/>
    <w:rsid w:val="75497CA3"/>
    <w:rsid w:val="75773079"/>
    <w:rsid w:val="75A93410"/>
    <w:rsid w:val="75C556E6"/>
    <w:rsid w:val="75CE79BF"/>
    <w:rsid w:val="75CF1107"/>
    <w:rsid w:val="75D02142"/>
    <w:rsid w:val="75E211A7"/>
    <w:rsid w:val="75EB0D5A"/>
    <w:rsid w:val="760F62A1"/>
    <w:rsid w:val="761210F2"/>
    <w:rsid w:val="761C60D6"/>
    <w:rsid w:val="7635099D"/>
    <w:rsid w:val="76390809"/>
    <w:rsid w:val="76444E30"/>
    <w:rsid w:val="767413B9"/>
    <w:rsid w:val="767B20DE"/>
    <w:rsid w:val="767E572A"/>
    <w:rsid w:val="76816FC9"/>
    <w:rsid w:val="76847251"/>
    <w:rsid w:val="76942243"/>
    <w:rsid w:val="76B259BC"/>
    <w:rsid w:val="76C20247"/>
    <w:rsid w:val="76C46745"/>
    <w:rsid w:val="76D87F7D"/>
    <w:rsid w:val="77062109"/>
    <w:rsid w:val="770F2826"/>
    <w:rsid w:val="77117DB6"/>
    <w:rsid w:val="77163BB5"/>
    <w:rsid w:val="773329B9"/>
    <w:rsid w:val="7734521C"/>
    <w:rsid w:val="77357FCC"/>
    <w:rsid w:val="773B7AF1"/>
    <w:rsid w:val="77457D5C"/>
    <w:rsid w:val="776556A2"/>
    <w:rsid w:val="776F474F"/>
    <w:rsid w:val="77762421"/>
    <w:rsid w:val="778F40DE"/>
    <w:rsid w:val="7791148D"/>
    <w:rsid w:val="77A91273"/>
    <w:rsid w:val="77B46C20"/>
    <w:rsid w:val="77B56B1F"/>
    <w:rsid w:val="77C52567"/>
    <w:rsid w:val="77D31AA6"/>
    <w:rsid w:val="77F77A99"/>
    <w:rsid w:val="78005711"/>
    <w:rsid w:val="780647A0"/>
    <w:rsid w:val="780F09F4"/>
    <w:rsid w:val="782567A5"/>
    <w:rsid w:val="783B7D77"/>
    <w:rsid w:val="78474B15"/>
    <w:rsid w:val="786E20D6"/>
    <w:rsid w:val="78863ED2"/>
    <w:rsid w:val="78886D34"/>
    <w:rsid w:val="788A485A"/>
    <w:rsid w:val="788A6608"/>
    <w:rsid w:val="78A10F2F"/>
    <w:rsid w:val="78A13438"/>
    <w:rsid w:val="78A1455F"/>
    <w:rsid w:val="78A57CCB"/>
    <w:rsid w:val="78A90480"/>
    <w:rsid w:val="78AD3BCE"/>
    <w:rsid w:val="78BF4829"/>
    <w:rsid w:val="78C147A6"/>
    <w:rsid w:val="78E15854"/>
    <w:rsid w:val="78F3017F"/>
    <w:rsid w:val="79052133"/>
    <w:rsid w:val="79181E66"/>
    <w:rsid w:val="79193B07"/>
    <w:rsid w:val="79254583"/>
    <w:rsid w:val="792619AE"/>
    <w:rsid w:val="795F1BBD"/>
    <w:rsid w:val="79610DA9"/>
    <w:rsid w:val="7973484F"/>
    <w:rsid w:val="798057FE"/>
    <w:rsid w:val="798D57C0"/>
    <w:rsid w:val="79A61220"/>
    <w:rsid w:val="79AD4E31"/>
    <w:rsid w:val="79D32416"/>
    <w:rsid w:val="79E33B4D"/>
    <w:rsid w:val="79E7471D"/>
    <w:rsid w:val="7A33688C"/>
    <w:rsid w:val="7A364017"/>
    <w:rsid w:val="7A4647B1"/>
    <w:rsid w:val="7A61783D"/>
    <w:rsid w:val="7A6510DB"/>
    <w:rsid w:val="7A8265E1"/>
    <w:rsid w:val="7A843F04"/>
    <w:rsid w:val="7A97688D"/>
    <w:rsid w:val="7AA82E6F"/>
    <w:rsid w:val="7AC5601E"/>
    <w:rsid w:val="7AD75FBE"/>
    <w:rsid w:val="7B0E1773"/>
    <w:rsid w:val="7B1E4E8C"/>
    <w:rsid w:val="7B266FF1"/>
    <w:rsid w:val="7B28662A"/>
    <w:rsid w:val="7B4F1A74"/>
    <w:rsid w:val="7B5658D7"/>
    <w:rsid w:val="7B686D42"/>
    <w:rsid w:val="7B713AB0"/>
    <w:rsid w:val="7B7664AC"/>
    <w:rsid w:val="7B7E139D"/>
    <w:rsid w:val="7B820AC1"/>
    <w:rsid w:val="7B841746"/>
    <w:rsid w:val="7B881B62"/>
    <w:rsid w:val="7B8C1362"/>
    <w:rsid w:val="7B8D61F6"/>
    <w:rsid w:val="7BB26436"/>
    <w:rsid w:val="7BDA7AD6"/>
    <w:rsid w:val="7BDE7397"/>
    <w:rsid w:val="7C235C68"/>
    <w:rsid w:val="7C42402A"/>
    <w:rsid w:val="7C52743D"/>
    <w:rsid w:val="7C5C4760"/>
    <w:rsid w:val="7C6C5AC7"/>
    <w:rsid w:val="7C7D6663"/>
    <w:rsid w:val="7C9F5FBB"/>
    <w:rsid w:val="7CA852AF"/>
    <w:rsid w:val="7CC6544B"/>
    <w:rsid w:val="7D0239FF"/>
    <w:rsid w:val="7D0F187B"/>
    <w:rsid w:val="7D0F3580"/>
    <w:rsid w:val="7D106C57"/>
    <w:rsid w:val="7D1716E2"/>
    <w:rsid w:val="7D1A2524"/>
    <w:rsid w:val="7D5176F5"/>
    <w:rsid w:val="7D5E40CD"/>
    <w:rsid w:val="7D690EE2"/>
    <w:rsid w:val="7D782B7B"/>
    <w:rsid w:val="7D99109C"/>
    <w:rsid w:val="7D9F2B56"/>
    <w:rsid w:val="7DC46046"/>
    <w:rsid w:val="7DCD56F2"/>
    <w:rsid w:val="7DF369FE"/>
    <w:rsid w:val="7DFC1BF7"/>
    <w:rsid w:val="7E146AF1"/>
    <w:rsid w:val="7E521976"/>
    <w:rsid w:val="7E5F22E5"/>
    <w:rsid w:val="7E6C3A4B"/>
    <w:rsid w:val="7E7C216A"/>
    <w:rsid w:val="7E8835EA"/>
    <w:rsid w:val="7E9B156F"/>
    <w:rsid w:val="7EAA7E07"/>
    <w:rsid w:val="7EB76D84"/>
    <w:rsid w:val="7EBE51D5"/>
    <w:rsid w:val="7ED303FC"/>
    <w:rsid w:val="7ED71E7C"/>
    <w:rsid w:val="7ED83A3E"/>
    <w:rsid w:val="7EDC2847"/>
    <w:rsid w:val="7EDC7492"/>
    <w:rsid w:val="7EF05523"/>
    <w:rsid w:val="7F001CE7"/>
    <w:rsid w:val="7F004806"/>
    <w:rsid w:val="7F104D2E"/>
    <w:rsid w:val="7F144E7E"/>
    <w:rsid w:val="7F2350C1"/>
    <w:rsid w:val="7F26724D"/>
    <w:rsid w:val="7F4E3A2D"/>
    <w:rsid w:val="7F4F56B2"/>
    <w:rsid w:val="7F8A3392"/>
    <w:rsid w:val="7FB10922"/>
    <w:rsid w:val="7FC62727"/>
    <w:rsid w:val="7FE47E50"/>
    <w:rsid w:val="7FE91A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semiHidden="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ocked="1"/>
    <w:lsdException w:unhideWhenUsed="0" w:uiPriority="0" w:semiHidden="0" w:name="Body Text 2" w:locked="1"/>
    <w:lsdException w:unhideWhenUsed="0" w:uiPriority="0" w:semiHidden="0" w:name="Body Text 3" w:locked="1"/>
    <w:lsdException w:qFormat="1" w:uiPriority="0" w:semiHidden="0" w:name="Body Text Indent 2"/>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qFormat="1" w:unhideWhenUsed="0" w:uiPriority="0" w:semiHidden="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unhideWhenUsed="0" w:uiPriority="0" w:semiHidden="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2">
    <w:name w:val="heading 1"/>
    <w:next w:val="1"/>
    <w:link w:val="43"/>
    <w:autoRedefine/>
    <w:qFormat/>
    <w:locked/>
    <w:uiPriority w:val="99"/>
    <w:pPr>
      <w:keepNext/>
      <w:overflowPunct w:val="0"/>
      <w:snapToGrid w:val="0"/>
      <w:spacing w:before="120" w:after="160" w:line="259" w:lineRule="auto"/>
      <w:ind w:left="432" w:hanging="432"/>
      <w:outlineLvl w:val="0"/>
    </w:pPr>
    <w:rPr>
      <w:rFonts w:ascii="Times New Roman" w:hAnsi="Times New Roman" w:eastAsia="黑体" w:cs="Times New Roman"/>
      <w:b/>
      <w:bCs/>
      <w:color w:val="000000"/>
      <w:kern w:val="44"/>
      <w:sz w:val="30"/>
      <w:szCs w:val="30"/>
    </w:rPr>
  </w:style>
  <w:style w:type="paragraph" w:styleId="3">
    <w:name w:val="heading 2"/>
    <w:next w:val="1"/>
    <w:autoRedefine/>
    <w:unhideWhenUsed/>
    <w:qFormat/>
    <w:locked/>
    <w:uiPriority w:val="0"/>
    <w:pPr>
      <w:keepNext/>
      <w:keepLines/>
      <w:spacing w:line="360" w:lineRule="auto"/>
      <w:ind w:firstLine="720" w:firstLineChars="200"/>
      <w:outlineLvl w:val="1"/>
    </w:pPr>
    <w:rPr>
      <w:rFonts w:ascii="Times New Roman" w:hAnsi="Times New Roman" w:cs="Times New Roman" w:eastAsiaTheme="minorEastAsia"/>
      <w:b/>
    </w:rPr>
  </w:style>
  <w:style w:type="paragraph" w:styleId="4">
    <w:name w:val="heading 3"/>
    <w:next w:val="1"/>
    <w:autoRedefine/>
    <w:unhideWhenUsed/>
    <w:qFormat/>
    <w:locked/>
    <w:uiPriority w:val="0"/>
    <w:pPr>
      <w:keepNext/>
      <w:keepLines/>
      <w:spacing w:before="260" w:after="260" w:line="413" w:lineRule="auto"/>
      <w:outlineLvl w:val="2"/>
    </w:pPr>
    <w:rPr>
      <w:rFonts w:ascii="Times New Roman" w:hAnsi="Times New Roman" w:eastAsia="宋体" w:cs="Times New Roman"/>
      <w:b/>
      <w:sz w:val="32"/>
    </w:rPr>
  </w:style>
  <w:style w:type="paragraph" w:styleId="5">
    <w:name w:val="heading 4"/>
    <w:basedOn w:val="1"/>
    <w:next w:val="1"/>
    <w:autoRedefine/>
    <w:unhideWhenUsed/>
    <w:qFormat/>
    <w:locked/>
    <w:uiPriority w:val="0"/>
    <w:pPr>
      <w:keepNext/>
      <w:keepLines/>
      <w:spacing w:before="280" w:after="290" w:line="372" w:lineRule="auto"/>
      <w:outlineLvl w:val="3"/>
    </w:pPr>
    <w:rPr>
      <w:rFonts w:ascii="Arial" w:hAnsi="Arial" w:eastAsia="黑体"/>
      <w:b/>
      <w:sz w:val="28"/>
    </w:rPr>
  </w:style>
  <w:style w:type="character" w:default="1" w:styleId="19">
    <w:name w:val="Default Paragraph Font"/>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6">
    <w:name w:val="Normal Indent"/>
    <w:basedOn w:val="1"/>
    <w:next w:val="1"/>
    <w:qFormat/>
    <w:uiPriority w:val="99"/>
    <w:pPr>
      <w:ind w:firstLine="560" w:firstLineChars="200"/>
    </w:pPr>
    <w:rPr>
      <w:sz w:val="28"/>
      <w:szCs w:val="28"/>
    </w:rPr>
  </w:style>
  <w:style w:type="paragraph" w:styleId="7">
    <w:name w:val="caption"/>
    <w:basedOn w:val="1"/>
    <w:next w:val="1"/>
    <w:qFormat/>
    <w:locked/>
    <w:uiPriority w:val="0"/>
    <w:pPr>
      <w:jc w:val="center"/>
    </w:pPr>
    <w:rPr>
      <w:rFonts w:ascii="Arial" w:hAnsi="Arial" w:eastAsia="黑体" w:cs="Arial"/>
    </w:rPr>
  </w:style>
  <w:style w:type="paragraph" w:styleId="8">
    <w:name w:val="annotation text"/>
    <w:basedOn w:val="1"/>
    <w:autoRedefine/>
    <w:qFormat/>
    <w:uiPriority w:val="0"/>
    <w:pPr>
      <w:jc w:val="left"/>
    </w:pPr>
  </w:style>
  <w:style w:type="paragraph" w:styleId="9">
    <w:name w:val="Body Text Indent 2"/>
    <w:basedOn w:val="1"/>
    <w:next w:val="1"/>
    <w:unhideWhenUsed/>
    <w:qFormat/>
    <w:uiPriority w:val="0"/>
    <w:pPr>
      <w:spacing w:after="120" w:line="480" w:lineRule="auto"/>
      <w:ind w:left="420" w:leftChars="200"/>
    </w:pPr>
  </w:style>
  <w:style w:type="paragraph" w:styleId="10">
    <w:name w:val="footer"/>
    <w:basedOn w:val="1"/>
    <w:next w:val="1"/>
    <w:autoRedefine/>
    <w:qFormat/>
    <w:uiPriority w:val="0"/>
    <w:pPr>
      <w:tabs>
        <w:tab w:val="center" w:pos="4153"/>
        <w:tab w:val="right" w:pos="8306"/>
      </w:tabs>
      <w:snapToGrid w:val="0"/>
      <w:jc w:val="left"/>
    </w:pPr>
    <w:rPr>
      <w:sz w:val="18"/>
    </w:rPr>
  </w:style>
  <w:style w:type="paragraph" w:styleId="11">
    <w:name w:val="header"/>
    <w:basedOn w:val="1"/>
    <w:next w:val="12"/>
    <w:autoRedefine/>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2">
    <w:name w:val="样式5"/>
    <w:basedOn w:val="13"/>
    <w:next w:val="1"/>
    <w:autoRedefine/>
    <w:qFormat/>
    <w:uiPriority w:val="0"/>
    <w:pPr>
      <w:tabs>
        <w:tab w:val="left" w:pos="0"/>
        <w:tab w:val="left" w:pos="870"/>
        <w:tab w:val="left" w:pos="1080"/>
        <w:tab w:val="left" w:pos="3150"/>
      </w:tabs>
      <w:ind w:firstLine="510"/>
    </w:pPr>
  </w:style>
  <w:style w:type="paragraph" w:customStyle="1" w:styleId="13">
    <w:name w:val="正文1"/>
    <w:basedOn w:val="14"/>
    <w:next w:val="1"/>
    <w:link w:val="31"/>
    <w:autoRedefine/>
    <w:qFormat/>
    <w:uiPriority w:val="0"/>
    <w:pPr>
      <w:tabs>
        <w:tab w:val="left" w:pos="0"/>
        <w:tab w:val="left" w:pos="870"/>
        <w:tab w:val="left" w:pos="1080"/>
        <w:tab w:val="left" w:pos="3150"/>
      </w:tabs>
      <w:adjustRightInd w:val="0"/>
      <w:snapToGrid w:val="0"/>
      <w:ind w:firstLine="720"/>
      <w:jc w:val="both"/>
    </w:pPr>
    <w:rPr>
      <w:color w:val="000000" w:themeColor="text1"/>
      <w:szCs w:val="22"/>
      <w14:textFill>
        <w14:solidFill>
          <w14:schemeClr w14:val="tx1"/>
        </w14:solidFill>
      </w14:textFill>
    </w:rPr>
  </w:style>
  <w:style w:type="paragraph" w:customStyle="1" w:styleId="14">
    <w:name w:val="正文首行缩进 2 + Times New Roman"/>
    <w:basedOn w:val="1"/>
    <w:autoRedefine/>
    <w:qFormat/>
    <w:uiPriority w:val="0"/>
    <w:pPr>
      <w:tabs>
        <w:tab w:val="left" w:pos="0"/>
        <w:tab w:val="left" w:pos="870"/>
        <w:tab w:val="left" w:pos="1080"/>
        <w:tab w:val="left" w:pos="3150"/>
      </w:tabs>
      <w:autoSpaceDE w:val="0"/>
      <w:autoSpaceDN w:val="0"/>
      <w:spacing w:line="360" w:lineRule="auto"/>
      <w:ind w:firstLine="480" w:firstLineChars="200"/>
      <w:jc w:val="left"/>
    </w:pPr>
    <w:rPr>
      <w:color w:val="0070C0"/>
    </w:rPr>
  </w:style>
  <w:style w:type="paragraph" w:styleId="15">
    <w:name w:val="Normal (Web)"/>
    <w:basedOn w:val="1"/>
    <w:autoRedefine/>
    <w:qFormat/>
    <w:uiPriority w:val="0"/>
    <w:pPr>
      <w:widowControl/>
      <w:spacing w:before="100" w:beforeAutospacing="1" w:after="100" w:afterAutospacing="1"/>
      <w:jc w:val="left"/>
    </w:pPr>
    <w:rPr>
      <w:rFonts w:ascii="宋体" w:hAnsi="宋体"/>
      <w:kern w:val="0"/>
      <w:szCs w:val="20"/>
    </w:rPr>
  </w:style>
  <w:style w:type="table" w:styleId="17">
    <w:name w:val="Table Grid"/>
    <w:basedOn w:val="16"/>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8">
    <w:name w:val="Table List 5"/>
    <w:basedOn w:val="16"/>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top w:val="nil"/>
          <w:left w:val="single" w:color="000000" w:sz="12" w:space="0"/>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character" w:styleId="20">
    <w:name w:val="Strong"/>
    <w:basedOn w:val="19"/>
    <w:qFormat/>
    <w:locked/>
    <w:uiPriority w:val="0"/>
    <w:rPr>
      <w:b/>
    </w:rPr>
  </w:style>
  <w:style w:type="character" w:styleId="21">
    <w:name w:val="page number"/>
    <w:basedOn w:val="19"/>
    <w:autoRedefine/>
    <w:qFormat/>
    <w:uiPriority w:val="0"/>
  </w:style>
  <w:style w:type="character" w:styleId="22">
    <w:name w:val="annotation reference"/>
    <w:basedOn w:val="19"/>
    <w:autoRedefine/>
    <w:qFormat/>
    <w:uiPriority w:val="0"/>
    <w:rPr>
      <w:sz w:val="21"/>
      <w:szCs w:val="21"/>
    </w:rPr>
  </w:style>
  <w:style w:type="paragraph" w:customStyle="1" w:styleId="23">
    <w:name w:val="环评表格正文"/>
    <w:basedOn w:val="1"/>
    <w:autoRedefine/>
    <w:qFormat/>
    <w:uiPriority w:val="0"/>
    <w:pPr>
      <w:pBdr>
        <w:top w:val="none" w:color="auto" w:sz="0" w:space="1"/>
        <w:left w:val="none" w:color="auto" w:sz="0" w:space="4"/>
        <w:bottom w:val="none" w:color="auto" w:sz="0" w:space="1"/>
        <w:right w:val="none" w:color="auto" w:sz="0" w:space="4"/>
      </w:pBdr>
      <w:jc w:val="center"/>
    </w:pPr>
    <w:rPr>
      <w:sz w:val="21"/>
    </w:rPr>
  </w:style>
  <w:style w:type="paragraph" w:customStyle="1" w:styleId="24">
    <w:name w:val="表格内容"/>
    <w:basedOn w:val="6"/>
    <w:autoRedefine/>
    <w:qFormat/>
    <w:uiPriority w:val="0"/>
    <w:pPr>
      <w:adjustRightInd w:val="0"/>
      <w:snapToGrid w:val="0"/>
      <w:ind w:firstLine="0" w:firstLineChars="0"/>
      <w:jc w:val="center"/>
    </w:pPr>
    <w:rPr>
      <w:rFonts w:eastAsiaTheme="minorEastAsia"/>
      <w:sz w:val="21"/>
      <w:szCs w:val="21"/>
    </w:rPr>
  </w:style>
  <w:style w:type="paragraph" w:customStyle="1" w:styleId="25">
    <w:name w:val="表格表头3"/>
    <w:next w:val="1"/>
    <w:link w:val="26"/>
    <w:autoRedefine/>
    <w:qFormat/>
    <w:uiPriority w:val="99"/>
    <w:pPr>
      <w:numPr>
        <w:ilvl w:val="0"/>
        <w:numId w:val="1"/>
      </w:numPr>
      <w:tabs>
        <w:tab w:val="left" w:pos="420"/>
        <w:tab w:val="left" w:pos="6600"/>
        <w:tab w:val="clear" w:pos="0"/>
      </w:tabs>
      <w:topLinePunct/>
      <w:adjustRightInd w:val="0"/>
      <w:snapToGrid w:val="0"/>
      <w:spacing w:before="50" w:beforeLines="50" w:line="360" w:lineRule="auto"/>
      <w:ind w:firstLine="0" w:firstLineChars="0"/>
      <w:jc w:val="center"/>
    </w:pPr>
    <w:rPr>
      <w:rFonts w:ascii="Times New Roman" w:hAnsi="Times New Roman" w:eastAsia="宋体" w:cs="Times New Roman"/>
      <w:b/>
      <w:color w:val="000000"/>
      <w:sz w:val="24"/>
    </w:rPr>
  </w:style>
  <w:style w:type="character" w:customStyle="1" w:styleId="26">
    <w:name w:val="表格表头3 Char"/>
    <w:link w:val="25"/>
    <w:autoRedefine/>
    <w:qFormat/>
    <w:uiPriority w:val="99"/>
    <w:rPr>
      <w:rFonts w:ascii="Times New Roman" w:hAnsi="Times New Roman" w:eastAsia="宋体"/>
      <w:b/>
      <w:color w:val="000000"/>
      <w:sz w:val="24"/>
    </w:rPr>
  </w:style>
  <w:style w:type="paragraph" w:customStyle="1" w:styleId="27">
    <w:name w:val="表格标题"/>
    <w:basedOn w:val="24"/>
    <w:link w:val="33"/>
    <w:autoRedefine/>
    <w:qFormat/>
    <w:uiPriority w:val="0"/>
    <w:rPr>
      <w:rFonts w:hint="eastAsia"/>
      <w:b/>
    </w:rPr>
  </w:style>
  <w:style w:type="paragraph" w:customStyle="1" w:styleId="28">
    <w:name w:val="_Style 4"/>
    <w:next w:val="1"/>
    <w:qFormat/>
    <w:uiPriority w:val="1"/>
    <w:pPr>
      <w:widowControl w:val="0"/>
      <w:jc w:val="both"/>
    </w:pPr>
    <w:rPr>
      <w:rFonts w:ascii="Times New Roman" w:hAnsi="Times New Roman" w:eastAsia="仿宋_GB2312" w:cs="Times New Roman"/>
      <w:kern w:val="2"/>
      <w:sz w:val="24"/>
      <w:szCs w:val="22"/>
      <w:lang w:val="en-US" w:eastAsia="zh-CN" w:bidi="ar-SA"/>
    </w:rPr>
  </w:style>
  <w:style w:type="paragraph" w:customStyle="1" w:styleId="29">
    <w:name w:val="正文标题"/>
    <w:basedOn w:val="1"/>
    <w:next w:val="1"/>
    <w:autoRedefine/>
    <w:qFormat/>
    <w:uiPriority w:val="0"/>
    <w:pPr>
      <w:keepNext/>
      <w:overflowPunct w:val="0"/>
      <w:spacing w:line="360" w:lineRule="auto"/>
      <w:ind w:firstLine="720" w:firstLineChars="200"/>
      <w:jc w:val="left"/>
      <w:outlineLvl w:val="0"/>
    </w:pPr>
    <w:rPr>
      <w:rFonts w:hint="eastAsia"/>
      <w:b/>
      <w:bCs/>
      <w:kern w:val="44"/>
      <w:szCs w:val="30"/>
    </w:rPr>
  </w:style>
  <w:style w:type="paragraph" w:customStyle="1" w:styleId="30">
    <w:name w:val="内容"/>
    <w:basedOn w:val="1"/>
    <w:autoRedefine/>
    <w:qFormat/>
    <w:uiPriority w:val="99"/>
    <w:pPr>
      <w:spacing w:beforeLines="50" w:afterLines="50"/>
      <w:ind w:firstLine="200" w:firstLineChars="200"/>
    </w:pPr>
    <w:rPr>
      <w:color w:val="000000"/>
      <w:kern w:val="0"/>
      <w:szCs w:val="20"/>
    </w:rPr>
  </w:style>
  <w:style w:type="character" w:customStyle="1" w:styleId="31">
    <w:name w:val="正文1 Char1"/>
    <w:link w:val="13"/>
    <w:autoRedefine/>
    <w:qFormat/>
    <w:uiPriority w:val="0"/>
    <w:rPr>
      <w:rFonts w:ascii="Times New Roman" w:hAnsi="Times New Roman" w:eastAsia="宋体" w:cs="Times New Roman"/>
      <w:color w:val="000000" w:themeColor="text1"/>
      <w:sz w:val="24"/>
      <w:szCs w:val="22"/>
      <w14:textFill>
        <w14:solidFill>
          <w14:schemeClr w14:val="tx1"/>
        </w14:solidFill>
      </w14:textFill>
    </w:rPr>
  </w:style>
  <w:style w:type="table" w:customStyle="1" w:styleId="32">
    <w:name w:val="Table Normal"/>
    <w:autoRedefine/>
    <w:semiHidden/>
    <w:unhideWhenUsed/>
    <w:qFormat/>
    <w:uiPriority w:val="0"/>
    <w:tblPr>
      <w:tblCellMar>
        <w:top w:w="0" w:type="dxa"/>
        <w:left w:w="0" w:type="dxa"/>
        <w:bottom w:w="0" w:type="dxa"/>
        <w:right w:w="0" w:type="dxa"/>
      </w:tblCellMar>
    </w:tblPr>
  </w:style>
  <w:style w:type="character" w:customStyle="1" w:styleId="33">
    <w:name w:val="表格标题 Char"/>
    <w:link w:val="27"/>
    <w:autoRedefine/>
    <w:qFormat/>
    <w:uiPriority w:val="0"/>
    <w:rPr>
      <w:rFonts w:hint="eastAsia" w:eastAsiaTheme="minorEastAsia"/>
      <w:b/>
      <w:sz w:val="21"/>
      <w:szCs w:val="21"/>
    </w:rPr>
  </w:style>
  <w:style w:type="paragraph" w:customStyle="1" w:styleId="34">
    <w:name w:val="环评表格"/>
    <w:basedOn w:val="1"/>
    <w:autoRedefine/>
    <w:qFormat/>
    <w:uiPriority w:val="0"/>
    <w:pPr>
      <w:jc w:val="center"/>
    </w:pPr>
    <w:rPr>
      <w:rFonts w:hint="eastAsia"/>
      <w:sz w:val="21"/>
    </w:rPr>
  </w:style>
  <w:style w:type="character" w:customStyle="1" w:styleId="35">
    <w:name w:val="font21"/>
    <w:basedOn w:val="19"/>
    <w:qFormat/>
    <w:uiPriority w:val="0"/>
    <w:rPr>
      <w:rFonts w:hint="default" w:ascii="Times New Roman" w:hAnsi="Times New Roman" w:cs="Times New Roman"/>
      <w:color w:val="000000"/>
      <w:sz w:val="21"/>
      <w:szCs w:val="21"/>
      <w:u w:val="none"/>
    </w:rPr>
  </w:style>
  <w:style w:type="character" w:customStyle="1" w:styleId="36">
    <w:name w:val="font11"/>
    <w:basedOn w:val="19"/>
    <w:qFormat/>
    <w:uiPriority w:val="0"/>
    <w:rPr>
      <w:rFonts w:hint="eastAsia" w:ascii="宋体" w:hAnsi="宋体" w:eastAsia="宋体" w:cs="宋体"/>
      <w:color w:val="000000"/>
      <w:sz w:val="21"/>
      <w:szCs w:val="21"/>
      <w:u w:val="none"/>
    </w:rPr>
  </w:style>
  <w:style w:type="paragraph" w:customStyle="1" w:styleId="37">
    <w:name w:val="样式7"/>
    <w:basedOn w:val="12"/>
    <w:autoRedefine/>
    <w:qFormat/>
    <w:uiPriority w:val="0"/>
    <w:pPr>
      <w:tabs>
        <w:tab w:val="left" w:pos="1374"/>
      </w:tabs>
      <w:ind w:left="1374" w:hanging="864"/>
      <w:outlineLvl w:val="3"/>
    </w:pPr>
  </w:style>
  <w:style w:type="paragraph" w:customStyle="1" w:styleId="38">
    <w:name w:val="报告表表格编号"/>
    <w:basedOn w:val="1"/>
    <w:qFormat/>
    <w:uiPriority w:val="0"/>
    <w:pPr>
      <w:numPr>
        <w:ilvl w:val="0"/>
        <w:numId w:val="2"/>
      </w:numPr>
      <w:tabs>
        <w:tab w:val="left" w:pos="420"/>
        <w:tab w:val="left" w:pos="630"/>
        <w:tab w:val="left" w:pos="839"/>
        <w:tab w:val="left" w:pos="1023"/>
      </w:tabs>
      <w:topLinePunct/>
      <w:adjustRightInd w:val="0"/>
      <w:jc w:val="center"/>
    </w:pPr>
    <w:rPr>
      <w:rFonts w:eastAsiaTheme="minorEastAsia"/>
      <w:b/>
      <w:bCs/>
      <w:color w:val="000000" w:themeColor="text1"/>
      <w:kern w:val="21"/>
      <w:sz w:val="21"/>
      <w14:textFill>
        <w14:solidFill>
          <w14:schemeClr w14:val="tx1"/>
        </w14:solidFill>
      </w14:textFill>
    </w:rPr>
  </w:style>
  <w:style w:type="paragraph" w:customStyle="1" w:styleId="39">
    <w:name w:val="正文 首行缩进:  2 字符 SL CON"/>
    <w:basedOn w:val="1"/>
    <w:autoRedefine/>
    <w:qFormat/>
    <w:uiPriority w:val="0"/>
    <w:pPr>
      <w:widowControl/>
      <w:tabs>
        <w:tab w:val="left" w:pos="377"/>
      </w:tabs>
      <w:spacing w:line="360" w:lineRule="auto"/>
      <w:ind w:firstLine="200" w:firstLineChars="200"/>
      <w:jc w:val="left"/>
    </w:pPr>
    <w:rPr>
      <w:rFonts w:ascii="宋体"/>
      <w:kern w:val="0"/>
    </w:rPr>
  </w:style>
  <w:style w:type="paragraph" w:customStyle="1" w:styleId="40">
    <w:name w:val="环评表格第一行"/>
    <w:basedOn w:val="23"/>
    <w:qFormat/>
    <w:uiPriority w:val="0"/>
    <w:rPr>
      <w:b/>
    </w:rPr>
  </w:style>
  <w:style w:type="paragraph" w:customStyle="1" w:styleId="41">
    <w:name w:val="5-正文"/>
    <w:basedOn w:val="1"/>
    <w:autoRedefine/>
    <w:qFormat/>
    <w:uiPriority w:val="0"/>
    <w:pPr>
      <w:spacing w:line="360" w:lineRule="auto"/>
      <w:ind w:firstLine="200" w:firstLineChars="200"/>
      <w:jc w:val="left"/>
    </w:pPr>
    <w:rPr>
      <w:szCs w:val="20"/>
    </w:rPr>
  </w:style>
  <w:style w:type="paragraph" w:customStyle="1" w:styleId="42">
    <w:name w:val="环评表头"/>
    <w:basedOn w:val="1"/>
    <w:autoRedefine/>
    <w:qFormat/>
    <w:uiPriority w:val="0"/>
    <w:pPr>
      <w:numPr>
        <w:ilvl w:val="0"/>
        <w:numId w:val="3"/>
      </w:numPr>
      <w:adjustRightInd w:val="0"/>
      <w:snapToGrid w:val="0"/>
      <w:jc w:val="center"/>
    </w:pPr>
    <w:rPr>
      <w:rFonts w:hint="eastAsia"/>
      <w:b/>
      <w:color w:val="000000"/>
    </w:rPr>
  </w:style>
  <w:style w:type="character" w:customStyle="1" w:styleId="43">
    <w:name w:val="标题 1 Char1"/>
    <w:link w:val="2"/>
    <w:qFormat/>
    <w:uiPriority w:val="99"/>
    <w:rPr>
      <w:rFonts w:ascii="Times New Roman" w:hAnsi="Times New Roman" w:eastAsia="黑体"/>
      <w:b/>
      <w:bCs/>
      <w:color w:val="000000"/>
      <w:kern w:val="44"/>
      <w:sz w:val="30"/>
      <w:szCs w:val="30"/>
    </w:rPr>
  </w:style>
  <w:style w:type="paragraph" w:customStyle="1" w:styleId="44">
    <w:name w:val="Table Text"/>
    <w:basedOn w:val="1"/>
    <w:semiHidden/>
    <w:qFormat/>
    <w:uiPriority w:val="0"/>
    <w:rPr>
      <w:rFonts w:ascii="宋体" w:hAnsi="宋体" w:eastAsia="宋体" w:cs="宋体"/>
      <w:sz w:val="24"/>
      <w:szCs w:val="24"/>
      <w:lang w:val="en-US" w:eastAsia="en-US" w:bidi="ar-SA"/>
    </w:rPr>
  </w:style>
  <w:style w:type="paragraph" w:customStyle="1" w:styleId="45">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0" Type="http://schemas.openxmlformats.org/officeDocument/2006/relationships/fontTable" Target="fontTable.xml"/><Relationship Id="rId6" Type="http://schemas.openxmlformats.org/officeDocument/2006/relationships/footer" Target="footer1.xml"/><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header" Target="header1.xml"/><Relationship Id="rId49" Type="http://schemas.openxmlformats.org/officeDocument/2006/relationships/image" Target="media/image36.jpe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jpe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wmf"/><Relationship Id="rId18" Type="http://schemas.openxmlformats.org/officeDocument/2006/relationships/oleObject" Target="embeddings/oleObject2.bin"/><Relationship Id="rId17" Type="http://schemas.openxmlformats.org/officeDocument/2006/relationships/image" Target="media/image5.wmf"/><Relationship Id="rId16" Type="http://schemas.openxmlformats.org/officeDocument/2006/relationships/oleObject" Target="embeddings/oleObject1.bin"/><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117</Pages>
  <Words>24985</Words>
  <Characters>25994</Characters>
  <Lines>537</Lines>
  <Paragraphs>151</Paragraphs>
  <TotalTime>5</TotalTime>
  <ScaleCrop>false</ScaleCrop>
  <LinksUpToDate>false</LinksUpToDate>
  <CharactersWithSpaces>26045</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2025-01-18T08:31:00Z</dcterms:created>
  <dc:creator>lhj</dc:creator>
  <cp:lastModifiedBy>沐</cp:lastModifiedBy>
  <cp:lastPrinted>2024-12-25T07:26:00Z</cp:lastPrinted>
  <dcterms:modified xsi:type="dcterms:W3CDTF">2025-08-14T07:02:32Z</dcterms:modified>
  <dc:title>附件2</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150BC60466BC4E6195A1ED6C7E738C58_13</vt:lpwstr>
  </property>
  <property fmtid="{D5CDD505-2E9C-101B-9397-08002B2CF9AE}" pid="4" name="KSOTemplateDocerSaveRecord">
    <vt:lpwstr>eyJoZGlkIjoiZWM5MGJiZTUyNWZlMmUyYTQ3ZGYxMTQ2OWUwYTAwYzQiLCJ1c2VySWQiOiI1ODU5Mjg1NzQifQ==</vt:lpwstr>
  </property>
</Properties>
</file>