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朝阳市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2025年度固体废物污染环境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防治信息公告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朝阳市产生固体废物总量3192.63万吨，其中，一般工业固体废物为2900.53万吨，危险废物为22.59万吨，生活垃圾产生量为76.64万吨，建筑垃圾产生量为92.64万吨，农业固体废物产生量为88.87万吨，城镇污水污泥产生量为11.36万吨。朝阳市固体废物污染环境防治信息详细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一、一般工业固体废物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sz w:val="32"/>
          <w:szCs w:val="32"/>
          <w:lang w:val="en-US" w:eastAsia="zh-CN"/>
        </w:rPr>
        <w:t>1.产生、利用及处置情况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本市一般工业固体废物产生量2900.53万吨，综合利用量为1281.37万吨（含综合利用往年贮存量136.14万吨），综合利用率为44.18%；处置量为367.82万吨（含处置往年贮存量26.89万吨），处置率为12.68%；累计贮存量为30775.11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2.行业产生情况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2025年，一般工业固体废物产生量排名前3的行业依次为采矿业,制造业，电力、热力、燃气及水生产和供应业,分别占全市一般工业固体废物产生量的62.31%、31.21%、6.36%，详细情况见图1。</w:t>
      </w:r>
    </w:p>
    <w:p>
      <w:r>
        <w:drawing>
          <wp:inline distT="0" distB="0" distL="114300" distR="114300">
            <wp:extent cx="5577840" cy="2733675"/>
            <wp:effectExtent l="4445" t="4445" r="18415" b="50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center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 2025年朝阳市主要行业一般工业固体废物产生情况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3.主要产生种类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2025年，一般工业固体废物产生量排名前3的种类依次为尾矿、冶炼废渣、炉渣，产生量分别占全市一般工业固体废物产生总量的62.31%、15.26%、11.08%，详细情况见表1。</w:t>
      </w:r>
    </w:p>
    <w:p>
      <w:pPr>
        <w:jc w:val="center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表1 一般工业固体废物主要种类产生、利用及处置情况</w:t>
      </w:r>
    </w:p>
    <w:tbl>
      <w:tblPr>
        <w:tblStyle w:val="6"/>
        <w:tblW w:w="952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45"/>
        <w:gridCol w:w="1380"/>
        <w:gridCol w:w="2010"/>
        <w:gridCol w:w="181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废物种类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产生量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综合利用量（万吨）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处置量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贮存量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尾矿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1807.32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204.92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334.78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30338.51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冶炼废渣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442.57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413.19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0.94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炉渣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321.27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367.12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5.52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21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2571.16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985.23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341.24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30402.74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二、危险废物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1.产生、利用及处置情况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2025年，本市危险废物（含医疗废物）产生量22.59万吨，利用量为2.91万吨，利用率为12.88%；处置量为17.91万吨，处置率为68.1%；累计贮存量为0.071万吨。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2025年，本市医疗废物产生量2263.21吨，处置量2263.21吨，无害化处置率为100%，主要的处置方式为高温裂解。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2.行业产生情况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2025年，本市危险废物产生量排名前3的行业依次为制造业；电力、热力、燃气及水生产和供应业；水利、环境和公共设施管理业，分别占全市危险废物产生量的87.87%、7.71%、4.41%，详细情况见图2。</w:t>
      </w:r>
    </w:p>
    <w:p>
      <w:r>
        <w:drawing>
          <wp:inline distT="0" distB="0" distL="114300" distR="114300">
            <wp:extent cx="5673725" cy="2811145"/>
            <wp:effectExtent l="4445" t="4445" r="17780" b="2286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图2 2025年朝阳市主要行业危险废物产生情况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3.主要产生种类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2025年，危险废物产生量排名前3的种类依次为无机氰化物废物、精（蒸）馏残渣、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焚烧处置残渣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，产生量分别占全市危险废物产生总量的70.61%、15.71%、7.44%，详细情况见表2。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表2 危险废物主要种类产生、利用及处置情况</w:t>
      </w:r>
    </w:p>
    <w:tbl>
      <w:tblPr>
        <w:tblStyle w:val="6"/>
        <w:tblW w:w="9500" w:type="dxa"/>
        <w:jc w:val="center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769"/>
        <w:gridCol w:w="1727"/>
        <w:gridCol w:w="1727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废物种类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产生量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利用量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处置量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贮存量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无机氰化物废物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159520.62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159520.62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精（蒸）馏残渣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35548.82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32196.31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3251.21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焚烧处置残渣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16832.95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625.19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16351.86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607.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6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211902.39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32821.5</w:t>
            </w:r>
          </w:p>
        </w:tc>
        <w:tc>
          <w:tcPr>
            <w:tcW w:w="17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179123.69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1062.14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4.危险废物许可证颁发情况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截至2025年底，本市共9家危险废物（含医疗废物）许可证持证单位，核准收集、利用、处置、贮存危险废物种类为HW01、HW02、HW06、HW08、HW11、HW12、HW13、HW34、HW35、HW40、HW45、HW49，核准收集、利用、处置、贮存能力达到11.67万吨/年，实际收集、利用、处置、贮存能力为1.99万吨，本市危险废物许可证持证单位情况见表3，共颁发危险废物许可证用于处置医疗废物1份，核准处置能力3000吨/年，实际处置量2263.21吨。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表3 危险废物许可证持证单位情况</w:t>
      </w:r>
    </w:p>
    <w:tbl>
      <w:tblPr>
        <w:tblStyle w:val="6"/>
        <w:tblW w:w="951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55"/>
        <w:gridCol w:w="2235"/>
        <w:gridCol w:w="1140"/>
        <w:gridCol w:w="126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1" w:hRule="atLeast"/>
        </w:trPr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危险废物许可证持证单位名称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核准收集利用处置贮存废物类别/代码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核准收集利用处置贮存能力（吨/年）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实际收集利用处置贮存量（吨）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8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朝阳硕美高纯半导体材料有限公司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99.79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2023.12.25-2028.12.24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3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辽宁维博环保科技有限公司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、HW06、HW08、HW11、HW12、HW13、HW34、HW35、HW40、HW45、HW49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17369.78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2024.11.06-2027.03.17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77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欧尔东（朝阳）环保有限公司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HW01医疗废物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2263.21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2022.12.13-2027.12.12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8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朝阳红达废矿物油收购有限公司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88.68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2024.11.25-2027.11.24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8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北票市宏仪汽车运输有限公司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2024.04.07-2027.04.06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8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北票市子军物资回收有限公司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32.50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2025.06.15-2028.06.15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4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朝阳市双塔区合盛源废矿物油回收服务有限公司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8.38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2023.11.08-2026.11.07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4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建平江源物资回收有限公司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38.28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2023.10.25-2026.10.24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4" w:hRule="atLeast"/>
        </w:trPr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凌源市海坡废机油收购站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HW08废矿物油与含矿物油废物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2.60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2026.01.09-2029.01.08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5.危险废物自行利用处置情况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2025年，本市实际自行利用危险废物1282.61吨，处置危险废物（含医疗废物）18.11万吨，处置危险废物的主要种类为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焚烧处置残渣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三、生活垃圾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1.产生、利用及处理情况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城乡生活垃圾产生量为76.64万吨，其中，城市生活垃圾产生量65.17万吨，农村生活垃圾产生量11.47万吨。本市城乡生活垃圾无害化处理量为71.71万吨，无害化处理率为100%，其中，城市生活垃圾无害化处理量71.71万吨，无害化处理率为100%，农村生活垃圾无害化处理量11.47万吨，无害化处理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2.生活垃圾处理设施情况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本市共有生活垃圾处理设施10座，总处理能力为121.165万吨/年，其中焚烧处理能力占比45.19%，填埋处理能力占比54.81%。本市生活垃圾处理设施情况见表4。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表4  朝阳市生活垃圾处理设施情况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548"/>
        <w:gridCol w:w="198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设施所属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设施名称及类型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设计处理量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（万吨）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实际处理量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（万吨）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使用年限/预期关闭时间（填埋场）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朝阳康恒再生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能源有限公司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朝阳市中心城区生活垃圾焚烧发电厂（其他垃圾）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21.9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23.66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朝阳市中心城区生活垃圾焚烧发电厂（厨余垃圾）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3.65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0.13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朝阳市城洁垃圾处理有限公司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朝阳市生活垃圾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填埋场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22.63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北票市城乡建设发展服务中心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生活垃圾填埋场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Ⅳ级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6.57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/2029年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凌源瀚潍环保能源有限公司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焚烧发电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31.1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朝阳县生活垃圾处理中心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朝阳县生活垃圾处理中心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9.855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0.5239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22年/2042年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建平县环境卫生管理处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建平县城区生活垃圾填埋处理场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7.67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5.3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1年/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喀左县环境卫生管理处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喀左县生活垃圾卫生填埋场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总量4.56，卫生填埋1.21，运送至凌源焚烧：3.35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20年/2030年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喀左县环境卫生管理处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喀左县公营子镇生活垃圾卫生填埋场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15年/2029年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喀左县环境卫生管理处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喀左县北山生活垃圾卫生填埋场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20年/2037年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3.生活垃圾分类情况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年，本市城市生活垃圾分类覆盖率达到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%，生活垃圾回收利用率达到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35.96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%，资源化利用率达到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87.15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本市厨余垃圾清运量为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万吨，无害化处理量为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万吨；可回收物回收量为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万吨，利用量为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万吨;其他垃圾清运量为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万吨，利用量为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万吨，无害化处理量为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四、建筑垃圾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lang w:val="en-US" w:eastAsia="zh-CN"/>
        </w:rPr>
        <w:t>1.产生及利用及处理情况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2025年，本市建筑垃圾产生量为92.64万吨，资源化利用量为4.25万吨，主要利用方式为生产再生骨料。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工程渣土产生量为87.42万吨，工程垃圾产生量为2.02万吨，拆除垃圾产生量为1.44万吨，装修垃圾产生量为1.56万吨。2025年建筑垃圾主要种类产生情况见图3。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6575" cy="2309495"/>
            <wp:effectExtent l="4445" t="4445" r="17780" b="10160"/>
            <wp:docPr id="3" name="图片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图3 2025年本市建筑垃圾主要种类产生情况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zh-CN"/>
        </w:rPr>
        <w:t>2.主要处理设施情况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2025年，本市共有2家单位开展建筑垃圾处理活动，本市建筑垃圾处理能力为6.3万吨/年，实际处置量为5.1万吨。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五、农业固体废物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2025年，本市废弃农药包装物回收量为88.87万吨，回收率为81.27%，处置量88.87万吨，主要处置方式为无害化集中处理。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六、城镇污水处理厂污泥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en-US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en-US"/>
        </w:rPr>
        <w:t>1.城镇污水处理厂污泥产生及处理情况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202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5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年，本市建成并运行的城镇污水处理厂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11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座，年污泥产生量为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11.36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万吨，处置量为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11.36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万吨，处置率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100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en-US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val="en-US" w:eastAsia="en-US"/>
        </w:rPr>
        <w:t>2．污泥处理设施情况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202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5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年，本市共有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7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家单位开展污泥处置活动，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本市污泥处置能力为42.51万吨/年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，主要处置设施情况见表</w:t>
      </w:r>
      <w:r>
        <w:rPr>
          <w:rFonts w:hint="eastAsia" w:ascii="仿宋" w:hAnsi="仿宋" w:eastAsia="仿宋" w:cs="仿宋"/>
          <w:color w:val="000000"/>
          <w:spacing w:val="3"/>
          <w:kern w:val="2"/>
          <w:sz w:val="30"/>
          <w:szCs w:val="30"/>
          <w:lang w:val="en-US" w:eastAsia="zh-CN" w:bidi="ar-SA"/>
        </w:rPr>
        <w:t>5</w:t>
      </w:r>
      <w:r>
        <w:rPr>
          <w:rFonts w:ascii="仿宋" w:hAnsi="仿宋" w:eastAsia="仿宋" w:cs="仿宋"/>
          <w:color w:val="000000"/>
          <w:spacing w:val="3"/>
          <w:kern w:val="2"/>
          <w:sz w:val="30"/>
          <w:szCs w:val="30"/>
          <w:lang w:val="en-US" w:eastAsia="en-US" w:bidi="ar-SA"/>
        </w:rPr>
        <w:t>。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表5 朝阳市污泥处置设施情况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235"/>
        <w:gridCol w:w="186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处置设施所属单位名称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处置设施设备类型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设计处置能力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(万吨/年)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实际处置量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  <w:t>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朝阳燕山湖发电有限公司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焚烧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7.3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朝阳燕盛生态环保有限公司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焚烧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7.3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6.017951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朝阳市城洁垃圾处理有限公司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卫生填埋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7.3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0.817522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喀左丛元号水泥有限责任公司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焚烧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4.75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凌源垃圾填埋场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卫生填埋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9.2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建平县垃圾填埋场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卫生填埋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7.67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喀左垃圾填埋场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卫生填埋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6.75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0.43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填报说明：填报说明：燕山湖和城洁公司处置含水率60%生活污泥（1吨含水率60%生活污泥=2吨含水率80%生活污泥），年度污泥产量按含水率。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七、再生资源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1.回收情况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2025年，本市再生资源回收总量为239.43万吨；其中废钢铁107.8万吨、废纸63.5万吨、废塑料28.2万吨、废轮胎18.1万吨、废有色金属9.6万吨，上述类别再生资源回收总量227.2万吨，占回收总量的94.9%，详情见图4。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47690" cy="2771775"/>
            <wp:effectExtent l="4445" t="4445" r="5715" b="5080"/>
            <wp:docPr id="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图4 2025年再生资源主要类别回收情况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2.废旧车用动力电池回收、利用及拆解处理情况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2025年，朝阳市废旧车用动力电池回收量27吨，梯级利用量0万吨，再生利用量27吨，拆解处理量0万吨。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3.报废机动车回收及拆解情况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2025年，朝阳市报废机动车回收量2.7164万辆，约3.9093万吨;主要拆解产物包括废钢、废橡胶、废有色金属等，拆解产物总量3.293万吨，处置量2.852万吨。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WYGlj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0420"/>
    <w:rsid w:val="00563274"/>
    <w:rsid w:val="0BCB21B2"/>
    <w:rsid w:val="0EFD4FAD"/>
    <w:rsid w:val="0F2D62A3"/>
    <w:rsid w:val="13F2951C"/>
    <w:rsid w:val="16F10FF4"/>
    <w:rsid w:val="17BFB06F"/>
    <w:rsid w:val="1ADF4FF5"/>
    <w:rsid w:val="1ADF7920"/>
    <w:rsid w:val="1B1C713C"/>
    <w:rsid w:val="1EAD4245"/>
    <w:rsid w:val="26AB3730"/>
    <w:rsid w:val="27FF1FEE"/>
    <w:rsid w:val="29567706"/>
    <w:rsid w:val="2A2B54EE"/>
    <w:rsid w:val="2BC74EA2"/>
    <w:rsid w:val="2BE7AB40"/>
    <w:rsid w:val="2BFFC8D1"/>
    <w:rsid w:val="2CBA1AA3"/>
    <w:rsid w:val="2CF73729"/>
    <w:rsid w:val="2D8F0420"/>
    <w:rsid w:val="32FFC35B"/>
    <w:rsid w:val="33CF739C"/>
    <w:rsid w:val="33DF3D74"/>
    <w:rsid w:val="3F2F0AEE"/>
    <w:rsid w:val="3F3F85B8"/>
    <w:rsid w:val="3F9D69FE"/>
    <w:rsid w:val="3FE482CA"/>
    <w:rsid w:val="3FEFED3A"/>
    <w:rsid w:val="40255BB5"/>
    <w:rsid w:val="40F26A62"/>
    <w:rsid w:val="47656257"/>
    <w:rsid w:val="47804051"/>
    <w:rsid w:val="4C3343F8"/>
    <w:rsid w:val="4CF111FB"/>
    <w:rsid w:val="4CFF2930"/>
    <w:rsid w:val="514D1117"/>
    <w:rsid w:val="52E7725A"/>
    <w:rsid w:val="53B970B6"/>
    <w:rsid w:val="53DFBAF8"/>
    <w:rsid w:val="55C68329"/>
    <w:rsid w:val="56AF57E0"/>
    <w:rsid w:val="573D2FD4"/>
    <w:rsid w:val="57C85FBA"/>
    <w:rsid w:val="5932754F"/>
    <w:rsid w:val="5ADE38B1"/>
    <w:rsid w:val="5B7FDD53"/>
    <w:rsid w:val="5DFFB335"/>
    <w:rsid w:val="5E420ADB"/>
    <w:rsid w:val="5F376977"/>
    <w:rsid w:val="5F3F7A6B"/>
    <w:rsid w:val="698F62F8"/>
    <w:rsid w:val="6AE9F9DF"/>
    <w:rsid w:val="6BFF550C"/>
    <w:rsid w:val="6D6DA06D"/>
    <w:rsid w:val="6DAE0084"/>
    <w:rsid w:val="6DEF3B8D"/>
    <w:rsid w:val="6FDFB1FF"/>
    <w:rsid w:val="73F78FEA"/>
    <w:rsid w:val="73FEDA3E"/>
    <w:rsid w:val="7597E43B"/>
    <w:rsid w:val="75AD43F5"/>
    <w:rsid w:val="76FFECD6"/>
    <w:rsid w:val="779FAA6F"/>
    <w:rsid w:val="77BAA0F4"/>
    <w:rsid w:val="77D74AF4"/>
    <w:rsid w:val="77DA21CD"/>
    <w:rsid w:val="77E9CC3E"/>
    <w:rsid w:val="789D26C8"/>
    <w:rsid w:val="795DF88F"/>
    <w:rsid w:val="7ABB4AD2"/>
    <w:rsid w:val="7AFFA2A3"/>
    <w:rsid w:val="7B5D608F"/>
    <w:rsid w:val="7BF654E2"/>
    <w:rsid w:val="7BFB0EB6"/>
    <w:rsid w:val="7BFEFAEB"/>
    <w:rsid w:val="7C6D10A0"/>
    <w:rsid w:val="7CB03140"/>
    <w:rsid w:val="7CDF5ADE"/>
    <w:rsid w:val="7D3A58CF"/>
    <w:rsid w:val="7DFF4354"/>
    <w:rsid w:val="7E1F1EF8"/>
    <w:rsid w:val="7EBB403A"/>
    <w:rsid w:val="7EDF5D94"/>
    <w:rsid w:val="7EEE3C8A"/>
    <w:rsid w:val="7F170838"/>
    <w:rsid w:val="7F1F604B"/>
    <w:rsid w:val="7F5A67B5"/>
    <w:rsid w:val="7FB95779"/>
    <w:rsid w:val="7FBF050B"/>
    <w:rsid w:val="7FDFEEE8"/>
    <w:rsid w:val="7FE994B4"/>
    <w:rsid w:val="7FEFD9C6"/>
    <w:rsid w:val="7FFFD11C"/>
    <w:rsid w:val="944F0312"/>
    <w:rsid w:val="9EFF0AF8"/>
    <w:rsid w:val="A3DE8261"/>
    <w:rsid w:val="A7BF7F7C"/>
    <w:rsid w:val="A7F956D7"/>
    <w:rsid w:val="ABF781A3"/>
    <w:rsid w:val="AF27E4B3"/>
    <w:rsid w:val="AFBB4DA1"/>
    <w:rsid w:val="B72E8F22"/>
    <w:rsid w:val="B7FB2747"/>
    <w:rsid w:val="BB7B3791"/>
    <w:rsid w:val="BD679163"/>
    <w:rsid w:val="BE3F60FF"/>
    <w:rsid w:val="BF77699D"/>
    <w:rsid w:val="BF97F570"/>
    <w:rsid w:val="BFBFEF43"/>
    <w:rsid w:val="BFCB3F51"/>
    <w:rsid w:val="C6FF962A"/>
    <w:rsid w:val="C7F7A356"/>
    <w:rsid w:val="CBEF1BBB"/>
    <w:rsid w:val="CEAE9DA0"/>
    <w:rsid w:val="CF735C5D"/>
    <w:rsid w:val="D2E7EBE6"/>
    <w:rsid w:val="D6FEB995"/>
    <w:rsid w:val="D7CEFAD9"/>
    <w:rsid w:val="DDF724AB"/>
    <w:rsid w:val="DFDFBE81"/>
    <w:rsid w:val="E79B80DD"/>
    <w:rsid w:val="E7BAB8D8"/>
    <w:rsid w:val="EC3665E3"/>
    <w:rsid w:val="ECEFFB7D"/>
    <w:rsid w:val="EEEFC2A2"/>
    <w:rsid w:val="EEFB0DB4"/>
    <w:rsid w:val="EEFFD808"/>
    <w:rsid w:val="EF5F26F0"/>
    <w:rsid w:val="EF7F560D"/>
    <w:rsid w:val="EFD38312"/>
    <w:rsid w:val="F2FE8920"/>
    <w:rsid w:val="F4FA6AE4"/>
    <w:rsid w:val="F6F621C4"/>
    <w:rsid w:val="F7ED1CE0"/>
    <w:rsid w:val="F81FCBA0"/>
    <w:rsid w:val="F875F816"/>
    <w:rsid w:val="F91E267C"/>
    <w:rsid w:val="F94E4423"/>
    <w:rsid w:val="F97FD7FC"/>
    <w:rsid w:val="F9AFD063"/>
    <w:rsid w:val="FAD761D3"/>
    <w:rsid w:val="FAF6709C"/>
    <w:rsid w:val="FB6A4B46"/>
    <w:rsid w:val="FB6DCE8F"/>
    <w:rsid w:val="FBAB0EE9"/>
    <w:rsid w:val="FBBF9116"/>
    <w:rsid w:val="FBF995EB"/>
    <w:rsid w:val="FBFF82F4"/>
    <w:rsid w:val="FBFFA8DB"/>
    <w:rsid w:val="FCF62931"/>
    <w:rsid w:val="FDA64753"/>
    <w:rsid w:val="FDAEA97E"/>
    <w:rsid w:val="FDB9D383"/>
    <w:rsid w:val="FDBDEE6B"/>
    <w:rsid w:val="FDED6733"/>
    <w:rsid w:val="FDFF8CAE"/>
    <w:rsid w:val="FDFFC28F"/>
    <w:rsid w:val="FEB623B2"/>
    <w:rsid w:val="FEB84BA3"/>
    <w:rsid w:val="FEC78FBF"/>
    <w:rsid w:val="FF173BAD"/>
    <w:rsid w:val="FF5B131D"/>
    <w:rsid w:val="FF7B6E4F"/>
    <w:rsid w:val="FF9F1B52"/>
    <w:rsid w:val="FFB62CD6"/>
    <w:rsid w:val="FFBF7B31"/>
    <w:rsid w:val="FFDF3636"/>
    <w:rsid w:val="FFDF7455"/>
    <w:rsid w:val="FFEFFE6A"/>
    <w:rsid w:val="FFFE9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0"/>
    <w:tblPr>
      <w:tblStyle w:val="5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506578947368421"/>
          <c:y val="0.184858337203902"/>
          <c:w val="0.942105263157895"/>
          <c:h val="0.67580120761727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B9CDE5">
                      <a:lumMod val="40000"/>
                      <a:lumOff val="60000"/>
                    </a:srgbClr>
                  </a:gs>
                  <a:gs pos="90000">
                    <a:srgbClr val="4F81BD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4F81BD"/>
                    </a:gs>
                    <a:gs pos="100000">
                      <a:srgbClr val="376092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>
                <a:gsLst>
                  <a:gs pos="0">
                    <a:srgbClr val="E6B9B8">
                      <a:lumMod val="40000"/>
                      <a:lumOff val="60000"/>
                    </a:srgbClr>
                  </a:gs>
                  <a:gs pos="90000">
                    <a:srgbClr val="C0504D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C0504D"/>
                    </a:gs>
                    <a:gs pos="100000">
                      <a:srgbClr val="953735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gradFill>
                <a:gsLst>
                  <a:gs pos="0">
                    <a:srgbClr val="D7E4BD">
                      <a:lumMod val="40000"/>
                      <a:lumOff val="60000"/>
                    </a:srgbClr>
                  </a:gs>
                  <a:gs pos="90000">
                    <a:srgbClr val="9BBB59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9BBB59"/>
                    </a:gs>
                    <a:gs pos="100000">
                      <a:srgbClr val="77933C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gradFill>
                <a:gsLst>
                  <a:gs pos="0">
                    <a:srgbClr val="CCC1DA">
                      <a:lumMod val="40000"/>
                      <a:lumOff val="60000"/>
                    </a:srgbClr>
                  </a:gs>
                  <a:gs pos="90000">
                    <a:srgbClr val="8064A2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8064A2"/>
                    </a:gs>
                    <a:gs pos="100000">
                      <a:srgbClr val="604A7B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55782936001204"/>
                  <c:y val="-0.44733430600652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采矿业：</a:t>
                    </a:r>
                    <a:r>
                      <a:rPr lang="en-US" altLang="zh-CN" sz="11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62.31%</a:t>
                    </a:r>
                    <a:endParaRPr lang="en-US" altLang="zh-CN" sz="11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7105263157895"/>
                      <c:h val="0.1254064096609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215840915440861"/>
                  <c:y val="0.38284429162044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altLang="en-US" sz="1100">
                        <a:latin typeface="+mn-ea"/>
                        <a:cs typeface="+mn-ea"/>
                      </a:rPr>
                      <a:t>制造业：</a:t>
                    </a:r>
                    <a:r>
                      <a:rPr lang="en-US" altLang="zh-CN" sz="1100">
                        <a:latin typeface="+mn-ea"/>
                        <a:cs typeface="+mn-ea"/>
                      </a:rPr>
                      <a:t>31.21%</a:t>
                    </a:r>
                    <a:endParaRPr lang="en-US" altLang="zh-CN" sz="1100">
                      <a:latin typeface="+mn-ea"/>
                      <a:cs typeface="+mn-ea"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473684210526"/>
                      <c:h val="0.125406409660938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237509080605074"/>
                  <c:y val="0.050875510017087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>
                        <a:latin typeface="+mn-ea"/>
                        <a:cs typeface="+mn-ea"/>
                      </a:rPr>
                      <a:t>电力、热力、燃气及水生产和供应业：</a:t>
                    </a:r>
                    <a:r>
                      <a:rPr lang="en-US" altLang="zh-CN" sz="1100">
                        <a:latin typeface="+mn-ea"/>
                        <a:cs typeface="+mn-ea"/>
                      </a:rPr>
                      <a:t>6.36%</a:t>
                    </a:r>
                    <a:endParaRPr lang="en-US" altLang="zh-CN" sz="1100">
                      <a:latin typeface="+mn-ea"/>
                      <a:cs typeface="+mn-ea"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15789473684"/>
                      <c:h val="0.2015791918253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241421195587717"/>
                  <c:y val="-0.10784150908469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其他：0</a:t>
                    </a:r>
                    <a:r>
                      <a:rPr lang="en-US" altLang="zh-CN" sz="11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.12</a:t>
                    </a:r>
                    <a:r>
                      <a:rPr sz="11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1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710526315789"/>
                      <c:h val="0.084765443567115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[工作簿1]Sheet1!$I$17:$I$20</c:f>
              <c:numCache>
                <c:formatCode>0.00%</c:formatCode>
                <c:ptCount val="4"/>
                <c:pt idx="0">
                  <c:v>0.6231</c:v>
                </c:pt>
                <c:pt idx="1">
                  <c:v>0.3121</c:v>
                </c:pt>
                <c:pt idx="2">
                  <c:v>0.0636</c:v>
                </c:pt>
                <c:pt idx="3">
                  <c:v>0.0012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42439024390244"/>
          <c:y val="0.133142605633803"/>
          <c:w val="0.829024390243902"/>
          <c:h val="0.76232394366197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rgbClr val="4F81BD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rgbClr val="C0504D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rgbClr val="9BBB59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rgbClr val="8064A2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199469436959613"/>
                  <c:y val="-0.35844713546274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ea"/>
                        <a:ea typeface="+mn-ea"/>
                        <a:cs typeface="+mn-ea"/>
                        <a:sym typeface="+mn-ea"/>
                      </a:defRPr>
                    </a:pPr>
                    <a:r>
                      <a:rPr sz="1100">
                        <a:latin typeface="+mn-ea"/>
                        <a:ea typeface="+mn-ea"/>
                        <a:cs typeface="+mn-ea"/>
                        <a:sym typeface="+mn-ea"/>
                      </a:rPr>
                      <a:t>制造业：87.87%</a:t>
                    </a:r>
                    <a:endParaRPr sz="1100">
                      <a:latin typeface="+mn-ea"/>
                      <a:ea typeface="+mn-ea"/>
                      <a:cs typeface="+mn-ea"/>
                      <a:sym typeface="+mn-ea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823146944083"/>
                      <c:h val="0.11883802816901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869114500362861"/>
                  <c:y val="0.059419014084507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ea"/>
                        <a:ea typeface="+mn-ea"/>
                        <a:cs typeface="+mn-ea"/>
                        <a:sym typeface="+mn-ea"/>
                      </a:defRPr>
                    </a:pPr>
                    <a:r>
                      <a:rPr sz="1100">
                        <a:latin typeface="+mn-ea"/>
                        <a:ea typeface="+mn-ea"/>
                        <a:cs typeface="+mn-ea"/>
                        <a:sym typeface="+mn-ea"/>
                      </a:rPr>
                      <a:t>电力、热力、燃气及水生产和供应业：7.71%</a:t>
                    </a:r>
                    <a:endParaRPr sz="1100">
                      <a:latin typeface="+mn-ea"/>
                      <a:ea typeface="+mn-ea"/>
                      <a:cs typeface="+mn-ea"/>
                      <a:sym typeface="+mn-ea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2439024390244"/>
                      <c:h val="0.144146126760563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0765404364569962"/>
                  <c:y val="-0.038733258981067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ea"/>
                        <a:ea typeface="+mn-ea"/>
                        <a:cs typeface="+mn-ea"/>
                        <a:sym typeface="+mn-ea"/>
                      </a:defRPr>
                    </a:pPr>
                    <a:r>
                      <a:rPr sz="1100">
                        <a:latin typeface="+mn-ea"/>
                        <a:ea typeface="+mn-ea"/>
                        <a:cs typeface="+mn-ea"/>
                        <a:sym typeface="+mn-ea"/>
                      </a:rPr>
                      <a:t>水利、环境和公共设施管理业：4.41%</a:t>
                    </a:r>
                    <a:endParaRPr sz="1100">
                      <a:latin typeface="+mn-ea"/>
                      <a:ea typeface="+mn-ea"/>
                      <a:cs typeface="+mn-ea"/>
                      <a:sym typeface="+mn-ea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5609756097561"/>
                      <c:h val="0.12984154929577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14760241615488"/>
                  <c:y val="0.022936228482003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ea"/>
                        <a:ea typeface="+mn-ea"/>
                        <a:cs typeface="+mn-ea"/>
                        <a:sym typeface="+mn-ea"/>
                      </a:defRPr>
                    </a:pPr>
                    <a:r>
                      <a:rPr sz="1100">
                        <a:latin typeface="+mn-ea"/>
                        <a:ea typeface="+mn-ea"/>
                        <a:cs typeface="+mn-ea"/>
                        <a:sym typeface="+mn-ea"/>
                      </a:rPr>
                      <a:t>其他：0.01%</a:t>
                    </a:r>
                    <a:endParaRPr sz="1100">
                      <a:latin typeface="+mn-ea"/>
                      <a:ea typeface="+mn-ea"/>
                      <a:cs typeface="+mn-ea"/>
                      <a:sym typeface="+mn-ea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[工作簿1]Sheet1!$I$10:$I$13</c:f>
              <c:numCache>
                <c:formatCode>0.00%</c:formatCode>
                <c:ptCount val="4"/>
                <c:pt idx="0">
                  <c:v>0.8787</c:v>
                </c:pt>
                <c:pt idx="1">
                  <c:v>0.0771</c:v>
                </c:pt>
                <c:pt idx="2">
                  <c:v>0.0441</c:v>
                </c:pt>
                <c:pt idx="3">
                  <c:v>0.0001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400460526315789"/>
          <c:y val="0.89930555555555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>
          <a:latin typeface="+mn-ea"/>
          <a:ea typeface="+mn-ea"/>
          <a:cs typeface="+mn-ea"/>
          <a:sym typeface="+mn-ea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289473684210526"/>
          <c:y val="0.172916666666667"/>
          <c:w val="0.942105263157895"/>
          <c:h val="0.706712962962963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B9CDE5">
                      <a:lumMod val="40000"/>
                      <a:lumOff val="60000"/>
                    </a:srgbClr>
                  </a:gs>
                  <a:gs pos="90000">
                    <a:srgbClr val="4F81BD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4F81BD"/>
                    </a:gs>
                    <a:gs pos="100000">
                      <a:srgbClr val="376092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gradFill>
                <a:gsLst>
                  <a:gs pos="0">
                    <a:srgbClr val="E6B9B8">
                      <a:lumMod val="40000"/>
                      <a:lumOff val="60000"/>
                    </a:srgbClr>
                  </a:gs>
                  <a:gs pos="90000">
                    <a:srgbClr val="C0504D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C0504D"/>
                    </a:gs>
                    <a:gs pos="100000">
                      <a:srgbClr val="953735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gradFill>
                <a:gsLst>
                  <a:gs pos="0">
                    <a:srgbClr val="D7E4BD">
                      <a:lumMod val="40000"/>
                      <a:lumOff val="60000"/>
                    </a:srgbClr>
                  </a:gs>
                  <a:gs pos="90000">
                    <a:srgbClr val="9BBB59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9BBB59"/>
                    </a:gs>
                    <a:gs pos="100000">
                      <a:srgbClr val="77933C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gradFill>
                <a:gsLst>
                  <a:gs pos="0">
                    <a:srgbClr val="CCC1DA">
                      <a:lumMod val="40000"/>
                      <a:lumOff val="60000"/>
                    </a:srgbClr>
                  </a:gs>
                  <a:gs pos="90000">
                    <a:srgbClr val="8064A2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8064A2"/>
                    </a:gs>
                    <a:gs pos="100000">
                      <a:srgbClr val="604A7B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gradFill>
                <a:gsLst>
                  <a:gs pos="0">
                    <a:srgbClr val="B7DEE8">
                      <a:lumMod val="40000"/>
                      <a:lumOff val="60000"/>
                    </a:srgbClr>
                  </a:gs>
                  <a:gs pos="90000">
                    <a:srgbClr val="4BACC6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4BACC6"/>
                    </a:gs>
                    <a:gs pos="100000">
                      <a:srgbClr val="31859C">
                        <a:lumMod val="75000"/>
                      </a:srgbClr>
                    </a:gs>
                  </a:gsLst>
                  <a:lin ang="5400000" scaled="1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826336675758003"/>
                  <c:y val="-0.34131183216563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1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工程渣土：94</a:t>
                    </a:r>
                    <a:r>
                      <a:rPr lang="en-US" altLang="zh-CN" sz="1100"/>
                      <a:t>.37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7105263157895"/>
                      <c:h val="0.127314814814815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62225320074953"/>
                  <c:y val="0.020406238474423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1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工程垃圾：</a:t>
                    </a:r>
                    <a:r>
                      <a:rPr lang="en-US" altLang="zh-CN" sz="1100"/>
                      <a:t>2.18%</a:t>
                    </a:r>
                    <a:endParaRPr lang="en-US" altLang="zh-CN"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842105263158"/>
                      <c:h val="0.10717592592592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04738658707884"/>
                  <c:y val="-0.073633591740577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1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拆除垃圾：</a:t>
                    </a:r>
                    <a:r>
                      <a:rPr lang="en-US" altLang="zh-CN" sz="1100"/>
                      <a:t>1.55%</a:t>
                    </a:r>
                    <a:endParaRPr lang="en-US" altLang="zh-CN"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342105263158"/>
                      <c:h val="0.081018518518518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0613151647670398"/>
                  <c:y val="-0.13265819996674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1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altLang="en-US" sz="1100"/>
                      <a:t>装修垃圾：</a:t>
                    </a:r>
                    <a:r>
                      <a:rPr lang="en-US" altLang="zh-CN" sz="1100"/>
                      <a:t>1.68%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421052631579"/>
                      <c:h val="0.080324074074074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.225838097722419"/>
                  <c:y val="-0.006977008463391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1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其他：</a:t>
                    </a:r>
                    <a:r>
                      <a:rPr lang="en-US" altLang="zh-CN" sz="1100"/>
                      <a:t>0.22%</a:t>
                    </a:r>
                    <a:endParaRPr lang="en-US" altLang="zh-CN"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[工作簿1]Sheet1!$J$14:$J$18</c:f>
              <c:numCache>
                <c:formatCode>0.00%</c:formatCode>
                <c:ptCount val="5"/>
                <c:pt idx="0">
                  <c:v>0.9437</c:v>
                </c:pt>
                <c:pt idx="1">
                  <c:v>0.0218</c:v>
                </c:pt>
                <c:pt idx="2">
                  <c:v>0.0155</c:v>
                </c:pt>
                <c:pt idx="3">
                  <c:v>0.0168</c:v>
                </c:pt>
                <c:pt idx="4">
                  <c:v>0.0022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259311645450259"/>
          <c:y val="0.263593380614657"/>
          <c:w val="0.948137670909948"/>
          <c:h val="0.687943262411348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rgbClr val="4F81BD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rgbClr val="C0504D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rgbClr val="9BBB59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rgbClr val="8064A2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4"/>
            <c:bubble3D val="0"/>
            <c:spPr>
              <a:solidFill>
                <a:srgbClr val="4BACC6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solidFill>
                <a:srgbClr val="F79646"/>
              </a:solidFill>
              <a:ln>
                <a:solidFill>
                  <a:srgbClr val="FFFFFF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029319915236905"/>
                  <c:y val="-0.15800415243524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废钢铁：45</a:t>
                    </a:r>
                    <a:r>
                      <a:rPr lang="en-US" altLang="zh-CN" sz="1100"/>
                      <a:t>.02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60728935785101"/>
                  <c:y val="-0.14454578742300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废纸：26</a:t>
                    </a:r>
                    <a:r>
                      <a:rPr lang="en-US" altLang="zh-CN" sz="1100"/>
                      <a:t>.52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400282885431"/>
                      <c:h val="0.094799054373522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032537874799076"/>
                  <c:y val="0.036822388331328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废塑料：1</a:t>
                    </a:r>
                    <a:r>
                      <a:rPr lang="en-US" altLang="zh-CN" sz="1100"/>
                      <a:t>1.78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878711772034283"/>
                  <c:y val="-0.012835854775909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altLang="en-US" sz="1100"/>
                      <a:t>废轮胎：</a:t>
                    </a:r>
                    <a:r>
                      <a:rPr lang="en-US" altLang="zh-CN" sz="1100"/>
                      <a:t>7.56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4266855256954"/>
                      <c:h val="0.096217494089834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319257152900815"/>
                  <c:y val="-0.094032108258750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废有色金属：4</a:t>
                    </a:r>
                    <a:r>
                      <a:rPr lang="en-US" altLang="zh-CN" sz="1100"/>
                      <a:t>.01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364450730787"/>
                      <c:h val="0.118439716312057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2870553494462"/>
                  <c:y val="-0.064794971104752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1100"/>
                      <a:t>其他：5</a:t>
                    </a:r>
                    <a:r>
                      <a:rPr lang="en-US" altLang="zh-CN" sz="1100"/>
                      <a:t>.11</a:t>
                    </a:r>
                    <a:r>
                      <a:rPr sz="1100"/>
                      <a:t>%</a:t>
                    </a:r>
                    <a:endParaRPr sz="110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708156529939"/>
                      <c:h val="0.084633569739952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[工作簿1]Sheet1!$H$7:$H$12</c:f>
              <c:numCache>
                <c:formatCode>0.00%</c:formatCode>
                <c:ptCount val="6"/>
                <c:pt idx="0">
                  <c:v>0.4502</c:v>
                </c:pt>
                <c:pt idx="1">
                  <c:v>0.2652</c:v>
                </c:pt>
                <c:pt idx="2">
                  <c:v>0.1178</c:v>
                </c:pt>
                <c:pt idx="3">
                  <c:v>0.0756</c:v>
                </c:pt>
                <c:pt idx="4">
                  <c:v>0.0401</c:v>
                </c:pt>
                <c:pt idx="5">
                  <c:v>0.0511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7953795379538"/>
          <c:y val="0.0401891252955083"/>
          <c:w val="0.236916548797737"/>
          <c:h val="0.11347517730496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5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rgbClr val="000000"/>
    </cs:fontRef>
    <cs:spPr>
      <a:gradFill>
        <a:gsLst>
          <a:gs pos="0">
            <a:srgbClr val="FFFFFF">
              <a:lumMod val="40000"/>
              <a:lumOff val="60000"/>
            </a:srgbClr>
          </a:gs>
          <a:gs pos="90000">
            <a:srgbClr val="FFFFFF"/>
          </a:gs>
        </a:gsLst>
        <a:lin ang="5400000" scaled="0"/>
      </a:gradFill>
      <a:ln>
        <a:gradFill>
          <a:gsLst>
            <a:gs pos="0">
              <a:srgbClr val="FFFFFF"/>
            </a:gs>
            <a:gs pos="100000">
              <a:srgbClr val="BFBFBF">
                <a:lumMod val="75000"/>
              </a:srgbClr>
            </a:gs>
          </a:gsLst>
          <a:lin ang="5400000" scaled="1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9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>
        <a:solidFill>
          <a:srgbClr val="FFFFFF"/>
        </a:solidFill>
      </a:ln>
      <a:effectLst/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95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rgbClr val="000000"/>
    </cs:fontRef>
    <cs:spPr>
      <a:gradFill>
        <a:gsLst>
          <a:gs pos="0">
            <a:srgbClr val="FFFFFF">
              <a:lumMod val="40000"/>
              <a:lumOff val="60000"/>
            </a:srgbClr>
          </a:gs>
          <a:gs pos="90000">
            <a:srgbClr val="FFFFFF"/>
          </a:gs>
        </a:gsLst>
        <a:lin ang="5400000" scaled="0"/>
      </a:gradFill>
      <a:ln>
        <a:gradFill>
          <a:gsLst>
            <a:gs pos="0">
              <a:srgbClr val="FFFFFF"/>
            </a:gs>
            <a:gs pos="100000">
              <a:srgbClr val="BFBFBF">
                <a:lumMod val="75000"/>
              </a:srgbClr>
            </a:gs>
          </a:gsLst>
          <a:lin ang="5400000" scaled="1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9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10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>
        <a:solidFill>
          <a:srgbClr val="FFFFFF"/>
        </a:solidFill>
      </a:ln>
      <a:effectLst/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E6E6E6">
            <a:lumMod val="902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4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3009</Words>
  <Characters>4205</Characters>
  <Lines>0</Lines>
  <Paragraphs>0</Paragraphs>
  <TotalTime>164</TotalTime>
  <ScaleCrop>false</ScaleCrop>
  <LinksUpToDate>false</LinksUpToDate>
  <CharactersWithSpaces>4216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2025-05-12T22:37:00Z</dcterms:created>
  <dc:creator>ql</dc:creator>
  <cp:lastModifiedBy>Administrator</cp:lastModifiedBy>
  <cp:lastPrinted>2026-05-25T06:50:33Z</cp:lastPrinted>
  <dcterms:modified xsi:type="dcterms:W3CDTF">2026-05-25T07:16:03Z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eyJoZGlkIjoiNjZlZDdhYThhMjgwNjJjMjhiODg3ZGVlODMwZTE5YzIiLCJ1c2VySWQiOiI0MjcxNTU1NDAifQ==</vt:lpwstr>
  </property>
  <property fmtid="{D5CDD505-2E9C-101B-9397-08002B2CF9AE}" pid="4" name="ICV">
    <vt:lpwstr>DF2E9A20218F441A90256DBD085AC9C2_12</vt:lpwstr>
  </property>
</Properties>
</file>