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default" w:ascii="Times New Roman" w:hAnsi="Times New Roman" w:eastAsia="仿宋_GB2312" w:cs="Times New Roman"/>
          <w:color w:val="auto"/>
          <w:sz w:val="36"/>
          <w:szCs w:val="36"/>
          <w:highlight w:val="none"/>
        </w:rPr>
      </w:pPr>
    </w:p>
    <w:p>
      <w:pPr>
        <w:pStyle w:val="17"/>
        <w:rPr>
          <w:rFonts w:hint="default" w:ascii="Times New Roman" w:hAnsi="Times New Roman" w:eastAsia="仿宋_GB2312" w:cs="Times New Roman"/>
          <w:color w:val="auto"/>
          <w:sz w:val="36"/>
          <w:szCs w:val="36"/>
          <w:highlight w:val="none"/>
        </w:rPr>
      </w:pPr>
    </w:p>
    <w:p>
      <w:pPr>
        <w:rPr>
          <w:rFonts w:hint="eastAsia" w:ascii="Times New Roman" w:hAnsi="Times New Roman" w:eastAsia="仿宋_GB2312" w:cs="Times New Roman"/>
          <w:color w:val="auto"/>
          <w:sz w:val="36"/>
          <w:szCs w:val="36"/>
          <w:highlight w:val="none"/>
          <w:lang w:eastAsia="zh-CN"/>
        </w:rPr>
      </w:pPr>
    </w:p>
    <w:p>
      <w:pPr>
        <w:pStyle w:val="17"/>
        <w:rPr>
          <w:rFonts w:hint="default"/>
          <w:color w:val="auto"/>
          <w:highlight w:val="none"/>
        </w:rPr>
      </w:pPr>
    </w:p>
    <w:p>
      <w:pPr>
        <w:rPr>
          <w:rFonts w:hint="default" w:ascii="Times New Roman" w:hAnsi="Times New Roman" w:eastAsia="仿宋_GB2312" w:cs="Times New Roman"/>
          <w:color w:val="auto"/>
          <w:sz w:val="36"/>
          <w:szCs w:val="36"/>
          <w:highlight w:val="none"/>
        </w:rPr>
      </w:pPr>
    </w:p>
    <w:p>
      <w:pPr>
        <w:adjustRightInd w:val="0"/>
        <w:snapToGrid w:val="0"/>
        <w:jc w:val="center"/>
        <w:outlineLvl w:val="0"/>
        <w:rPr>
          <w:rFonts w:hint="default" w:ascii="Times New Roman" w:hAnsi="Times New Roman" w:eastAsia="黑体" w:cs="Times New Roman"/>
          <w:bCs/>
          <w:color w:val="auto"/>
          <w:sz w:val="72"/>
          <w:szCs w:val="72"/>
          <w:highlight w:val="none"/>
        </w:rPr>
      </w:pPr>
      <w:bookmarkStart w:id="0" w:name="_Toc27994"/>
      <w:bookmarkStart w:id="1" w:name="_Toc4133"/>
      <w:bookmarkStart w:id="2" w:name="_Toc28164"/>
      <w:bookmarkStart w:id="3" w:name="_Toc28807"/>
      <w:bookmarkStart w:id="4" w:name="_Toc5398"/>
      <w:bookmarkStart w:id="5" w:name="_Toc17443"/>
      <w:bookmarkStart w:id="6" w:name="_Toc9876"/>
      <w:bookmarkStart w:id="7" w:name="_Toc31158"/>
      <w:bookmarkStart w:id="8" w:name="_Toc1481"/>
      <w:bookmarkStart w:id="9" w:name="_Toc13935"/>
      <w:bookmarkStart w:id="10" w:name="_Toc28628"/>
      <w:bookmarkStart w:id="11" w:name="_Toc15237"/>
      <w:bookmarkStart w:id="12" w:name="_Toc28892"/>
      <w:r>
        <w:rPr>
          <w:rFonts w:hint="default" w:ascii="Times New Roman" w:hAnsi="Times New Roman" w:eastAsia="黑体" w:cs="Times New Roman"/>
          <w:bCs/>
          <w:color w:val="auto"/>
          <w:sz w:val="72"/>
          <w:szCs w:val="72"/>
          <w:highlight w:val="none"/>
        </w:rPr>
        <w:t>建设项目环境影响报告表</w:t>
      </w:r>
      <w:bookmarkEnd w:id="0"/>
      <w:bookmarkEnd w:id="1"/>
      <w:bookmarkEnd w:id="2"/>
      <w:bookmarkEnd w:id="3"/>
      <w:bookmarkEnd w:id="4"/>
      <w:bookmarkEnd w:id="5"/>
      <w:bookmarkEnd w:id="6"/>
      <w:bookmarkEnd w:id="7"/>
      <w:bookmarkEnd w:id="8"/>
      <w:bookmarkEnd w:id="9"/>
      <w:bookmarkEnd w:id="10"/>
      <w:bookmarkEnd w:id="11"/>
      <w:bookmarkEnd w:id="12"/>
    </w:p>
    <w:p>
      <w:pPr>
        <w:adjustRightInd w:val="0"/>
        <w:snapToGrid w:val="0"/>
        <w:spacing w:before="192" w:beforeLines="80"/>
        <w:jc w:val="center"/>
        <w:rPr>
          <w:rFonts w:hint="default" w:ascii="Times New Roman" w:hAnsi="Times New Roman" w:eastAsia="楷体" w:cs="Times New Roman"/>
          <w:bCs/>
          <w:color w:val="auto"/>
          <w:sz w:val="48"/>
          <w:szCs w:val="48"/>
          <w:highlight w:val="none"/>
        </w:rPr>
      </w:pPr>
      <w:r>
        <w:rPr>
          <w:rFonts w:hint="default" w:ascii="Times New Roman" w:hAnsi="Times New Roman" w:eastAsia="楷体" w:cs="Times New Roman"/>
          <w:bCs/>
          <w:color w:val="auto"/>
          <w:sz w:val="48"/>
          <w:szCs w:val="48"/>
          <w:highlight w:val="none"/>
        </w:rPr>
        <w:t>（</w:t>
      </w:r>
      <w:r>
        <w:rPr>
          <w:rFonts w:hint="eastAsia" w:ascii="Times New Roman" w:hAnsi="Times New Roman" w:eastAsia="楷体" w:cs="Times New Roman"/>
          <w:bCs/>
          <w:color w:val="auto"/>
          <w:sz w:val="48"/>
          <w:szCs w:val="48"/>
          <w:highlight w:val="none"/>
          <w:lang w:val="en-US" w:eastAsia="zh-CN"/>
        </w:rPr>
        <w:t>生态影响</w:t>
      </w:r>
      <w:r>
        <w:rPr>
          <w:rFonts w:hint="default" w:ascii="Times New Roman" w:hAnsi="Times New Roman" w:eastAsia="楷体" w:cs="Times New Roman"/>
          <w:bCs/>
          <w:color w:val="auto"/>
          <w:sz w:val="48"/>
          <w:szCs w:val="48"/>
          <w:highlight w:val="none"/>
        </w:rPr>
        <w:t>类）</w:t>
      </w:r>
    </w:p>
    <w:p>
      <w:pPr>
        <w:pStyle w:val="7"/>
        <w:tabs>
          <w:tab w:val="left" w:pos="7288"/>
        </w:tabs>
        <w:rPr>
          <w:rFonts w:hint="eastAsia" w:ascii="Times New Roman" w:hAnsi="Times New Roman" w:eastAsia="宋体" w:cs="Times New Roman"/>
          <w:color w:val="auto"/>
          <w:highlight w:val="none"/>
          <w:lang w:eastAsia="zh-CN"/>
        </w:rPr>
      </w:pPr>
      <w:r>
        <w:rPr>
          <w:rFonts w:hint="eastAsia" w:ascii="Times New Roman" w:hAnsi="Times New Roman" w:cs="Times New Roman"/>
          <w:color w:val="auto"/>
          <w:highlight w:val="none"/>
          <w:lang w:eastAsia="zh-CN"/>
        </w:rPr>
        <w:tab/>
      </w:r>
    </w:p>
    <w:p>
      <w:pPr>
        <w:pStyle w:val="7"/>
        <w:rPr>
          <w:rFonts w:hint="default" w:ascii="Times New Roman" w:hAnsi="Times New Roman" w:cs="Times New Roman"/>
          <w:color w:val="auto"/>
          <w:highlight w:val="none"/>
        </w:rPr>
      </w:pPr>
    </w:p>
    <w:p>
      <w:pPr>
        <w:pStyle w:val="7"/>
        <w:rPr>
          <w:rFonts w:hint="default" w:ascii="Times New Roman" w:hAnsi="Times New Roman" w:cs="Times New Roman"/>
          <w:color w:val="auto"/>
          <w:highlight w:val="none"/>
        </w:rPr>
      </w:pPr>
    </w:p>
    <w:p>
      <w:pPr>
        <w:pStyle w:val="7"/>
        <w:rPr>
          <w:rFonts w:hint="default" w:ascii="Times New Roman" w:hAnsi="Times New Roman" w:cs="Times New Roman"/>
          <w:color w:val="auto"/>
          <w:highlight w:val="none"/>
        </w:rPr>
      </w:pPr>
    </w:p>
    <w:p>
      <w:pPr>
        <w:pStyle w:val="7"/>
        <w:rPr>
          <w:rFonts w:hint="default" w:ascii="Times New Roman" w:hAnsi="Times New Roman" w:cs="Times New Roman"/>
          <w:color w:val="auto"/>
          <w:highlight w:val="none"/>
        </w:rPr>
      </w:pPr>
    </w:p>
    <w:p>
      <w:pPr>
        <w:pStyle w:val="7"/>
        <w:rPr>
          <w:rFonts w:hint="default" w:ascii="Times New Roman" w:hAnsi="Times New Roman" w:cs="Times New Roman"/>
          <w:color w:val="auto"/>
          <w:highlight w:val="none"/>
        </w:rPr>
      </w:pPr>
    </w:p>
    <w:p>
      <w:pPr>
        <w:pStyle w:val="7"/>
        <w:jc w:val="right"/>
        <w:rPr>
          <w:rFonts w:hint="default" w:ascii="Times New Roman" w:hAnsi="Times New Roman" w:cs="Times New Roman"/>
          <w:color w:val="auto"/>
          <w:highlight w:val="none"/>
        </w:rPr>
      </w:pPr>
    </w:p>
    <w:p>
      <w:pPr>
        <w:pStyle w:val="7"/>
        <w:rPr>
          <w:rFonts w:hint="default" w:ascii="Times New Roman" w:hAnsi="Times New Roman" w:cs="Times New Roman"/>
          <w:color w:val="auto"/>
          <w:highlight w:val="none"/>
        </w:rPr>
      </w:pPr>
    </w:p>
    <w:p>
      <w:pPr>
        <w:pStyle w:val="7"/>
        <w:rPr>
          <w:rFonts w:hint="default" w:ascii="Times New Roman" w:hAnsi="Times New Roman" w:cs="Times New Roman"/>
          <w:color w:val="auto"/>
          <w:highlight w:val="none"/>
        </w:rPr>
      </w:pPr>
    </w:p>
    <w:p>
      <w:pPr>
        <w:pStyle w:val="7"/>
        <w:rPr>
          <w:rFonts w:hint="default" w:ascii="Times New Roman" w:hAnsi="Times New Roman" w:cs="Times New Roman"/>
          <w:color w:val="auto"/>
          <w:highlight w:val="none"/>
        </w:rPr>
      </w:pPr>
    </w:p>
    <w:p>
      <w:pPr>
        <w:pStyle w:val="7"/>
        <w:rPr>
          <w:rFonts w:hint="default" w:ascii="Times New Roman" w:hAnsi="Times New Roman" w:cs="Times New Roman"/>
          <w:color w:val="auto"/>
          <w:highlight w:val="none"/>
        </w:rPr>
      </w:pPr>
    </w:p>
    <w:p>
      <w:pPr>
        <w:keepNext w:val="0"/>
        <w:keepLines w:val="0"/>
        <w:pageBreakBefore w:val="0"/>
        <w:widowControl w:val="0"/>
        <w:kinsoku/>
        <w:wordWrap/>
        <w:overflowPunct/>
        <w:topLinePunct w:val="0"/>
        <w:autoSpaceDE/>
        <w:autoSpaceDN/>
        <w:bidi w:val="0"/>
        <w:adjustRightInd w:val="0"/>
        <w:snapToGrid w:val="0"/>
        <w:spacing w:line="360" w:lineRule="auto"/>
        <w:ind w:right="0" w:firstLine="640" w:firstLineChars="200"/>
        <w:jc w:val="left"/>
        <w:textAlignment w:val="auto"/>
        <w:outlineLvl w:val="0"/>
        <w:rPr>
          <w:rFonts w:hint="eastAsia" w:ascii="Times New Roman" w:hAnsi="Times New Roman" w:eastAsia="楷体" w:cs="Times New Roman"/>
          <w:color w:val="auto"/>
          <w:spacing w:val="-11"/>
          <w:sz w:val="32"/>
          <w:szCs w:val="32"/>
          <w:highlight w:val="none"/>
          <w:u w:val="single"/>
          <w:lang w:val="en-US" w:eastAsia="zh-CN"/>
        </w:rPr>
      </w:pPr>
      <w:bookmarkStart w:id="13" w:name="_Toc22693"/>
      <w:bookmarkStart w:id="14" w:name="_Toc22305"/>
      <w:bookmarkStart w:id="15" w:name="_Toc4348"/>
      <w:bookmarkStart w:id="16" w:name="_Toc16198"/>
      <w:bookmarkStart w:id="17" w:name="_Toc26330"/>
      <w:bookmarkStart w:id="18" w:name="_Toc7711"/>
      <w:bookmarkStart w:id="19" w:name="_Toc19383"/>
      <w:bookmarkStart w:id="20" w:name="_Toc23773"/>
      <w:bookmarkStart w:id="21" w:name="_Toc31219"/>
      <w:bookmarkStart w:id="22" w:name="_Toc1311"/>
      <w:bookmarkStart w:id="23" w:name="_Toc16184"/>
      <w:bookmarkStart w:id="24" w:name="_Toc6067"/>
      <w:bookmarkStart w:id="25" w:name="_Toc29315"/>
      <w:r>
        <w:rPr>
          <w:rFonts w:hint="default" w:ascii="Times New Roman" w:hAnsi="Times New Roman" w:eastAsia="楷体" w:cs="Times New Roman"/>
          <w:color w:val="auto"/>
          <w:sz w:val="32"/>
          <w:szCs w:val="32"/>
          <w:highlight w:val="none"/>
        </w:rPr>
        <w:t>项目名称</w:t>
      </w:r>
      <w:r>
        <w:rPr>
          <w:rFonts w:hint="default" w:ascii="Times New Roman" w:hAnsi="Times New Roman" w:eastAsia="楷体" w:cs="Times New Roman"/>
          <w:color w:val="auto"/>
          <w:spacing w:val="-11"/>
          <w:sz w:val="32"/>
          <w:szCs w:val="32"/>
          <w:highlight w:val="none"/>
          <w:u w:val="none"/>
        </w:rPr>
        <w:t>：</w:t>
      </w:r>
      <w:bookmarkEnd w:id="13"/>
      <w:bookmarkEnd w:id="14"/>
      <w:bookmarkEnd w:id="15"/>
      <w:bookmarkEnd w:id="16"/>
      <w:bookmarkEnd w:id="17"/>
      <w:bookmarkEnd w:id="18"/>
      <w:bookmarkEnd w:id="19"/>
      <w:bookmarkEnd w:id="20"/>
      <w:bookmarkEnd w:id="21"/>
      <w:bookmarkEnd w:id="22"/>
      <w:bookmarkEnd w:id="23"/>
      <w:bookmarkEnd w:id="24"/>
      <w:bookmarkEnd w:id="25"/>
      <w:r>
        <w:rPr>
          <w:rFonts w:hint="default" w:ascii="Times New Roman" w:hAnsi="Times New Roman" w:eastAsia="楷体" w:cs="Times New Roman"/>
          <w:color w:val="auto"/>
          <w:spacing w:val="-11"/>
          <w:sz w:val="32"/>
          <w:szCs w:val="32"/>
          <w:highlight w:val="none"/>
          <w:u w:val="single"/>
          <w:lang w:val="en-US" w:eastAsia="zh-CN"/>
        </w:rPr>
        <w:t>朝阳</w:t>
      </w:r>
      <w:r>
        <w:rPr>
          <w:rFonts w:hint="eastAsia" w:ascii="Times New Roman" w:hAnsi="Times New Roman" w:eastAsia="楷体" w:cs="Times New Roman"/>
          <w:color w:val="auto"/>
          <w:spacing w:val="-11"/>
          <w:sz w:val="32"/>
          <w:szCs w:val="32"/>
          <w:highlight w:val="none"/>
          <w:u w:val="single"/>
          <w:lang w:val="en-US" w:eastAsia="zh-CN"/>
        </w:rPr>
        <w:t>国宏</w:t>
      </w:r>
      <w:r>
        <w:rPr>
          <w:rFonts w:hint="default" w:ascii="Times New Roman" w:hAnsi="Times New Roman" w:eastAsia="楷体" w:cs="Times New Roman"/>
          <w:color w:val="auto"/>
          <w:spacing w:val="-11"/>
          <w:sz w:val="32"/>
          <w:szCs w:val="32"/>
          <w:highlight w:val="none"/>
          <w:u w:val="single"/>
          <w:lang w:val="en-US" w:eastAsia="zh-CN"/>
        </w:rPr>
        <w:t>10</w:t>
      </w:r>
      <w:r>
        <w:rPr>
          <w:rFonts w:hint="eastAsia" w:ascii="Times New Roman" w:hAnsi="Times New Roman" w:eastAsia="楷体" w:cs="Times New Roman"/>
          <w:color w:val="auto"/>
          <w:spacing w:val="-11"/>
          <w:sz w:val="32"/>
          <w:szCs w:val="32"/>
          <w:highlight w:val="none"/>
          <w:u w:val="single"/>
          <w:lang w:val="en-US" w:eastAsia="zh-CN"/>
        </w:rPr>
        <w:t>0</w:t>
      </w:r>
      <w:r>
        <w:rPr>
          <w:rFonts w:hint="default" w:ascii="Times New Roman" w:hAnsi="Times New Roman" w:eastAsia="楷体" w:cs="Times New Roman"/>
          <w:color w:val="auto"/>
          <w:spacing w:val="-11"/>
          <w:sz w:val="32"/>
          <w:szCs w:val="32"/>
          <w:highlight w:val="none"/>
          <w:u w:val="single"/>
          <w:lang w:val="en-US" w:eastAsia="zh-CN"/>
        </w:rPr>
        <w:t>MW</w:t>
      </w:r>
      <w:r>
        <w:rPr>
          <w:rFonts w:hint="eastAsia" w:ascii="Times New Roman" w:hAnsi="Times New Roman" w:eastAsia="楷体" w:cs="Times New Roman"/>
          <w:color w:val="auto"/>
          <w:spacing w:val="-11"/>
          <w:sz w:val="32"/>
          <w:szCs w:val="32"/>
          <w:highlight w:val="none"/>
          <w:u w:val="single"/>
          <w:lang w:val="en-US" w:eastAsia="zh-CN"/>
        </w:rPr>
        <w:t>储能</w:t>
      </w:r>
      <w:r>
        <w:rPr>
          <w:rFonts w:hint="default" w:ascii="Times New Roman" w:hAnsi="Times New Roman" w:eastAsia="楷体" w:cs="Times New Roman"/>
          <w:color w:val="auto"/>
          <w:spacing w:val="-11"/>
          <w:sz w:val="32"/>
          <w:szCs w:val="32"/>
          <w:highlight w:val="none"/>
          <w:u w:val="single"/>
          <w:lang w:val="en-US" w:eastAsia="zh-CN"/>
        </w:rPr>
        <w:t>项目</w:t>
      </w:r>
      <w:r>
        <w:rPr>
          <w:rFonts w:hint="eastAsia" w:ascii="Times New Roman" w:hAnsi="Times New Roman" w:eastAsia="楷体" w:cs="Times New Roman"/>
          <w:color w:val="auto"/>
          <w:spacing w:val="-11"/>
          <w:sz w:val="32"/>
          <w:szCs w:val="32"/>
          <w:highlight w:val="none"/>
          <w:u w:val="single"/>
          <w:lang w:val="en-US" w:eastAsia="zh-CN"/>
        </w:rPr>
        <w:t>220千伏送出</w:t>
      </w:r>
    </w:p>
    <w:p>
      <w:pPr>
        <w:keepNext w:val="0"/>
        <w:keepLines w:val="0"/>
        <w:pageBreakBefore w:val="0"/>
        <w:widowControl w:val="0"/>
        <w:kinsoku/>
        <w:wordWrap/>
        <w:overflowPunct/>
        <w:topLinePunct w:val="0"/>
        <w:autoSpaceDE/>
        <w:autoSpaceDN/>
        <w:bidi w:val="0"/>
        <w:adjustRightInd w:val="0"/>
        <w:snapToGrid w:val="0"/>
        <w:spacing w:line="360" w:lineRule="auto"/>
        <w:ind w:right="0" w:firstLine="596" w:firstLineChars="200"/>
        <w:jc w:val="left"/>
        <w:textAlignment w:val="auto"/>
        <w:outlineLvl w:val="0"/>
        <w:rPr>
          <w:rFonts w:hint="default" w:ascii="Times New Roman" w:hAnsi="Times New Roman" w:eastAsia="楷体" w:cs="Times New Roman"/>
          <w:color w:val="auto"/>
          <w:spacing w:val="-11"/>
          <w:sz w:val="32"/>
          <w:szCs w:val="32"/>
          <w:highlight w:val="none"/>
          <w:u w:val="single"/>
          <w:lang w:val="en-US" w:eastAsia="zh-CN"/>
        </w:rPr>
      </w:pPr>
      <w:r>
        <w:rPr>
          <w:rFonts w:hint="eastAsia" w:ascii="Times New Roman" w:hAnsi="Times New Roman" w:eastAsia="楷体" w:cs="Times New Roman"/>
          <w:color w:val="auto"/>
          <w:spacing w:val="-11"/>
          <w:sz w:val="32"/>
          <w:szCs w:val="32"/>
          <w:highlight w:val="none"/>
          <w:u w:val="single"/>
          <w:lang w:val="en-US" w:eastAsia="zh-CN"/>
        </w:rPr>
        <w:t>工程项目</w:t>
      </w:r>
    </w:p>
    <w:p>
      <w:pPr>
        <w:keepNext w:val="0"/>
        <w:keepLines w:val="0"/>
        <w:pageBreakBefore w:val="0"/>
        <w:widowControl w:val="0"/>
        <w:kinsoku/>
        <w:wordWrap/>
        <w:overflowPunct/>
        <w:topLinePunct w:val="0"/>
        <w:autoSpaceDE/>
        <w:autoSpaceDN/>
        <w:bidi w:val="0"/>
        <w:adjustRightInd w:val="0"/>
        <w:snapToGrid w:val="0"/>
        <w:spacing w:line="360" w:lineRule="auto"/>
        <w:ind w:right="0" w:firstLine="640" w:firstLineChars="200"/>
        <w:jc w:val="left"/>
        <w:textAlignment w:val="auto"/>
        <w:rPr>
          <w:rFonts w:hint="eastAsia" w:ascii="Times New Roman" w:hAnsi="Times New Roman" w:eastAsia="楷体" w:cs="Times New Roman"/>
          <w:color w:val="auto"/>
          <w:spacing w:val="-11"/>
          <w:sz w:val="32"/>
          <w:szCs w:val="32"/>
          <w:highlight w:val="none"/>
          <w:u w:val="single"/>
          <w:lang w:val="en-US" w:eastAsia="zh-CN"/>
        </w:rPr>
      </w:pPr>
      <w:r>
        <w:rPr>
          <w:rFonts w:hint="default" w:ascii="Times New Roman" w:hAnsi="Times New Roman" w:eastAsia="楷体" w:cs="Times New Roman"/>
          <w:color w:val="auto"/>
          <w:sz w:val="32"/>
          <w:szCs w:val="32"/>
          <w:highlight w:val="none"/>
        </w:rPr>
        <w:t>建设单位（盖章）：</w:t>
      </w:r>
      <w:r>
        <w:rPr>
          <w:rFonts w:hint="eastAsia" w:ascii="Times New Roman" w:hAnsi="Times New Roman" w:eastAsia="楷体" w:cs="Times New Roman"/>
          <w:color w:val="auto"/>
          <w:spacing w:val="-11"/>
          <w:sz w:val="32"/>
          <w:szCs w:val="32"/>
          <w:highlight w:val="none"/>
          <w:u w:val="single"/>
          <w:lang w:val="en-US" w:eastAsia="zh-CN"/>
        </w:rPr>
        <w:t>国网辽宁省电力有限公司朝阳</w:t>
      </w:r>
    </w:p>
    <w:p>
      <w:pPr>
        <w:keepNext w:val="0"/>
        <w:keepLines w:val="0"/>
        <w:pageBreakBefore w:val="0"/>
        <w:widowControl w:val="0"/>
        <w:kinsoku/>
        <w:wordWrap/>
        <w:overflowPunct/>
        <w:topLinePunct w:val="0"/>
        <w:autoSpaceDE/>
        <w:autoSpaceDN/>
        <w:bidi w:val="0"/>
        <w:adjustRightInd w:val="0"/>
        <w:snapToGrid w:val="0"/>
        <w:spacing w:line="360" w:lineRule="auto"/>
        <w:ind w:right="0" w:firstLine="596" w:firstLineChars="200"/>
        <w:jc w:val="left"/>
        <w:textAlignment w:val="auto"/>
        <w:rPr>
          <w:rFonts w:hint="default" w:ascii="Times New Roman" w:hAnsi="Times New Roman" w:eastAsia="楷体" w:cs="Times New Roman"/>
          <w:color w:val="auto"/>
          <w:spacing w:val="-11"/>
          <w:sz w:val="32"/>
          <w:szCs w:val="32"/>
          <w:highlight w:val="none"/>
          <w:u w:val="single"/>
          <w:lang w:val="en-US"/>
        </w:rPr>
      </w:pPr>
      <w:r>
        <w:rPr>
          <w:rFonts w:hint="eastAsia" w:ascii="Times New Roman" w:hAnsi="Times New Roman" w:eastAsia="楷体" w:cs="Times New Roman"/>
          <w:color w:val="auto"/>
          <w:spacing w:val="-11"/>
          <w:sz w:val="32"/>
          <w:szCs w:val="32"/>
          <w:highlight w:val="none"/>
          <w:u w:val="single"/>
          <w:lang w:val="en-US" w:eastAsia="zh-CN"/>
        </w:rPr>
        <w:t>供电公司</w:t>
      </w:r>
    </w:p>
    <w:p>
      <w:pPr>
        <w:keepNext w:val="0"/>
        <w:keepLines w:val="0"/>
        <w:pageBreakBefore w:val="0"/>
        <w:widowControl w:val="0"/>
        <w:tabs>
          <w:tab w:val="left" w:pos="5550"/>
        </w:tabs>
        <w:kinsoku/>
        <w:wordWrap/>
        <w:overflowPunct/>
        <w:topLinePunct w:val="0"/>
        <w:autoSpaceDE/>
        <w:autoSpaceDN/>
        <w:bidi w:val="0"/>
        <w:adjustRightInd w:val="0"/>
        <w:snapToGrid w:val="0"/>
        <w:spacing w:line="360" w:lineRule="auto"/>
        <w:ind w:right="0" w:firstLine="640" w:firstLineChars="200"/>
        <w:jc w:val="left"/>
        <w:textAlignment w:val="auto"/>
        <w:rPr>
          <w:rFonts w:hint="default" w:ascii="Times New Roman" w:hAnsi="Times New Roman" w:eastAsia="楷体" w:cs="Times New Roman"/>
          <w:color w:val="auto"/>
          <w:sz w:val="32"/>
          <w:szCs w:val="32"/>
          <w:highlight w:val="none"/>
          <w:u w:val="single"/>
        </w:rPr>
      </w:pPr>
      <w:r>
        <w:rPr>
          <w:rFonts w:hint="default" w:ascii="Times New Roman" w:hAnsi="Times New Roman" w:eastAsia="楷体" w:cs="Times New Roman"/>
          <w:color w:val="auto"/>
          <w:sz w:val="32"/>
          <w:szCs w:val="32"/>
          <w:highlight w:val="none"/>
        </w:rPr>
        <w:t>编制日期：</w:t>
      </w:r>
      <w:r>
        <w:rPr>
          <w:rFonts w:hint="eastAsia" w:ascii="Times New Roman" w:hAnsi="Times New Roman" w:eastAsia="楷体" w:cs="Times New Roman"/>
          <w:color w:val="auto"/>
          <w:sz w:val="32"/>
          <w:szCs w:val="32"/>
          <w:highlight w:val="none"/>
          <w:u w:val="single"/>
          <w:lang w:val="en-US" w:eastAsia="zh-CN"/>
        </w:rPr>
        <w:t xml:space="preserve">         二〇二六</w:t>
      </w:r>
      <w:r>
        <w:rPr>
          <w:rFonts w:hint="default" w:ascii="Times New Roman" w:hAnsi="Times New Roman" w:eastAsia="楷体" w:cs="Times New Roman"/>
          <w:color w:val="auto"/>
          <w:sz w:val="32"/>
          <w:szCs w:val="32"/>
          <w:highlight w:val="none"/>
          <w:u w:val="single"/>
        </w:rPr>
        <w:t>年</w:t>
      </w:r>
      <w:r>
        <w:rPr>
          <w:rFonts w:hint="eastAsia" w:eastAsia="楷体" w:cs="Times New Roman"/>
          <w:color w:val="auto"/>
          <w:sz w:val="32"/>
          <w:szCs w:val="32"/>
          <w:highlight w:val="none"/>
          <w:u w:val="single"/>
          <w:lang w:val="en-US" w:eastAsia="zh-CN"/>
        </w:rPr>
        <w:t>六</w:t>
      </w:r>
      <w:r>
        <w:rPr>
          <w:rFonts w:hint="default" w:ascii="Times New Roman" w:hAnsi="Times New Roman" w:eastAsia="楷体" w:cs="Times New Roman"/>
          <w:color w:val="auto"/>
          <w:sz w:val="32"/>
          <w:szCs w:val="32"/>
          <w:highlight w:val="none"/>
          <w:u w:val="single"/>
        </w:rPr>
        <w:t>月</w:t>
      </w:r>
      <w:r>
        <w:rPr>
          <w:rFonts w:hint="eastAsia" w:ascii="Times New Roman" w:hAnsi="Times New Roman" w:eastAsia="楷体" w:cs="Times New Roman"/>
          <w:color w:val="auto"/>
          <w:sz w:val="32"/>
          <w:szCs w:val="32"/>
          <w:highlight w:val="none"/>
          <w:u w:val="single"/>
          <w:lang w:eastAsia="zh-CN"/>
        </w:rPr>
        <w:tab/>
      </w:r>
      <w:r>
        <w:rPr>
          <w:rFonts w:hint="eastAsia" w:ascii="Times New Roman" w:hAnsi="Times New Roman" w:eastAsia="楷体" w:cs="Times New Roman"/>
          <w:color w:val="auto"/>
          <w:sz w:val="32"/>
          <w:szCs w:val="32"/>
          <w:highlight w:val="none"/>
          <w:u w:val="single"/>
          <w:lang w:val="en-US" w:eastAsia="zh-CN"/>
        </w:rPr>
        <w:t xml:space="preserve">          </w:t>
      </w:r>
      <w:bookmarkStart w:id="26" w:name="_Hlk57884087"/>
    </w:p>
    <w:p>
      <w:pPr>
        <w:adjustRightInd w:val="0"/>
        <w:snapToGrid w:val="0"/>
        <w:spacing w:line="288" w:lineRule="auto"/>
        <w:ind w:firstLine="1040"/>
        <w:rPr>
          <w:rFonts w:hint="default" w:ascii="Times New Roman" w:hAnsi="Times New Roman" w:eastAsia="楷体" w:cs="Times New Roman"/>
          <w:color w:val="auto"/>
          <w:sz w:val="32"/>
          <w:szCs w:val="36"/>
          <w:highlight w:val="none"/>
        </w:rPr>
      </w:pPr>
    </w:p>
    <w:p>
      <w:pPr>
        <w:adjustRightInd w:val="0"/>
        <w:snapToGrid w:val="0"/>
        <w:spacing w:line="288" w:lineRule="auto"/>
        <w:ind w:firstLine="1040"/>
        <w:rPr>
          <w:rFonts w:hint="default" w:ascii="Times New Roman" w:hAnsi="Times New Roman" w:eastAsia="楷体" w:cs="Times New Roman"/>
          <w:color w:val="auto"/>
          <w:sz w:val="32"/>
          <w:szCs w:val="36"/>
          <w:highlight w:val="none"/>
        </w:rPr>
      </w:pPr>
    </w:p>
    <w:bookmarkEnd w:id="26"/>
    <w:p>
      <w:pPr>
        <w:adjustRightInd w:val="0"/>
        <w:snapToGrid w:val="0"/>
        <w:spacing w:line="288" w:lineRule="auto"/>
        <w:jc w:val="center"/>
        <w:outlineLvl w:val="0"/>
        <w:rPr>
          <w:rFonts w:hint="default" w:ascii="Times New Roman" w:hAnsi="Times New Roman" w:cs="Times New Roman"/>
          <w:color w:val="auto"/>
          <w:highlight w:val="none"/>
        </w:rPr>
      </w:pPr>
      <w:bookmarkStart w:id="27" w:name="_Toc28058"/>
      <w:bookmarkStart w:id="28" w:name="_Toc28532"/>
      <w:bookmarkStart w:id="29" w:name="_Toc26519"/>
      <w:bookmarkStart w:id="30" w:name="_Toc30183"/>
      <w:bookmarkStart w:id="31" w:name="_Toc16400"/>
      <w:bookmarkStart w:id="32" w:name="_Toc7940"/>
      <w:bookmarkStart w:id="33" w:name="_Toc11489"/>
      <w:bookmarkStart w:id="34" w:name="_Toc25674"/>
      <w:bookmarkStart w:id="35" w:name="_Toc3575"/>
      <w:bookmarkStart w:id="36" w:name="_Toc26860"/>
      <w:bookmarkStart w:id="37" w:name="_Toc20261"/>
      <w:bookmarkStart w:id="38" w:name="_Toc27552"/>
      <w:bookmarkStart w:id="39" w:name="_Toc25391"/>
      <w:r>
        <w:rPr>
          <w:rFonts w:hint="default" w:ascii="Times New Roman" w:hAnsi="Times New Roman" w:eastAsia="楷体" w:cs="Times New Roman"/>
          <w:color w:val="auto"/>
          <w:sz w:val="36"/>
          <w:szCs w:val="40"/>
          <w:highlight w:val="none"/>
        </w:rPr>
        <w:t>中华人民共和国生态环境部制</w:t>
      </w:r>
      <w:bookmarkEnd w:id="27"/>
      <w:bookmarkEnd w:id="28"/>
      <w:bookmarkEnd w:id="29"/>
      <w:bookmarkEnd w:id="30"/>
      <w:bookmarkEnd w:id="31"/>
      <w:bookmarkEnd w:id="32"/>
      <w:bookmarkEnd w:id="33"/>
      <w:bookmarkEnd w:id="34"/>
      <w:bookmarkEnd w:id="35"/>
      <w:bookmarkEnd w:id="36"/>
      <w:bookmarkEnd w:id="37"/>
      <w:bookmarkEnd w:id="38"/>
      <w:bookmarkEnd w:id="39"/>
    </w:p>
    <w:p>
      <w:pPr>
        <w:pStyle w:val="16"/>
        <w:jc w:val="center"/>
        <w:outlineLvl w:val="0"/>
        <w:rPr>
          <w:rFonts w:hint="default" w:ascii="Times New Roman" w:hAnsi="Times New Roman" w:eastAsia="黑体" w:cs="Times New Roman"/>
          <w:snapToGrid w:val="0"/>
          <w:color w:val="auto"/>
          <w:sz w:val="30"/>
          <w:szCs w:val="30"/>
          <w:highlight w:val="none"/>
        </w:rPr>
        <w:sectPr>
          <w:footerReference r:id="rId4" w:type="first"/>
          <w:footerReference r:id="rId3" w:type="default"/>
          <w:pgSz w:w="11906" w:h="16838"/>
          <w:pgMar w:top="1440" w:right="1803" w:bottom="1440" w:left="1803" w:header="851" w:footer="1077" w:gutter="0"/>
          <w:pgBorders>
            <w:top w:val="none" w:sz="0" w:space="0"/>
            <w:left w:val="none" w:sz="0" w:space="0"/>
            <w:bottom w:val="none" w:sz="0" w:space="0"/>
            <w:right w:val="none" w:sz="0" w:space="0"/>
          </w:pgBorders>
          <w:pgNumType w:fmt="numberInDash" w:start="1"/>
          <w:cols w:space="720" w:num="1"/>
          <w:docGrid w:linePitch="312" w:charSpace="0"/>
        </w:sectPr>
      </w:pPr>
    </w:p>
    <w:p>
      <w:pPr>
        <w:spacing w:line="240" w:lineRule="auto"/>
        <w:jc w:val="left"/>
        <w:rPr>
          <w:rFonts w:hint="eastAsia" w:ascii="Times New Roman" w:hAnsi="Times New Roman" w:eastAsia="宋体" w:cs="Times New Roman"/>
          <w:b/>
          <w:bCs/>
          <w:color w:val="auto"/>
          <w:sz w:val="28"/>
          <w:szCs w:val="28"/>
          <w:lang w:eastAsia="zh-CN"/>
        </w:rPr>
      </w:pPr>
    </w:p>
    <w:p>
      <w:pPr>
        <w:spacing w:line="240" w:lineRule="auto"/>
        <w:jc w:val="left"/>
        <w:rPr>
          <w:rFonts w:hint="eastAsia" w:ascii="Times New Roman" w:hAnsi="Times New Roman" w:eastAsia="宋体" w:cs="Times New Roman"/>
          <w:b/>
          <w:bCs/>
          <w:color w:val="auto"/>
          <w:sz w:val="28"/>
          <w:szCs w:val="28"/>
          <w:lang w:eastAsia="zh-CN"/>
        </w:rPr>
      </w:pPr>
      <w:bookmarkStart w:id="71" w:name="_GoBack"/>
      <w:r>
        <w:rPr>
          <w:rFonts w:hint="eastAsia" w:ascii="Times New Roman" w:hAnsi="Times New Roman" w:eastAsia="宋体" w:cs="Times New Roman"/>
          <w:b/>
          <w:bCs/>
          <w:color w:val="auto"/>
          <w:sz w:val="28"/>
          <w:szCs w:val="28"/>
          <w:lang w:eastAsia="zh-CN"/>
        </w:rPr>
        <w:drawing>
          <wp:inline distT="0" distB="0" distL="114300" distR="114300">
            <wp:extent cx="5822950" cy="7135495"/>
            <wp:effectExtent l="0" t="0" r="6350" b="8255"/>
            <wp:docPr id="1" name="图片 1" descr="2f31b1bf-7303-49a0-969e-021a42b00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f31b1bf-7303-49a0-969e-021a42b00442"/>
                    <pic:cNvPicPr>
                      <a:picLocks noChangeAspect="1"/>
                    </pic:cNvPicPr>
                  </pic:nvPicPr>
                  <pic:blipFill>
                    <a:blip r:embed="rId18"/>
                    <a:stretch>
                      <a:fillRect/>
                    </a:stretch>
                  </pic:blipFill>
                  <pic:spPr>
                    <a:xfrm>
                      <a:off x="0" y="0"/>
                      <a:ext cx="5822950" cy="7135495"/>
                    </a:xfrm>
                    <a:prstGeom prst="rect">
                      <a:avLst/>
                    </a:prstGeom>
                  </pic:spPr>
                </pic:pic>
              </a:graphicData>
            </a:graphic>
          </wp:inline>
        </w:drawing>
      </w:r>
      <w:bookmarkEnd w:id="71"/>
    </w:p>
    <w:p>
      <w:pPr>
        <w:spacing w:line="240" w:lineRule="auto"/>
        <w:jc w:val="left"/>
        <w:rPr>
          <w:rFonts w:hint="eastAsia" w:ascii="Times New Roman" w:hAnsi="Times New Roman" w:eastAsia="宋体" w:cs="Times New Roman"/>
          <w:b/>
          <w:bCs/>
          <w:color w:val="auto"/>
          <w:sz w:val="28"/>
          <w:szCs w:val="28"/>
          <w:lang w:eastAsia="zh-CN"/>
        </w:rPr>
      </w:pPr>
    </w:p>
    <w:p>
      <w:pPr>
        <w:spacing w:line="240" w:lineRule="auto"/>
        <w:jc w:val="left"/>
        <w:rPr>
          <w:rFonts w:hint="eastAsia" w:ascii="Times New Roman" w:hAnsi="Times New Roman" w:eastAsia="宋体" w:cs="Times New Roman"/>
          <w:b/>
          <w:bCs/>
          <w:color w:val="auto"/>
          <w:sz w:val="28"/>
          <w:szCs w:val="28"/>
          <w:lang w:eastAsia="zh-CN"/>
        </w:rPr>
        <w:sectPr>
          <w:footerReference r:id="rId5"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widowControl/>
        <w:kinsoku w:val="0"/>
        <w:autoSpaceDE w:val="0"/>
        <w:autoSpaceDN w:val="0"/>
        <w:adjustRightInd w:val="0"/>
        <w:snapToGrid w:val="0"/>
        <w:spacing w:before="97" w:line="222" w:lineRule="auto"/>
        <w:ind w:left="2947"/>
        <w:jc w:val="left"/>
        <w:textAlignment w:val="baseline"/>
        <w:outlineLvl w:val="2"/>
        <w:rPr>
          <w:rFonts w:hint="eastAsia" w:ascii="Times New Roman" w:hAnsi="Times New Roman" w:eastAsia="宋体" w:cs="Times New Roman"/>
          <w:b/>
          <w:bCs/>
          <w:snapToGrid w:val="0"/>
          <w:color w:val="auto"/>
          <w:spacing w:val="-2"/>
          <w:kern w:val="0"/>
          <w:sz w:val="30"/>
          <w:szCs w:val="30"/>
          <w:lang w:eastAsia="zh-CN"/>
        </w:rPr>
      </w:pPr>
      <w:r>
        <w:rPr>
          <w:rFonts w:hint="eastAsia" w:ascii="Times New Roman" w:hAnsi="Times New Roman" w:eastAsia="宋体" w:cs="Times New Roman"/>
          <w:b/>
          <w:bCs/>
          <w:snapToGrid w:val="0"/>
          <w:color w:val="auto"/>
          <w:spacing w:val="-2"/>
          <w:kern w:val="0"/>
          <w:sz w:val="30"/>
          <w:szCs w:val="30"/>
          <w:lang w:eastAsia="zh-CN"/>
        </w:rPr>
        <w:t>一、建设项目基本情况</w:t>
      </w:r>
    </w:p>
    <w:tbl>
      <w:tblPr>
        <w:tblStyle w:val="21"/>
        <w:tblW w:w="920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94"/>
        <w:gridCol w:w="2416"/>
        <w:gridCol w:w="2478"/>
        <w:gridCol w:w="301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129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bCs/>
                <w:caps w:val="0"/>
                <w:color w:val="auto"/>
                <w:sz w:val="24"/>
                <w:szCs w:val="24"/>
                <w:lang w:val="en-US" w:eastAsia="zh-CN"/>
              </w:rPr>
            </w:pPr>
            <w:r>
              <w:rPr>
                <w:rFonts w:hint="eastAsia" w:ascii="Times New Roman" w:hAnsi="Times New Roman" w:eastAsia="宋体" w:cs="Times New Roman"/>
                <w:b/>
                <w:bCs/>
                <w:caps w:val="0"/>
                <w:color w:val="auto"/>
                <w:sz w:val="24"/>
                <w:szCs w:val="24"/>
                <w:lang w:val="en-US" w:eastAsia="zh-CN"/>
              </w:rPr>
              <w:t>建设项目名称</w:t>
            </w:r>
          </w:p>
        </w:tc>
        <w:tc>
          <w:tcPr>
            <w:tcW w:w="7912" w:type="dxa"/>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szCs w:val="24"/>
                <w:vertAlign w:val="baseline"/>
              </w:rPr>
            </w:pPr>
            <w:r>
              <w:rPr>
                <w:rFonts w:hint="eastAsia" w:ascii="Times New Roman" w:hAnsi="Times New Roman" w:eastAsia="宋体" w:cs="Times New Roman"/>
                <w:color w:val="auto"/>
                <w:sz w:val="24"/>
                <w:szCs w:val="24"/>
                <w:vertAlign w:val="baseline"/>
                <w:lang w:val="en-US" w:eastAsia="zh-CN"/>
              </w:rPr>
              <w:t>朝阳国宏100MW储能项目220千伏送出工程项目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129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bCs/>
                <w:caps w:val="0"/>
                <w:color w:val="auto"/>
                <w:sz w:val="24"/>
                <w:szCs w:val="24"/>
                <w:lang w:val="en-US" w:eastAsia="zh-CN"/>
              </w:rPr>
            </w:pPr>
            <w:r>
              <w:rPr>
                <w:rFonts w:hint="eastAsia" w:ascii="Times New Roman" w:hAnsi="Times New Roman" w:eastAsia="宋体" w:cs="Times New Roman"/>
                <w:b/>
                <w:bCs/>
                <w:caps w:val="0"/>
                <w:color w:val="auto"/>
                <w:sz w:val="24"/>
                <w:szCs w:val="24"/>
                <w:lang w:val="en-US" w:eastAsia="zh-CN"/>
              </w:rPr>
              <w:t>项目代码</w:t>
            </w:r>
          </w:p>
        </w:tc>
        <w:tc>
          <w:tcPr>
            <w:tcW w:w="7912" w:type="dxa"/>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2602-211303-04-05-294120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9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bCs/>
                <w:caps w:val="0"/>
                <w:color w:val="auto"/>
                <w:sz w:val="24"/>
                <w:szCs w:val="24"/>
                <w:lang w:val="en-US" w:eastAsia="zh-CN"/>
              </w:rPr>
            </w:pPr>
            <w:r>
              <w:rPr>
                <w:rFonts w:hint="eastAsia" w:ascii="Times New Roman" w:hAnsi="Times New Roman" w:eastAsia="宋体" w:cs="Times New Roman"/>
                <w:b/>
                <w:bCs/>
                <w:caps w:val="0"/>
                <w:color w:val="auto"/>
                <w:sz w:val="24"/>
                <w:szCs w:val="24"/>
                <w:lang w:val="en-US" w:eastAsia="zh-CN"/>
              </w:rPr>
              <w:t>建设单位联系人</w:t>
            </w:r>
          </w:p>
        </w:tc>
        <w:tc>
          <w:tcPr>
            <w:tcW w:w="24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陈越江</w:t>
            </w:r>
          </w:p>
        </w:tc>
        <w:tc>
          <w:tcPr>
            <w:tcW w:w="247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联系方式</w:t>
            </w:r>
          </w:p>
        </w:tc>
        <w:tc>
          <w:tcPr>
            <w:tcW w:w="301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13898080049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9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bCs/>
                <w:caps w:val="0"/>
                <w:color w:val="auto"/>
                <w:sz w:val="24"/>
                <w:szCs w:val="24"/>
                <w:lang w:val="en-US" w:eastAsia="zh-CN"/>
              </w:rPr>
            </w:pPr>
            <w:r>
              <w:rPr>
                <w:rFonts w:hint="eastAsia" w:ascii="Times New Roman" w:hAnsi="Times New Roman" w:eastAsia="宋体" w:cs="Times New Roman"/>
                <w:b/>
                <w:bCs/>
                <w:caps w:val="0"/>
                <w:color w:val="auto"/>
                <w:sz w:val="24"/>
                <w:szCs w:val="24"/>
                <w:lang w:val="en-US" w:eastAsia="zh-CN"/>
              </w:rPr>
              <w:t>建设地点</w:t>
            </w:r>
          </w:p>
        </w:tc>
        <w:tc>
          <w:tcPr>
            <w:tcW w:w="7912" w:type="dxa"/>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sz w:val="24"/>
                <w:szCs w:val="24"/>
                <w:vertAlign w:val="baseline"/>
                <w:lang w:eastAsia="zh-CN"/>
              </w:rPr>
            </w:pPr>
            <w:r>
              <w:rPr>
                <w:rFonts w:hint="eastAsia" w:ascii="Times New Roman" w:hAnsi="Times New Roman" w:eastAsia="宋体" w:cs="Times New Roman"/>
                <w:color w:val="auto"/>
                <w:sz w:val="24"/>
                <w:szCs w:val="24"/>
                <w:vertAlign w:val="baseline"/>
                <w:lang w:eastAsia="zh-CN"/>
              </w:rPr>
              <w:t>朝阳市龙城区边杖子镇新房村、朱杖子村（起于马山220kV变电站，止于新建国宏200MW储能站）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129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bCs/>
                <w:caps w:val="0"/>
                <w:color w:val="FF0000"/>
                <w:sz w:val="24"/>
                <w:szCs w:val="24"/>
                <w:lang w:val="en-US" w:eastAsia="zh-CN"/>
              </w:rPr>
            </w:pPr>
            <w:r>
              <w:rPr>
                <w:rFonts w:hint="eastAsia" w:ascii="Times New Roman" w:hAnsi="Times New Roman" w:eastAsia="宋体" w:cs="Times New Roman"/>
                <w:b/>
                <w:bCs/>
                <w:caps w:val="0"/>
                <w:color w:val="auto"/>
                <w:sz w:val="24"/>
                <w:szCs w:val="24"/>
                <w:lang w:val="en-US" w:eastAsia="zh-CN"/>
              </w:rPr>
              <w:t>地理坐标</w:t>
            </w:r>
          </w:p>
        </w:tc>
        <w:tc>
          <w:tcPr>
            <w:tcW w:w="7912" w:type="dxa"/>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FF0000"/>
                <w:sz w:val="24"/>
                <w:szCs w:val="24"/>
                <w:vertAlign w:val="baseline"/>
                <w:lang w:val="en-US" w:eastAsia="zh-CN"/>
              </w:rPr>
            </w:pPr>
          </w:p>
          <w:tbl>
            <w:tblPr>
              <w:tblStyle w:val="21"/>
              <w:tblW w:w="471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0"/>
              <w:gridCol w:w="2231"/>
              <w:gridCol w:w="1783"/>
              <w:gridCol w:w="20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1"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序号</w:t>
                  </w:r>
                </w:p>
              </w:tc>
              <w:tc>
                <w:tcPr>
                  <w:tcW w:w="219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经度</w:t>
                  </w:r>
                </w:p>
              </w:tc>
              <w:tc>
                <w:tcPr>
                  <w:tcW w:w="175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纬度</w:t>
                  </w:r>
                </w:p>
              </w:tc>
              <w:tc>
                <w:tcPr>
                  <w:tcW w:w="199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1"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219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120.287741529</w:t>
                  </w:r>
                  <w:r>
                    <w:rPr>
                      <w:rFonts w:hint="default" w:ascii="Times New Roman" w:hAnsi="Times New Roman" w:eastAsia="宋体" w:cs="Times New Roman"/>
                      <w:color w:val="auto"/>
                      <w:sz w:val="24"/>
                      <w:szCs w:val="24"/>
                      <w:vertAlign w:val="baseline"/>
                    </w:rPr>
                    <w:t>°</w:t>
                  </w:r>
                </w:p>
              </w:tc>
              <w:tc>
                <w:tcPr>
                  <w:tcW w:w="175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41.567793889</w:t>
                  </w:r>
                  <w:r>
                    <w:rPr>
                      <w:rFonts w:hint="default" w:ascii="Times New Roman" w:hAnsi="Times New Roman" w:eastAsia="宋体" w:cs="Times New Roman"/>
                      <w:color w:val="auto"/>
                      <w:sz w:val="24"/>
                      <w:szCs w:val="24"/>
                      <w:vertAlign w:val="baseline"/>
                    </w:rPr>
                    <w:t>°</w:t>
                  </w:r>
                </w:p>
              </w:tc>
              <w:tc>
                <w:tcPr>
                  <w:tcW w:w="199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起点马山坐标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91"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219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120.291199213</w:t>
                  </w:r>
                  <w:r>
                    <w:rPr>
                      <w:rFonts w:hint="default" w:ascii="Times New Roman" w:hAnsi="Times New Roman" w:eastAsia="宋体" w:cs="Times New Roman"/>
                      <w:color w:val="auto"/>
                      <w:sz w:val="24"/>
                      <w:szCs w:val="24"/>
                      <w:vertAlign w:val="baseline"/>
                    </w:rPr>
                    <w:t>°</w:t>
                  </w:r>
                </w:p>
              </w:tc>
              <w:tc>
                <w:tcPr>
                  <w:tcW w:w="175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41.567042345</w:t>
                  </w:r>
                  <w:r>
                    <w:rPr>
                      <w:rFonts w:hint="default" w:ascii="Times New Roman" w:hAnsi="Times New Roman" w:eastAsia="宋体" w:cs="Times New Roman"/>
                      <w:color w:val="auto"/>
                      <w:sz w:val="24"/>
                      <w:szCs w:val="24"/>
                      <w:vertAlign w:val="baseline"/>
                    </w:rPr>
                    <w:t>°</w:t>
                  </w:r>
                </w:p>
              </w:tc>
              <w:tc>
                <w:tcPr>
                  <w:tcW w:w="199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塔基中心坐标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1"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219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120.293812515</w:t>
                  </w:r>
                  <w:r>
                    <w:rPr>
                      <w:rFonts w:hint="default" w:ascii="Times New Roman" w:hAnsi="Times New Roman" w:eastAsia="宋体" w:cs="Times New Roman"/>
                      <w:color w:val="auto"/>
                      <w:sz w:val="24"/>
                      <w:szCs w:val="24"/>
                      <w:vertAlign w:val="baseline"/>
                    </w:rPr>
                    <w:t>°</w:t>
                  </w:r>
                </w:p>
              </w:tc>
              <w:tc>
                <w:tcPr>
                  <w:tcW w:w="175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41.567475898</w:t>
                  </w:r>
                  <w:r>
                    <w:rPr>
                      <w:rFonts w:hint="default" w:ascii="Times New Roman" w:hAnsi="Times New Roman" w:eastAsia="宋体" w:cs="Times New Roman"/>
                      <w:color w:val="auto"/>
                      <w:sz w:val="24"/>
                      <w:szCs w:val="24"/>
                      <w:vertAlign w:val="baseline"/>
                    </w:rPr>
                    <w:t>°</w:t>
                  </w:r>
                </w:p>
              </w:tc>
              <w:tc>
                <w:tcPr>
                  <w:tcW w:w="199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塔基中心坐标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1"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219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120.294754496</w:t>
                  </w:r>
                  <w:r>
                    <w:rPr>
                      <w:rFonts w:hint="default" w:ascii="Times New Roman" w:hAnsi="Times New Roman" w:eastAsia="宋体" w:cs="Times New Roman"/>
                      <w:color w:val="auto"/>
                      <w:sz w:val="24"/>
                      <w:szCs w:val="24"/>
                      <w:vertAlign w:val="baseline"/>
                    </w:rPr>
                    <w:t>°</w:t>
                  </w:r>
                </w:p>
              </w:tc>
              <w:tc>
                <w:tcPr>
                  <w:tcW w:w="175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41.570080049</w:t>
                  </w:r>
                  <w:r>
                    <w:rPr>
                      <w:rFonts w:hint="default" w:ascii="Times New Roman" w:hAnsi="Times New Roman" w:eastAsia="宋体" w:cs="Times New Roman"/>
                      <w:color w:val="auto"/>
                      <w:sz w:val="24"/>
                      <w:szCs w:val="24"/>
                      <w:vertAlign w:val="baseline"/>
                    </w:rPr>
                    <w:t>°</w:t>
                  </w:r>
                </w:p>
              </w:tc>
              <w:tc>
                <w:tcPr>
                  <w:tcW w:w="199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塔基中心坐标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1"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w:t>
                  </w:r>
                </w:p>
              </w:tc>
              <w:tc>
                <w:tcPr>
                  <w:tcW w:w="219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120.295382342</w:t>
                  </w:r>
                  <w:r>
                    <w:rPr>
                      <w:rFonts w:hint="default" w:ascii="Times New Roman" w:hAnsi="Times New Roman" w:eastAsia="宋体" w:cs="Times New Roman"/>
                      <w:color w:val="auto"/>
                      <w:sz w:val="24"/>
                      <w:szCs w:val="24"/>
                      <w:vertAlign w:val="baseline"/>
                    </w:rPr>
                    <w:t>°</w:t>
                  </w:r>
                </w:p>
              </w:tc>
              <w:tc>
                <w:tcPr>
                  <w:tcW w:w="175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41.571815157</w:t>
                  </w:r>
                  <w:r>
                    <w:rPr>
                      <w:rFonts w:hint="default" w:ascii="Times New Roman" w:hAnsi="Times New Roman" w:eastAsia="宋体" w:cs="Times New Roman"/>
                      <w:color w:val="auto"/>
                      <w:sz w:val="24"/>
                      <w:szCs w:val="24"/>
                      <w:vertAlign w:val="baseline"/>
                    </w:rPr>
                    <w:t>°</w:t>
                  </w:r>
                </w:p>
              </w:tc>
              <w:tc>
                <w:tcPr>
                  <w:tcW w:w="199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塔基中心坐标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1"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w:t>
                  </w:r>
                </w:p>
              </w:tc>
              <w:tc>
                <w:tcPr>
                  <w:tcW w:w="219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120.296495839</w:t>
                  </w:r>
                  <w:r>
                    <w:rPr>
                      <w:rFonts w:hint="default" w:ascii="Times New Roman" w:hAnsi="Times New Roman" w:eastAsia="宋体" w:cs="Times New Roman"/>
                      <w:color w:val="auto"/>
                      <w:sz w:val="24"/>
                      <w:szCs w:val="24"/>
                      <w:vertAlign w:val="baseline"/>
                    </w:rPr>
                    <w:t>°</w:t>
                  </w:r>
                </w:p>
              </w:tc>
              <w:tc>
                <w:tcPr>
                  <w:tcW w:w="175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41.572764552</w:t>
                  </w:r>
                  <w:r>
                    <w:rPr>
                      <w:rFonts w:hint="default" w:ascii="Times New Roman" w:hAnsi="Times New Roman" w:eastAsia="宋体" w:cs="Times New Roman"/>
                      <w:color w:val="auto"/>
                      <w:sz w:val="24"/>
                      <w:szCs w:val="24"/>
                      <w:vertAlign w:val="baseline"/>
                    </w:rPr>
                    <w:t>°</w:t>
                  </w:r>
                </w:p>
              </w:tc>
              <w:tc>
                <w:tcPr>
                  <w:tcW w:w="199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塔基中心坐标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1"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w:t>
                  </w:r>
                </w:p>
              </w:tc>
              <w:tc>
                <w:tcPr>
                  <w:tcW w:w="219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120.298269981</w:t>
                  </w:r>
                  <w:r>
                    <w:rPr>
                      <w:rFonts w:hint="default" w:ascii="Times New Roman" w:hAnsi="Times New Roman" w:eastAsia="宋体" w:cs="Times New Roman"/>
                      <w:color w:val="auto"/>
                      <w:sz w:val="24"/>
                      <w:szCs w:val="24"/>
                      <w:vertAlign w:val="baseline"/>
                    </w:rPr>
                    <w:t>°</w:t>
                  </w:r>
                </w:p>
              </w:tc>
              <w:tc>
                <w:tcPr>
                  <w:tcW w:w="175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41.574277208</w:t>
                  </w:r>
                  <w:r>
                    <w:rPr>
                      <w:rFonts w:hint="default" w:ascii="Times New Roman" w:hAnsi="Times New Roman" w:eastAsia="宋体" w:cs="Times New Roman"/>
                      <w:color w:val="auto"/>
                      <w:sz w:val="24"/>
                      <w:szCs w:val="24"/>
                      <w:vertAlign w:val="baseline"/>
                    </w:rPr>
                    <w:t>°</w:t>
                  </w:r>
                </w:p>
              </w:tc>
              <w:tc>
                <w:tcPr>
                  <w:tcW w:w="199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塔基中心坐标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1"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w:t>
                  </w:r>
                </w:p>
              </w:tc>
              <w:tc>
                <w:tcPr>
                  <w:tcW w:w="219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120.299776985</w:t>
                  </w:r>
                  <w:r>
                    <w:rPr>
                      <w:rFonts w:hint="default" w:ascii="Times New Roman" w:hAnsi="Times New Roman" w:eastAsia="宋体" w:cs="Times New Roman"/>
                      <w:color w:val="auto"/>
                      <w:sz w:val="24"/>
                      <w:szCs w:val="24"/>
                      <w:vertAlign w:val="baseline"/>
                    </w:rPr>
                    <w:t>°</w:t>
                  </w:r>
                </w:p>
              </w:tc>
              <w:tc>
                <w:tcPr>
                  <w:tcW w:w="175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41.575562045</w:t>
                  </w:r>
                  <w:r>
                    <w:rPr>
                      <w:rFonts w:hint="default" w:ascii="Times New Roman" w:hAnsi="Times New Roman" w:eastAsia="宋体" w:cs="Times New Roman"/>
                      <w:color w:val="auto"/>
                      <w:sz w:val="24"/>
                      <w:szCs w:val="24"/>
                      <w:vertAlign w:val="baseline"/>
                    </w:rPr>
                    <w:t>°</w:t>
                  </w:r>
                </w:p>
              </w:tc>
              <w:tc>
                <w:tcPr>
                  <w:tcW w:w="199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塔基中心坐标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1"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w:t>
                  </w:r>
                </w:p>
              </w:tc>
              <w:tc>
                <w:tcPr>
                  <w:tcW w:w="219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120.301751483</w:t>
                  </w:r>
                  <w:r>
                    <w:rPr>
                      <w:rFonts w:hint="default" w:ascii="Times New Roman" w:hAnsi="Times New Roman" w:eastAsia="宋体" w:cs="Times New Roman"/>
                      <w:color w:val="auto"/>
                      <w:sz w:val="24"/>
                      <w:szCs w:val="24"/>
                      <w:vertAlign w:val="baseline"/>
                    </w:rPr>
                    <w:t>°</w:t>
                  </w:r>
                </w:p>
              </w:tc>
              <w:tc>
                <w:tcPr>
                  <w:tcW w:w="175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41.577245446</w:t>
                  </w:r>
                  <w:r>
                    <w:rPr>
                      <w:rFonts w:hint="default" w:ascii="Times New Roman" w:hAnsi="Times New Roman" w:eastAsia="宋体" w:cs="Times New Roman"/>
                      <w:color w:val="auto"/>
                      <w:sz w:val="24"/>
                      <w:szCs w:val="24"/>
                      <w:vertAlign w:val="baseline"/>
                    </w:rPr>
                    <w:t>°</w:t>
                  </w:r>
                </w:p>
              </w:tc>
              <w:tc>
                <w:tcPr>
                  <w:tcW w:w="199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塔基中心坐标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1"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w:t>
                  </w:r>
                </w:p>
              </w:tc>
              <w:tc>
                <w:tcPr>
                  <w:tcW w:w="219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120.304064035</w:t>
                  </w:r>
                  <w:r>
                    <w:rPr>
                      <w:rFonts w:hint="default" w:ascii="Times New Roman" w:hAnsi="Times New Roman" w:eastAsia="宋体" w:cs="Times New Roman"/>
                      <w:color w:val="auto"/>
                      <w:sz w:val="24"/>
                      <w:szCs w:val="24"/>
                      <w:vertAlign w:val="baseline"/>
                    </w:rPr>
                    <w:t>°</w:t>
                  </w:r>
                </w:p>
              </w:tc>
              <w:tc>
                <w:tcPr>
                  <w:tcW w:w="175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41.579216407</w:t>
                  </w:r>
                  <w:r>
                    <w:rPr>
                      <w:rFonts w:hint="default" w:ascii="Times New Roman" w:hAnsi="Times New Roman" w:eastAsia="宋体" w:cs="Times New Roman"/>
                      <w:color w:val="auto"/>
                      <w:sz w:val="24"/>
                      <w:szCs w:val="24"/>
                      <w:vertAlign w:val="baseline"/>
                    </w:rPr>
                    <w:t>°</w:t>
                  </w:r>
                </w:p>
              </w:tc>
              <w:tc>
                <w:tcPr>
                  <w:tcW w:w="199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塔基中心坐标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1"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w:t>
                  </w:r>
                </w:p>
              </w:tc>
              <w:tc>
                <w:tcPr>
                  <w:tcW w:w="219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120.302451767</w:t>
                  </w:r>
                  <w:r>
                    <w:rPr>
                      <w:rFonts w:hint="default" w:ascii="Times New Roman" w:hAnsi="Times New Roman" w:eastAsia="宋体" w:cs="Times New Roman"/>
                      <w:color w:val="auto"/>
                      <w:sz w:val="24"/>
                      <w:szCs w:val="24"/>
                      <w:vertAlign w:val="baseline"/>
                    </w:rPr>
                    <w:t>°</w:t>
                  </w:r>
                </w:p>
              </w:tc>
              <w:tc>
                <w:tcPr>
                  <w:tcW w:w="175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41.582117206</w:t>
                  </w:r>
                  <w:r>
                    <w:rPr>
                      <w:rFonts w:hint="default" w:ascii="Times New Roman" w:hAnsi="Times New Roman" w:eastAsia="宋体" w:cs="Times New Roman"/>
                      <w:color w:val="auto"/>
                      <w:sz w:val="24"/>
                      <w:szCs w:val="24"/>
                      <w:vertAlign w:val="baseline"/>
                    </w:rPr>
                    <w:t>°</w:t>
                  </w:r>
                </w:p>
              </w:tc>
              <w:tc>
                <w:tcPr>
                  <w:tcW w:w="199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塔基中心坐标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1"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12</w:t>
                  </w:r>
                </w:p>
              </w:tc>
              <w:tc>
                <w:tcPr>
                  <w:tcW w:w="219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120.300791390</w:t>
                  </w:r>
                  <w:r>
                    <w:rPr>
                      <w:rFonts w:hint="default" w:ascii="Times New Roman" w:hAnsi="Times New Roman" w:eastAsia="宋体" w:cs="Times New Roman"/>
                      <w:color w:val="auto"/>
                      <w:sz w:val="24"/>
                      <w:szCs w:val="24"/>
                      <w:vertAlign w:val="baseline"/>
                    </w:rPr>
                    <w:t>°</w:t>
                  </w:r>
                </w:p>
              </w:tc>
              <w:tc>
                <w:tcPr>
                  <w:tcW w:w="175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41.585104201</w:t>
                  </w:r>
                  <w:r>
                    <w:rPr>
                      <w:rFonts w:hint="default" w:ascii="Times New Roman" w:hAnsi="Times New Roman" w:eastAsia="宋体" w:cs="Times New Roman"/>
                      <w:color w:val="auto"/>
                      <w:sz w:val="24"/>
                      <w:szCs w:val="24"/>
                      <w:vertAlign w:val="baseline"/>
                    </w:rPr>
                    <w:t>°</w:t>
                  </w:r>
                </w:p>
              </w:tc>
              <w:tc>
                <w:tcPr>
                  <w:tcW w:w="199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塔基中心坐标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1"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13</w:t>
                  </w:r>
                </w:p>
              </w:tc>
              <w:tc>
                <w:tcPr>
                  <w:tcW w:w="219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120.301171288</w:t>
                  </w:r>
                  <w:r>
                    <w:rPr>
                      <w:rFonts w:hint="default" w:ascii="Times New Roman" w:hAnsi="Times New Roman" w:eastAsia="宋体" w:cs="Times New Roman"/>
                      <w:color w:val="auto"/>
                      <w:sz w:val="24"/>
                      <w:szCs w:val="24"/>
                      <w:vertAlign w:val="baseline"/>
                    </w:rPr>
                    <w:t>°</w:t>
                  </w:r>
                </w:p>
              </w:tc>
              <w:tc>
                <w:tcPr>
                  <w:tcW w:w="175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41.586739125</w:t>
                  </w:r>
                  <w:r>
                    <w:rPr>
                      <w:rFonts w:hint="default" w:ascii="Times New Roman" w:hAnsi="Times New Roman" w:eastAsia="宋体" w:cs="Times New Roman"/>
                      <w:color w:val="auto"/>
                      <w:sz w:val="24"/>
                      <w:szCs w:val="24"/>
                      <w:vertAlign w:val="baseline"/>
                    </w:rPr>
                    <w:t>°</w:t>
                  </w:r>
                </w:p>
              </w:tc>
              <w:tc>
                <w:tcPr>
                  <w:tcW w:w="199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塔基中心坐标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1"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14</w:t>
                  </w:r>
                </w:p>
              </w:tc>
              <w:tc>
                <w:tcPr>
                  <w:tcW w:w="219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120.301356468</w:t>
                  </w:r>
                  <w:r>
                    <w:rPr>
                      <w:rFonts w:hint="default" w:ascii="Times New Roman" w:hAnsi="Times New Roman" w:eastAsia="宋体" w:cs="Times New Roman"/>
                      <w:color w:val="auto"/>
                      <w:sz w:val="24"/>
                      <w:szCs w:val="24"/>
                      <w:vertAlign w:val="baseline"/>
                    </w:rPr>
                    <w:t>°</w:t>
                  </w:r>
                </w:p>
              </w:tc>
              <w:tc>
                <w:tcPr>
                  <w:tcW w:w="175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41.587533811</w:t>
                  </w:r>
                  <w:r>
                    <w:rPr>
                      <w:rFonts w:hint="default" w:ascii="Times New Roman" w:hAnsi="Times New Roman" w:eastAsia="宋体" w:cs="Times New Roman"/>
                      <w:color w:val="auto"/>
                      <w:sz w:val="24"/>
                      <w:szCs w:val="24"/>
                      <w:vertAlign w:val="baseline"/>
                    </w:rPr>
                    <w:t>°</w:t>
                  </w:r>
                </w:p>
              </w:tc>
              <w:tc>
                <w:tcPr>
                  <w:tcW w:w="199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塔基中心坐标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1"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15</w:t>
                  </w:r>
                </w:p>
              </w:tc>
              <w:tc>
                <w:tcPr>
                  <w:tcW w:w="219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120.303843932</w:t>
                  </w:r>
                  <w:r>
                    <w:rPr>
                      <w:rFonts w:hint="default" w:ascii="Times New Roman" w:hAnsi="Times New Roman" w:eastAsia="宋体" w:cs="Times New Roman"/>
                      <w:color w:val="auto"/>
                      <w:sz w:val="24"/>
                      <w:szCs w:val="24"/>
                      <w:vertAlign w:val="baseline"/>
                    </w:rPr>
                    <w:t>°</w:t>
                  </w:r>
                </w:p>
              </w:tc>
              <w:tc>
                <w:tcPr>
                  <w:tcW w:w="175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41.588104671</w:t>
                  </w:r>
                  <w:r>
                    <w:rPr>
                      <w:rFonts w:hint="default" w:ascii="Times New Roman" w:hAnsi="Times New Roman" w:eastAsia="宋体" w:cs="Times New Roman"/>
                      <w:color w:val="auto"/>
                      <w:sz w:val="24"/>
                      <w:szCs w:val="24"/>
                      <w:vertAlign w:val="baseline"/>
                    </w:rPr>
                    <w:t>°</w:t>
                  </w:r>
                </w:p>
              </w:tc>
              <w:tc>
                <w:tcPr>
                  <w:tcW w:w="199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塔基中心坐标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1"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w:t>
                  </w:r>
                </w:p>
              </w:tc>
              <w:tc>
                <w:tcPr>
                  <w:tcW w:w="219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120.307133954</w:t>
                  </w:r>
                  <w:r>
                    <w:rPr>
                      <w:rFonts w:hint="default" w:ascii="Times New Roman" w:hAnsi="Times New Roman" w:eastAsia="宋体" w:cs="Times New Roman"/>
                      <w:color w:val="auto"/>
                      <w:sz w:val="24"/>
                      <w:szCs w:val="24"/>
                      <w:vertAlign w:val="baseline"/>
                    </w:rPr>
                    <w:t>°</w:t>
                  </w:r>
                </w:p>
              </w:tc>
              <w:tc>
                <w:tcPr>
                  <w:tcW w:w="175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41.588861316</w:t>
                  </w:r>
                  <w:r>
                    <w:rPr>
                      <w:rFonts w:hint="default" w:ascii="Times New Roman" w:hAnsi="Times New Roman" w:eastAsia="宋体" w:cs="Times New Roman"/>
                      <w:color w:val="auto"/>
                      <w:sz w:val="24"/>
                      <w:szCs w:val="24"/>
                      <w:vertAlign w:val="baseline"/>
                    </w:rPr>
                    <w:t>°</w:t>
                  </w:r>
                </w:p>
              </w:tc>
              <w:tc>
                <w:tcPr>
                  <w:tcW w:w="199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塔基中心坐标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1"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17</w:t>
                  </w:r>
                </w:p>
              </w:tc>
              <w:tc>
                <w:tcPr>
                  <w:tcW w:w="219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120.310989704</w:t>
                  </w:r>
                  <w:r>
                    <w:rPr>
                      <w:rFonts w:hint="default" w:ascii="Times New Roman" w:hAnsi="Times New Roman" w:eastAsia="宋体" w:cs="Times New Roman"/>
                      <w:color w:val="auto"/>
                      <w:sz w:val="24"/>
                      <w:szCs w:val="24"/>
                      <w:vertAlign w:val="baseline"/>
                    </w:rPr>
                    <w:t>°</w:t>
                  </w:r>
                </w:p>
              </w:tc>
              <w:tc>
                <w:tcPr>
                  <w:tcW w:w="175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41.591058981</w:t>
                  </w:r>
                  <w:r>
                    <w:rPr>
                      <w:rFonts w:hint="default" w:ascii="Times New Roman" w:hAnsi="Times New Roman" w:eastAsia="宋体" w:cs="Times New Roman"/>
                      <w:color w:val="auto"/>
                      <w:sz w:val="24"/>
                      <w:szCs w:val="24"/>
                      <w:vertAlign w:val="baseline"/>
                    </w:rPr>
                    <w:t>°</w:t>
                  </w:r>
                </w:p>
              </w:tc>
              <w:tc>
                <w:tcPr>
                  <w:tcW w:w="199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塔基中心坐标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1"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18</w:t>
                  </w:r>
                </w:p>
              </w:tc>
              <w:tc>
                <w:tcPr>
                  <w:tcW w:w="219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120.313922361</w:t>
                  </w:r>
                  <w:r>
                    <w:rPr>
                      <w:rFonts w:hint="default" w:ascii="Times New Roman" w:hAnsi="Times New Roman" w:eastAsia="宋体" w:cs="Times New Roman"/>
                      <w:color w:val="auto"/>
                      <w:sz w:val="24"/>
                      <w:szCs w:val="24"/>
                      <w:vertAlign w:val="baseline"/>
                    </w:rPr>
                    <w:t>°</w:t>
                  </w:r>
                </w:p>
              </w:tc>
              <w:tc>
                <w:tcPr>
                  <w:tcW w:w="175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41.592731874</w:t>
                  </w:r>
                  <w:r>
                    <w:rPr>
                      <w:rFonts w:hint="default" w:ascii="Times New Roman" w:hAnsi="Times New Roman" w:eastAsia="宋体" w:cs="Times New Roman"/>
                      <w:color w:val="auto"/>
                      <w:sz w:val="24"/>
                      <w:szCs w:val="24"/>
                      <w:vertAlign w:val="baseline"/>
                    </w:rPr>
                    <w:t>°</w:t>
                  </w:r>
                </w:p>
              </w:tc>
              <w:tc>
                <w:tcPr>
                  <w:tcW w:w="199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塔基中心坐标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1"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19</w:t>
                  </w:r>
                </w:p>
              </w:tc>
              <w:tc>
                <w:tcPr>
                  <w:tcW w:w="219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120.317360379</w:t>
                  </w:r>
                  <w:r>
                    <w:rPr>
                      <w:rFonts w:hint="default" w:ascii="Times New Roman" w:hAnsi="Times New Roman" w:eastAsia="宋体" w:cs="Times New Roman"/>
                      <w:color w:val="auto"/>
                      <w:sz w:val="24"/>
                      <w:szCs w:val="24"/>
                      <w:vertAlign w:val="baseline"/>
                    </w:rPr>
                    <w:t>°</w:t>
                  </w:r>
                </w:p>
              </w:tc>
              <w:tc>
                <w:tcPr>
                  <w:tcW w:w="175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41.594693172</w:t>
                  </w:r>
                  <w:r>
                    <w:rPr>
                      <w:rFonts w:hint="default" w:ascii="Times New Roman" w:hAnsi="Times New Roman" w:eastAsia="宋体" w:cs="Times New Roman"/>
                      <w:color w:val="auto"/>
                      <w:sz w:val="24"/>
                      <w:szCs w:val="24"/>
                      <w:vertAlign w:val="baseline"/>
                    </w:rPr>
                    <w:t>°</w:t>
                  </w:r>
                </w:p>
              </w:tc>
              <w:tc>
                <w:tcPr>
                  <w:tcW w:w="199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塔基中心坐标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1"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w:t>
                  </w:r>
                </w:p>
              </w:tc>
              <w:tc>
                <w:tcPr>
                  <w:tcW w:w="219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120.319361269</w:t>
                  </w:r>
                  <w:r>
                    <w:rPr>
                      <w:rFonts w:hint="default" w:ascii="Times New Roman" w:hAnsi="Times New Roman" w:eastAsia="宋体" w:cs="Times New Roman"/>
                      <w:color w:val="auto"/>
                      <w:sz w:val="24"/>
                      <w:szCs w:val="24"/>
                      <w:vertAlign w:val="baseline"/>
                    </w:rPr>
                    <w:t>°</w:t>
                  </w:r>
                </w:p>
              </w:tc>
              <w:tc>
                <w:tcPr>
                  <w:tcW w:w="175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41.594192906</w:t>
                  </w:r>
                  <w:r>
                    <w:rPr>
                      <w:rFonts w:hint="default" w:ascii="Times New Roman" w:hAnsi="Times New Roman" w:eastAsia="宋体" w:cs="Times New Roman"/>
                      <w:color w:val="auto"/>
                      <w:sz w:val="24"/>
                      <w:szCs w:val="24"/>
                      <w:vertAlign w:val="baseline"/>
                    </w:rPr>
                    <w:t>°</w:t>
                  </w:r>
                </w:p>
              </w:tc>
              <w:tc>
                <w:tcPr>
                  <w:tcW w:w="199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塔基中心坐标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91"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21</w:t>
                  </w:r>
                </w:p>
              </w:tc>
              <w:tc>
                <w:tcPr>
                  <w:tcW w:w="2197"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120.321686809</w:t>
                  </w:r>
                  <w:r>
                    <w:rPr>
                      <w:rFonts w:hint="default" w:ascii="Times New Roman" w:hAnsi="Times New Roman" w:eastAsia="宋体" w:cs="Times New Roman"/>
                      <w:color w:val="auto"/>
                      <w:sz w:val="24"/>
                      <w:szCs w:val="24"/>
                      <w:vertAlign w:val="baseline"/>
                    </w:rPr>
                    <w:t>°</w:t>
                  </w:r>
                </w:p>
              </w:tc>
              <w:tc>
                <w:tcPr>
                  <w:tcW w:w="175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41.593650280</w:t>
                  </w:r>
                  <w:r>
                    <w:rPr>
                      <w:rFonts w:hint="default" w:ascii="Times New Roman" w:hAnsi="Times New Roman" w:eastAsia="宋体" w:cs="Times New Roman"/>
                      <w:color w:val="auto"/>
                      <w:sz w:val="24"/>
                      <w:szCs w:val="24"/>
                      <w:vertAlign w:val="baseline"/>
                    </w:rPr>
                    <w:t>°</w:t>
                  </w:r>
                </w:p>
              </w:tc>
              <w:tc>
                <w:tcPr>
                  <w:tcW w:w="1995" w:type="dxa"/>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终点储能站坐标</w:t>
                  </w:r>
                </w:p>
              </w:tc>
            </w:tr>
          </w:tbl>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FF0000"/>
                <w:sz w:val="24"/>
                <w:szCs w:val="24"/>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10" w:hRule="atLeast"/>
          <w:jc w:val="center"/>
        </w:trPr>
        <w:tc>
          <w:tcPr>
            <w:tcW w:w="129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bCs/>
                <w:caps w:val="0"/>
                <w:color w:val="auto"/>
                <w:sz w:val="24"/>
                <w:szCs w:val="24"/>
                <w:lang w:val="en-US" w:eastAsia="zh-CN"/>
              </w:rPr>
            </w:pPr>
            <w:r>
              <w:rPr>
                <w:rFonts w:hint="eastAsia" w:ascii="Times New Roman" w:hAnsi="Times New Roman" w:eastAsia="宋体" w:cs="Times New Roman"/>
                <w:b/>
                <w:bCs/>
                <w:caps w:val="0"/>
                <w:color w:val="auto"/>
                <w:sz w:val="24"/>
                <w:szCs w:val="24"/>
                <w:lang w:val="en-US" w:eastAsia="zh-CN"/>
              </w:rPr>
              <w:t>建设项目行业类别</w:t>
            </w:r>
          </w:p>
        </w:tc>
        <w:tc>
          <w:tcPr>
            <w:tcW w:w="24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szCs w:val="24"/>
                <w:vertAlign w:val="baseline"/>
              </w:rPr>
            </w:pPr>
            <w:r>
              <w:rPr>
                <w:color w:val="auto"/>
                <w:spacing w:val="-4"/>
                <w:sz w:val="24"/>
                <w:szCs w:val="24"/>
              </w:rPr>
              <w:t>五十五、核与辐射</w:t>
            </w:r>
            <w:r>
              <w:rPr>
                <w:rFonts w:ascii="Times New Roman" w:hAnsi="Times New Roman" w:eastAsia="Times New Roman" w:cs="Times New Roman"/>
                <w:color w:val="auto"/>
                <w:spacing w:val="-4"/>
                <w:sz w:val="24"/>
                <w:szCs w:val="24"/>
              </w:rPr>
              <w:t>161</w:t>
            </w:r>
            <w:r>
              <w:rPr>
                <w:rFonts w:hint="eastAsia" w:ascii="Times New Roman" w:hAnsi="Times New Roman" w:eastAsia="宋体" w:cs="Times New Roman"/>
                <w:color w:val="auto"/>
                <w:spacing w:val="-4"/>
                <w:sz w:val="24"/>
                <w:szCs w:val="24"/>
                <w:lang w:eastAsia="zh-CN"/>
              </w:rPr>
              <w:t xml:space="preserve"> 输变电</w:t>
            </w:r>
            <w:r>
              <w:rPr>
                <w:color w:val="auto"/>
                <w:spacing w:val="7"/>
                <w:sz w:val="24"/>
                <w:szCs w:val="24"/>
              </w:rPr>
              <w:t>工程中的其他</w:t>
            </w:r>
            <w:r>
              <w:rPr>
                <w:color w:val="auto"/>
                <w:spacing w:val="-2"/>
                <w:sz w:val="24"/>
                <w:szCs w:val="24"/>
              </w:rPr>
              <w:t>（</w:t>
            </w:r>
            <w:r>
              <w:rPr>
                <w:rFonts w:ascii="Times New Roman" w:hAnsi="Times New Roman" w:eastAsia="Times New Roman" w:cs="Times New Roman"/>
                <w:color w:val="auto"/>
                <w:spacing w:val="-2"/>
                <w:sz w:val="24"/>
                <w:szCs w:val="24"/>
              </w:rPr>
              <w:t>100</w:t>
            </w:r>
            <w:r>
              <w:rPr>
                <w:color w:val="auto"/>
                <w:spacing w:val="-2"/>
                <w:sz w:val="24"/>
                <w:szCs w:val="24"/>
              </w:rPr>
              <w:t>千伏以下除外）</w:t>
            </w:r>
          </w:p>
        </w:tc>
        <w:tc>
          <w:tcPr>
            <w:tcW w:w="247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用地（用海）面积（m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vertAlign w:val="baseline"/>
                <w:lang w:val="en-US" w:eastAsia="zh-CN"/>
              </w:rPr>
              <w:t>）/长度（km）</w:t>
            </w:r>
          </w:p>
        </w:tc>
        <w:tc>
          <w:tcPr>
            <w:tcW w:w="301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vertAlign w:val="superscript"/>
                <w:lang w:val="en-US" w:eastAsia="zh-CN"/>
              </w:rPr>
            </w:pPr>
            <w:r>
              <w:rPr>
                <w:rFonts w:hint="default" w:ascii="Times New Roman" w:hAnsi="Times New Roman" w:eastAsia="宋体" w:cs="Times New Roman"/>
                <w:color w:val="auto"/>
                <w:sz w:val="24"/>
                <w:szCs w:val="24"/>
                <w:vertAlign w:val="baseline"/>
                <w:lang w:val="en-US" w:eastAsia="zh-CN"/>
              </w:rPr>
              <w:t>新建220kV架空输电线路，路径长度约为</w:t>
            </w:r>
            <w:r>
              <w:rPr>
                <w:rFonts w:hint="eastAsia" w:ascii="Times New Roman" w:hAnsi="Times New Roman" w:eastAsia="宋体" w:cs="Times New Roman"/>
                <w:color w:val="auto"/>
                <w:sz w:val="24"/>
                <w:szCs w:val="24"/>
                <w:vertAlign w:val="baseline"/>
                <w:lang w:val="en-US" w:eastAsia="zh-CN"/>
              </w:rPr>
              <w:t>5.1</w:t>
            </w:r>
            <w:r>
              <w:rPr>
                <w:rFonts w:hint="default" w:ascii="Times New Roman" w:hAnsi="Times New Roman" w:eastAsia="宋体" w:cs="Times New Roman"/>
                <w:color w:val="auto"/>
                <w:sz w:val="24"/>
                <w:szCs w:val="24"/>
                <w:vertAlign w:val="baseline"/>
                <w:lang w:val="en-US" w:eastAsia="zh-CN"/>
              </w:rPr>
              <w:t>km，项目永久占地面积约为</w:t>
            </w:r>
            <w:r>
              <w:rPr>
                <w:rFonts w:hint="eastAsia" w:ascii="Times New Roman" w:hAnsi="Times New Roman" w:eastAsia="宋体" w:cs="Times New Roman"/>
                <w:color w:val="auto"/>
                <w:sz w:val="24"/>
                <w:szCs w:val="24"/>
                <w:vertAlign w:val="baseline"/>
                <w:lang w:val="en-US" w:eastAsia="zh-CN"/>
              </w:rPr>
              <w:t>0.13</w:t>
            </w:r>
            <w:r>
              <w:rPr>
                <w:rFonts w:hint="default" w:ascii="Times New Roman" w:hAnsi="Times New Roman" w:eastAsia="宋体" w:cs="Times New Roman"/>
                <w:color w:val="auto"/>
                <w:sz w:val="24"/>
                <w:szCs w:val="24"/>
                <w:vertAlign w:val="baseline"/>
                <w:lang w:val="en-US" w:eastAsia="zh-CN"/>
              </w:rPr>
              <w:t>hm</w:t>
            </w:r>
            <w:r>
              <w:rPr>
                <w:rFonts w:hint="default"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vertAlign w:val="baseline"/>
                <w:lang w:val="en-US" w:eastAsia="zh-CN"/>
              </w:rPr>
              <w:t>，临时占地面积约为</w:t>
            </w:r>
            <w:r>
              <w:rPr>
                <w:rFonts w:hint="eastAsia" w:ascii="Times New Roman" w:hAnsi="Times New Roman" w:eastAsia="宋体" w:cs="Times New Roman"/>
                <w:color w:val="auto"/>
                <w:sz w:val="24"/>
                <w:szCs w:val="24"/>
                <w:vertAlign w:val="baseline"/>
                <w:lang w:val="en-US" w:eastAsia="zh-CN"/>
              </w:rPr>
              <w:t>2.91</w:t>
            </w:r>
            <w:r>
              <w:rPr>
                <w:rFonts w:hint="default" w:ascii="Times New Roman" w:hAnsi="Times New Roman" w:eastAsia="宋体" w:cs="Times New Roman"/>
                <w:color w:val="auto"/>
                <w:sz w:val="24"/>
                <w:szCs w:val="24"/>
                <w:vertAlign w:val="baseline"/>
                <w:lang w:val="en-US" w:eastAsia="zh-CN"/>
              </w:rPr>
              <w:t>hm</w:t>
            </w:r>
            <w:r>
              <w:rPr>
                <w:rFonts w:hint="default"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vertAlign w:val="baseli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72" w:hRule="atLeast"/>
          <w:jc w:val="center"/>
        </w:trPr>
        <w:tc>
          <w:tcPr>
            <w:tcW w:w="129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bCs/>
                <w:caps w:val="0"/>
                <w:color w:val="auto"/>
                <w:sz w:val="24"/>
                <w:szCs w:val="24"/>
                <w:lang w:val="en-US" w:eastAsia="zh-CN"/>
              </w:rPr>
            </w:pPr>
            <w:r>
              <w:rPr>
                <w:rFonts w:hint="eastAsia" w:ascii="Times New Roman" w:hAnsi="Times New Roman" w:eastAsia="宋体" w:cs="Times New Roman"/>
                <w:b/>
                <w:bCs/>
                <w:caps w:val="0"/>
                <w:color w:val="auto"/>
                <w:sz w:val="24"/>
                <w:szCs w:val="24"/>
                <w:lang w:val="en-US" w:eastAsia="zh-CN"/>
              </w:rPr>
              <w:t>建设性质</w:t>
            </w:r>
          </w:p>
        </w:tc>
        <w:tc>
          <w:tcPr>
            <w:tcW w:w="2416" w:type="dxa"/>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☑新建（迁建）</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□改建</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□扩建</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□技术改造</w:t>
            </w:r>
          </w:p>
        </w:tc>
        <w:tc>
          <w:tcPr>
            <w:tcW w:w="247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建设项目</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申报情形</w:t>
            </w:r>
          </w:p>
        </w:tc>
        <w:tc>
          <w:tcPr>
            <w:tcW w:w="3018" w:type="dxa"/>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☑首次申报项目</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□不予批准后再次申报项目</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□超五年重新审核项目</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□重大变动重新报批项目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9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bCs/>
                <w:caps w:val="0"/>
                <w:color w:val="auto"/>
                <w:sz w:val="24"/>
                <w:szCs w:val="24"/>
                <w:lang w:val="en-US" w:eastAsia="zh-CN"/>
              </w:rPr>
            </w:pPr>
            <w:r>
              <w:rPr>
                <w:rFonts w:hint="eastAsia" w:ascii="Times New Roman" w:hAnsi="Times New Roman" w:eastAsia="宋体" w:cs="Times New Roman"/>
                <w:b/>
                <w:bCs/>
                <w:caps w:val="0"/>
                <w:color w:val="auto"/>
                <w:sz w:val="24"/>
                <w:szCs w:val="24"/>
                <w:lang w:val="en-US" w:eastAsia="zh-CN"/>
              </w:rPr>
              <w:t>项目审批（核准/备案）部门（选填）</w:t>
            </w:r>
          </w:p>
        </w:tc>
        <w:tc>
          <w:tcPr>
            <w:tcW w:w="24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vertAlign w:val="baseline"/>
                <w:lang w:val="en-US"/>
              </w:rPr>
            </w:pPr>
            <w:r>
              <w:rPr>
                <w:rFonts w:hint="eastAsia" w:ascii="Times New Roman" w:hAnsi="Times New Roman" w:eastAsia="宋体" w:cs="Times New Roman"/>
                <w:color w:val="auto"/>
                <w:spacing w:val="0"/>
                <w:kern w:val="21"/>
                <w:sz w:val="24"/>
                <w:szCs w:val="24"/>
                <w:highlight w:val="none"/>
                <w:lang w:val="en-US" w:eastAsia="zh-CN"/>
              </w:rPr>
              <w:t>朝阳市龙城区发展和改革局</w:t>
            </w:r>
          </w:p>
        </w:tc>
        <w:tc>
          <w:tcPr>
            <w:tcW w:w="247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项目审批（核准/备案）文号（选填）</w:t>
            </w:r>
          </w:p>
        </w:tc>
        <w:tc>
          <w:tcPr>
            <w:tcW w:w="301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szCs w:val="24"/>
                <w:vertAlign w:val="baseline"/>
              </w:rPr>
            </w:pPr>
            <w:r>
              <w:rPr>
                <w:rFonts w:hint="eastAsia" w:ascii="Times New Roman" w:hAnsi="Times New Roman" w:eastAsia="宋体" w:cs="Times New Roman"/>
                <w:color w:val="auto"/>
                <w:sz w:val="24"/>
                <w:szCs w:val="24"/>
                <w:vertAlign w:val="baseline"/>
                <w:lang w:val="en-US" w:eastAsia="zh-CN"/>
              </w:rPr>
              <w:t>朝龙发改核准〔2026〕1号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129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bCs/>
                <w:caps w:val="0"/>
                <w:color w:val="auto"/>
                <w:sz w:val="24"/>
                <w:szCs w:val="24"/>
                <w:lang w:val="en-US" w:eastAsia="zh-CN"/>
              </w:rPr>
            </w:pPr>
            <w:r>
              <w:rPr>
                <w:rFonts w:hint="eastAsia" w:ascii="Times New Roman" w:hAnsi="Times New Roman" w:eastAsia="宋体" w:cs="Times New Roman"/>
                <w:b/>
                <w:bCs/>
                <w:caps w:val="0"/>
                <w:color w:val="auto"/>
                <w:sz w:val="24"/>
                <w:szCs w:val="24"/>
                <w:lang w:val="en-US" w:eastAsia="zh-CN"/>
              </w:rPr>
              <w:t>总投资（万元）</w:t>
            </w:r>
          </w:p>
        </w:tc>
        <w:tc>
          <w:tcPr>
            <w:tcW w:w="24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1653</w:t>
            </w:r>
          </w:p>
        </w:tc>
        <w:tc>
          <w:tcPr>
            <w:tcW w:w="247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环保投资（万元）</w:t>
            </w:r>
          </w:p>
        </w:tc>
        <w:tc>
          <w:tcPr>
            <w:tcW w:w="301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9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bCs/>
                <w:caps w:val="0"/>
                <w:color w:val="auto"/>
                <w:sz w:val="24"/>
                <w:szCs w:val="24"/>
                <w:lang w:val="en-US" w:eastAsia="zh-CN"/>
              </w:rPr>
            </w:pPr>
            <w:r>
              <w:rPr>
                <w:rFonts w:hint="eastAsia" w:ascii="Times New Roman" w:hAnsi="Times New Roman" w:eastAsia="宋体" w:cs="Times New Roman"/>
                <w:b/>
                <w:bCs/>
                <w:caps w:val="0"/>
                <w:color w:val="auto"/>
                <w:sz w:val="24"/>
                <w:szCs w:val="24"/>
                <w:lang w:val="en-US" w:eastAsia="zh-CN"/>
              </w:rPr>
              <w:t>环保投资占比（%）</w:t>
            </w:r>
          </w:p>
        </w:tc>
        <w:tc>
          <w:tcPr>
            <w:tcW w:w="24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4.8</w:t>
            </w:r>
          </w:p>
        </w:tc>
        <w:tc>
          <w:tcPr>
            <w:tcW w:w="247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施工工期</w:t>
            </w:r>
          </w:p>
        </w:tc>
        <w:tc>
          <w:tcPr>
            <w:tcW w:w="301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12个月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0" w:hRule="atLeast"/>
          <w:jc w:val="center"/>
        </w:trPr>
        <w:tc>
          <w:tcPr>
            <w:tcW w:w="129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bCs/>
                <w:caps w:val="0"/>
                <w:color w:val="auto"/>
                <w:sz w:val="24"/>
                <w:szCs w:val="24"/>
                <w:lang w:val="en-US" w:eastAsia="zh-CN"/>
              </w:rPr>
            </w:pPr>
            <w:r>
              <w:rPr>
                <w:rFonts w:hint="eastAsia" w:ascii="Times New Roman" w:hAnsi="Times New Roman" w:eastAsia="宋体" w:cs="Times New Roman"/>
                <w:b/>
                <w:bCs/>
                <w:caps w:val="0"/>
                <w:color w:val="auto"/>
                <w:sz w:val="24"/>
                <w:szCs w:val="24"/>
                <w:lang w:val="en-US" w:eastAsia="zh-CN"/>
              </w:rPr>
              <w:t>是否开工建设</w:t>
            </w:r>
          </w:p>
        </w:tc>
        <w:tc>
          <w:tcPr>
            <w:tcW w:w="7912" w:type="dxa"/>
            <w:gridSpan w:val="3"/>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☑否</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lang w:val="en-US" w:eastAsia="zh-CN"/>
              </w:rPr>
            </w:pPr>
            <w:r>
              <w:rPr>
                <w:rFonts w:hint="eastAsia" w:ascii="Times New Roman" w:hAnsi="Times New Roman" w:eastAsia="宋体" w:cs="Times New Roman"/>
                <w:color w:val="auto"/>
                <w:sz w:val="24"/>
                <w:szCs w:val="24"/>
                <w:vertAlign w:val="baseline"/>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285" w:hRule="atLeast"/>
          <w:jc w:val="center"/>
        </w:trPr>
        <w:tc>
          <w:tcPr>
            <w:tcW w:w="129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bCs/>
                <w:caps w:val="0"/>
                <w:color w:val="auto"/>
                <w:sz w:val="24"/>
                <w:szCs w:val="24"/>
                <w:lang w:val="en-US" w:eastAsia="zh-CN"/>
              </w:rPr>
            </w:pPr>
            <w:r>
              <w:rPr>
                <w:rFonts w:hint="eastAsia" w:ascii="Times New Roman" w:hAnsi="Times New Roman" w:eastAsia="宋体" w:cs="Times New Roman"/>
                <w:b/>
                <w:bCs/>
                <w:caps w:val="0"/>
                <w:color w:val="auto"/>
                <w:sz w:val="24"/>
                <w:szCs w:val="24"/>
                <w:lang w:val="en-US" w:eastAsia="zh-CN"/>
              </w:rPr>
              <w:t>专项评价设置情况</w:t>
            </w:r>
          </w:p>
        </w:tc>
        <w:tc>
          <w:tcPr>
            <w:tcW w:w="7912" w:type="dxa"/>
            <w:gridSpan w:val="3"/>
            <w:vAlign w:val="center"/>
          </w:tcPr>
          <w:p>
            <w:pPr>
              <w:pStyle w:val="50"/>
              <w:topLinePunct/>
              <w:spacing w:before="156" w:after="0" w:afterAutospacing="0" w:line="240" w:lineRule="auto"/>
              <w:ind w:firstLine="422"/>
              <w:rPr>
                <w:rFonts w:eastAsiaTheme="minorEastAsia"/>
                <w:color w:val="auto"/>
              </w:rPr>
            </w:pPr>
            <w:r>
              <w:rPr>
                <w:rFonts w:eastAsiaTheme="minorEastAsia"/>
                <w:color w:val="auto"/>
              </w:rPr>
              <w:t>表1-1 专项评价设置情况表</w:t>
            </w:r>
          </w:p>
          <w:tbl>
            <w:tblPr>
              <w:tblStyle w:val="20"/>
              <w:tblW w:w="48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6"/>
              <w:gridCol w:w="4920"/>
              <w:gridCol w:w="13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7" w:type="dxa"/>
                  <w:vAlign w:val="center"/>
                </w:tcPr>
                <w:p>
                  <w:pPr>
                    <w:pStyle w:val="28"/>
                    <w:rPr>
                      <w:b w:val="0"/>
                      <w:bCs w:val="0"/>
                      <w:color w:val="auto"/>
                      <w:lang w:eastAsia="zh-CN"/>
                    </w:rPr>
                  </w:pPr>
                  <w:r>
                    <w:rPr>
                      <w:b w:val="0"/>
                      <w:bCs w:val="0"/>
                      <w:color w:val="auto"/>
                      <w:lang w:eastAsia="zh-CN"/>
                    </w:rPr>
                    <w:t>专项评价</w:t>
                  </w:r>
                </w:p>
                <w:p>
                  <w:pPr>
                    <w:pStyle w:val="28"/>
                    <w:rPr>
                      <w:b w:val="0"/>
                      <w:bCs w:val="0"/>
                      <w:color w:val="auto"/>
                      <w:lang w:eastAsia="zh-CN"/>
                    </w:rPr>
                  </w:pPr>
                  <w:r>
                    <w:rPr>
                      <w:b w:val="0"/>
                      <w:bCs w:val="0"/>
                      <w:color w:val="auto"/>
                      <w:lang w:eastAsia="zh-CN"/>
                    </w:rPr>
                    <w:t>的类别</w:t>
                  </w:r>
                </w:p>
              </w:tc>
              <w:tc>
                <w:tcPr>
                  <w:tcW w:w="4843" w:type="dxa"/>
                  <w:vAlign w:val="center"/>
                </w:tcPr>
                <w:p>
                  <w:pPr>
                    <w:pStyle w:val="28"/>
                    <w:rPr>
                      <w:b w:val="0"/>
                      <w:bCs w:val="0"/>
                      <w:color w:val="auto"/>
                      <w:lang w:eastAsia="zh-CN"/>
                    </w:rPr>
                  </w:pPr>
                  <w:r>
                    <w:rPr>
                      <w:b w:val="0"/>
                      <w:bCs w:val="0"/>
                      <w:color w:val="auto"/>
                      <w:lang w:eastAsia="zh-CN"/>
                    </w:rPr>
                    <w:t>涉及项目类别</w:t>
                  </w:r>
                </w:p>
              </w:tc>
              <w:tc>
                <w:tcPr>
                  <w:tcW w:w="1362" w:type="dxa"/>
                  <w:vAlign w:val="center"/>
                </w:tcPr>
                <w:p>
                  <w:pPr>
                    <w:pStyle w:val="28"/>
                    <w:rPr>
                      <w:b w:val="0"/>
                      <w:bCs w:val="0"/>
                      <w:color w:val="auto"/>
                      <w:lang w:eastAsia="zh-CN"/>
                    </w:rPr>
                  </w:pPr>
                  <w:r>
                    <w:rPr>
                      <w:b w:val="0"/>
                      <w:bCs w:val="0"/>
                      <w:color w:val="auto"/>
                      <w:lang w:eastAsia="zh-CN"/>
                    </w:rPr>
                    <w:t>设置情况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7" w:type="dxa"/>
                  <w:vAlign w:val="center"/>
                </w:tcPr>
                <w:p>
                  <w:pPr>
                    <w:pStyle w:val="28"/>
                    <w:rPr>
                      <w:b w:val="0"/>
                      <w:bCs w:val="0"/>
                      <w:color w:val="auto"/>
                      <w:lang w:eastAsia="zh-CN"/>
                    </w:rPr>
                  </w:pPr>
                  <w:r>
                    <w:rPr>
                      <w:b w:val="0"/>
                      <w:bCs w:val="0"/>
                      <w:color w:val="auto"/>
                      <w:lang w:eastAsia="zh-CN"/>
                    </w:rPr>
                    <w:t>地表水</w:t>
                  </w:r>
                </w:p>
              </w:tc>
              <w:tc>
                <w:tcPr>
                  <w:tcW w:w="4843" w:type="dxa"/>
                  <w:vAlign w:val="center"/>
                </w:tcPr>
                <w:p>
                  <w:pPr>
                    <w:pStyle w:val="28"/>
                    <w:jc w:val="both"/>
                    <w:rPr>
                      <w:b w:val="0"/>
                      <w:bCs w:val="0"/>
                      <w:color w:val="auto"/>
                      <w:lang w:eastAsia="zh-CN"/>
                    </w:rPr>
                  </w:pPr>
                  <w:r>
                    <w:rPr>
                      <w:b w:val="0"/>
                      <w:bCs w:val="0"/>
                      <w:color w:val="auto"/>
                      <w:lang w:eastAsia="zh-CN"/>
                    </w:rPr>
                    <w:t>水力发电：引水式发电、涉及调峰发电的项目；人工湖、人工湿地：全部；水库：全部；引水工程：全部（配套的管线工程等除外）；防洪除涝工程：包含水库的项目；河湖整治：涉及清淤且底泥存在重金属污染的项目</w:t>
                  </w:r>
                </w:p>
              </w:tc>
              <w:tc>
                <w:tcPr>
                  <w:tcW w:w="1362" w:type="dxa"/>
                  <w:vAlign w:val="center"/>
                </w:tcPr>
                <w:p>
                  <w:pPr>
                    <w:pStyle w:val="28"/>
                    <w:rPr>
                      <w:b w:val="0"/>
                      <w:bCs w:val="0"/>
                      <w:color w:val="auto"/>
                      <w:lang w:eastAsia="zh-CN"/>
                    </w:rPr>
                  </w:pPr>
                  <w:r>
                    <w:rPr>
                      <w:b w:val="0"/>
                      <w:bCs w:val="0"/>
                      <w:color w:val="auto"/>
                      <w:lang w:eastAsia="zh-CN"/>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7" w:type="dxa"/>
                  <w:vAlign w:val="center"/>
                </w:tcPr>
                <w:p>
                  <w:pPr>
                    <w:pStyle w:val="28"/>
                    <w:rPr>
                      <w:b w:val="0"/>
                      <w:bCs w:val="0"/>
                      <w:color w:val="auto"/>
                    </w:rPr>
                  </w:pPr>
                  <w:r>
                    <w:rPr>
                      <w:b w:val="0"/>
                      <w:bCs w:val="0"/>
                      <w:color w:val="auto"/>
                    </w:rPr>
                    <w:t>地下水</w:t>
                  </w:r>
                </w:p>
              </w:tc>
              <w:tc>
                <w:tcPr>
                  <w:tcW w:w="4843" w:type="dxa"/>
                  <w:vAlign w:val="center"/>
                </w:tcPr>
                <w:p>
                  <w:pPr>
                    <w:pStyle w:val="28"/>
                    <w:jc w:val="both"/>
                    <w:rPr>
                      <w:b w:val="0"/>
                      <w:bCs w:val="0"/>
                      <w:color w:val="auto"/>
                      <w:lang w:eastAsia="zh-CN"/>
                    </w:rPr>
                  </w:pPr>
                  <w:r>
                    <w:rPr>
                      <w:b w:val="0"/>
                      <w:bCs w:val="0"/>
                      <w:color w:val="auto"/>
                      <w:lang w:eastAsia="zh-CN"/>
                    </w:rPr>
                    <w:t>陆地石油和天然气开采：全部；地下水（含矿泉水）开采：全部；水利、水电、交通等：含穿越可溶岩地层隧道的项目</w:t>
                  </w:r>
                </w:p>
              </w:tc>
              <w:tc>
                <w:tcPr>
                  <w:tcW w:w="1362" w:type="dxa"/>
                  <w:vAlign w:val="center"/>
                </w:tcPr>
                <w:p>
                  <w:pPr>
                    <w:pStyle w:val="28"/>
                    <w:rPr>
                      <w:b w:val="0"/>
                      <w:bCs w:val="0"/>
                      <w:color w:val="auto"/>
                      <w:lang w:eastAsia="zh-CN"/>
                    </w:rPr>
                  </w:pPr>
                  <w:r>
                    <w:rPr>
                      <w:b w:val="0"/>
                      <w:bCs w:val="0"/>
                      <w:color w:val="auto"/>
                      <w:lang w:eastAsia="zh-CN"/>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7" w:type="dxa"/>
                  <w:vAlign w:val="center"/>
                </w:tcPr>
                <w:p>
                  <w:pPr>
                    <w:pStyle w:val="28"/>
                    <w:rPr>
                      <w:b w:val="0"/>
                      <w:bCs w:val="0"/>
                      <w:color w:val="auto"/>
                    </w:rPr>
                  </w:pPr>
                  <w:r>
                    <w:rPr>
                      <w:b w:val="0"/>
                      <w:bCs w:val="0"/>
                      <w:color w:val="auto"/>
                    </w:rPr>
                    <w:t>生态</w:t>
                  </w:r>
                </w:p>
              </w:tc>
              <w:tc>
                <w:tcPr>
                  <w:tcW w:w="4843" w:type="dxa"/>
                  <w:vAlign w:val="center"/>
                </w:tcPr>
                <w:p>
                  <w:pPr>
                    <w:pStyle w:val="28"/>
                    <w:jc w:val="both"/>
                    <w:rPr>
                      <w:b w:val="0"/>
                      <w:bCs w:val="0"/>
                      <w:color w:val="auto"/>
                      <w:lang w:eastAsia="zh-CN"/>
                    </w:rPr>
                  </w:pPr>
                  <w:r>
                    <w:rPr>
                      <w:b w:val="0"/>
                      <w:bCs w:val="0"/>
                      <w:color w:val="auto"/>
                      <w:lang w:eastAsia="zh-CN"/>
                    </w:rPr>
                    <w:t>涉及环境敏感区（不包括饮用水水源保护区，以居住、医疗卫生、文化教育、科研、行政办公为主要功能的区域，以及文物保护单位）的项目</w:t>
                  </w:r>
                </w:p>
              </w:tc>
              <w:tc>
                <w:tcPr>
                  <w:tcW w:w="1362" w:type="dxa"/>
                  <w:vAlign w:val="center"/>
                </w:tcPr>
                <w:p>
                  <w:pPr>
                    <w:pStyle w:val="28"/>
                    <w:rPr>
                      <w:b w:val="0"/>
                      <w:bCs w:val="0"/>
                      <w:color w:val="auto"/>
                      <w:lang w:eastAsia="zh-CN"/>
                    </w:rPr>
                  </w:pPr>
                  <w:r>
                    <w:rPr>
                      <w:b w:val="0"/>
                      <w:bCs w:val="0"/>
                      <w:color w:val="auto"/>
                      <w:lang w:eastAsia="zh-CN"/>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7" w:type="dxa"/>
                  <w:vAlign w:val="center"/>
                </w:tcPr>
                <w:p>
                  <w:pPr>
                    <w:pStyle w:val="28"/>
                    <w:rPr>
                      <w:b w:val="0"/>
                      <w:bCs w:val="0"/>
                      <w:color w:val="auto"/>
                    </w:rPr>
                  </w:pPr>
                  <w:r>
                    <w:rPr>
                      <w:b w:val="0"/>
                      <w:bCs w:val="0"/>
                      <w:color w:val="auto"/>
                    </w:rPr>
                    <w:t>大气</w:t>
                  </w:r>
                </w:p>
              </w:tc>
              <w:tc>
                <w:tcPr>
                  <w:tcW w:w="4843" w:type="dxa"/>
                  <w:vAlign w:val="center"/>
                </w:tcPr>
                <w:p>
                  <w:pPr>
                    <w:pStyle w:val="28"/>
                    <w:jc w:val="both"/>
                    <w:rPr>
                      <w:b w:val="0"/>
                      <w:bCs w:val="0"/>
                      <w:color w:val="auto"/>
                      <w:lang w:eastAsia="zh-CN"/>
                    </w:rPr>
                  </w:pPr>
                  <w:r>
                    <w:rPr>
                      <w:b w:val="0"/>
                      <w:bCs w:val="0"/>
                      <w:color w:val="auto"/>
                      <w:lang w:eastAsia="zh-CN"/>
                    </w:rPr>
                    <w:t>油气、液体化工码头：全部；干散货（含煤炭、矿石）、件杂、多用途、通用码头：涉及粉尘、挥发性有机物排放的项目</w:t>
                  </w:r>
                </w:p>
              </w:tc>
              <w:tc>
                <w:tcPr>
                  <w:tcW w:w="1362" w:type="dxa"/>
                  <w:vAlign w:val="center"/>
                </w:tcPr>
                <w:p>
                  <w:pPr>
                    <w:pStyle w:val="28"/>
                    <w:rPr>
                      <w:b w:val="0"/>
                      <w:bCs w:val="0"/>
                      <w:color w:val="auto"/>
                      <w:lang w:eastAsia="zh-CN"/>
                    </w:rPr>
                  </w:pPr>
                  <w:r>
                    <w:rPr>
                      <w:b w:val="0"/>
                      <w:bCs w:val="0"/>
                      <w:color w:val="auto"/>
                      <w:lang w:eastAsia="zh-CN"/>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7" w:type="dxa"/>
                  <w:vAlign w:val="center"/>
                </w:tcPr>
                <w:p>
                  <w:pPr>
                    <w:pStyle w:val="28"/>
                    <w:rPr>
                      <w:b w:val="0"/>
                      <w:bCs w:val="0"/>
                      <w:color w:val="auto"/>
                    </w:rPr>
                  </w:pPr>
                  <w:r>
                    <w:rPr>
                      <w:b w:val="0"/>
                      <w:bCs w:val="0"/>
                      <w:color w:val="auto"/>
                    </w:rPr>
                    <w:t>噪声</w:t>
                  </w:r>
                </w:p>
              </w:tc>
              <w:tc>
                <w:tcPr>
                  <w:tcW w:w="4843" w:type="dxa"/>
                  <w:vAlign w:val="center"/>
                </w:tcPr>
                <w:p>
                  <w:pPr>
                    <w:pStyle w:val="28"/>
                    <w:jc w:val="both"/>
                    <w:rPr>
                      <w:b w:val="0"/>
                      <w:bCs w:val="0"/>
                      <w:color w:val="auto"/>
                      <w:lang w:eastAsia="zh-CN"/>
                    </w:rPr>
                  </w:pPr>
                  <w:r>
                    <w:rPr>
                      <w:b w:val="0"/>
                      <w:bCs w:val="0"/>
                      <w:color w:val="auto"/>
                      <w:lang w:eastAsia="zh-CN"/>
                    </w:rPr>
                    <w:t>公路、铁路、机场等交通运输业涉及环境敏感区（以居住、医疗卫生、文化、教育、科研、行政办公为主要功能的区域）的项目；城市道路（不含维护，不含支路、人行天桥、人行地道）：全部</w:t>
                  </w:r>
                </w:p>
              </w:tc>
              <w:tc>
                <w:tcPr>
                  <w:tcW w:w="1362" w:type="dxa"/>
                  <w:vAlign w:val="center"/>
                </w:tcPr>
                <w:p>
                  <w:pPr>
                    <w:pStyle w:val="28"/>
                    <w:rPr>
                      <w:b w:val="0"/>
                      <w:bCs w:val="0"/>
                      <w:color w:val="auto"/>
                      <w:lang w:eastAsia="zh-CN"/>
                    </w:rPr>
                  </w:pPr>
                  <w:r>
                    <w:rPr>
                      <w:b w:val="0"/>
                      <w:bCs w:val="0"/>
                      <w:color w:val="auto"/>
                      <w:lang w:eastAsia="zh-CN"/>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7" w:type="dxa"/>
                  <w:vAlign w:val="center"/>
                </w:tcPr>
                <w:p>
                  <w:pPr>
                    <w:pStyle w:val="28"/>
                    <w:rPr>
                      <w:b w:val="0"/>
                      <w:bCs w:val="0"/>
                      <w:color w:val="auto"/>
                    </w:rPr>
                  </w:pPr>
                  <w:r>
                    <w:rPr>
                      <w:b w:val="0"/>
                      <w:bCs w:val="0"/>
                      <w:color w:val="auto"/>
                    </w:rPr>
                    <w:t>环境风险</w:t>
                  </w:r>
                </w:p>
              </w:tc>
              <w:tc>
                <w:tcPr>
                  <w:tcW w:w="4843" w:type="dxa"/>
                  <w:vAlign w:val="center"/>
                </w:tcPr>
                <w:p>
                  <w:pPr>
                    <w:pStyle w:val="28"/>
                    <w:jc w:val="left"/>
                    <w:rPr>
                      <w:b w:val="0"/>
                      <w:bCs w:val="0"/>
                      <w:color w:val="auto"/>
                      <w:lang w:eastAsia="zh-CN"/>
                    </w:rPr>
                  </w:pPr>
                  <w:r>
                    <w:rPr>
                      <w:b w:val="0"/>
                      <w:bCs w:val="0"/>
                      <w:color w:val="auto"/>
                      <w:lang w:eastAsia="zh-CN"/>
                    </w:rPr>
                    <w:t>石油和天然气开采：全部；油气、液体化工码头：全部；原油、成品油、天然气管线（不含城镇天然气管线、企业厂区内管线），危险化学品输送管线（不含企业厂区内管线）：全部</w:t>
                  </w:r>
                </w:p>
              </w:tc>
              <w:tc>
                <w:tcPr>
                  <w:tcW w:w="1362" w:type="dxa"/>
                  <w:vAlign w:val="center"/>
                </w:tcPr>
                <w:p>
                  <w:pPr>
                    <w:pStyle w:val="28"/>
                    <w:rPr>
                      <w:b w:val="0"/>
                      <w:bCs w:val="0"/>
                      <w:color w:val="auto"/>
                      <w:lang w:eastAsia="zh-CN"/>
                    </w:rPr>
                  </w:pPr>
                  <w:r>
                    <w:rPr>
                      <w:b w:val="0"/>
                      <w:bCs w:val="0"/>
                      <w:color w:val="auto"/>
                      <w:lang w:eastAsia="zh-CN"/>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7" w:type="dxa"/>
                  <w:vAlign w:val="center"/>
                </w:tcPr>
                <w:p>
                  <w:pPr>
                    <w:pStyle w:val="28"/>
                    <w:rPr>
                      <w:b w:val="0"/>
                      <w:bCs w:val="0"/>
                      <w:color w:val="auto"/>
                    </w:rPr>
                  </w:pPr>
                  <w:r>
                    <w:rPr>
                      <w:b w:val="0"/>
                      <w:bCs w:val="0"/>
                      <w:color w:val="auto"/>
                      <w:lang w:eastAsia="zh-CN"/>
                    </w:rPr>
                    <w:t>电磁</w:t>
                  </w:r>
                  <w:r>
                    <w:rPr>
                      <w:rFonts w:hint="eastAsia"/>
                      <w:b w:val="0"/>
                      <w:bCs w:val="0"/>
                      <w:color w:val="auto"/>
                      <w:lang w:eastAsia="zh-CN"/>
                    </w:rPr>
                    <w:t>辐射</w:t>
                  </w:r>
                </w:p>
              </w:tc>
              <w:tc>
                <w:tcPr>
                  <w:tcW w:w="4843" w:type="dxa"/>
                  <w:vAlign w:val="center"/>
                </w:tcPr>
                <w:p>
                  <w:pPr>
                    <w:pStyle w:val="28"/>
                    <w:jc w:val="left"/>
                    <w:rPr>
                      <w:b w:val="0"/>
                      <w:bCs w:val="0"/>
                      <w:color w:val="auto"/>
                      <w:kern w:val="0"/>
                      <w:lang w:eastAsia="zh-CN"/>
                    </w:rPr>
                  </w:pPr>
                  <w:r>
                    <w:rPr>
                      <w:rFonts w:hint="eastAsia"/>
                      <w:b w:val="0"/>
                      <w:bCs w:val="0"/>
                      <w:color w:val="auto"/>
                      <w:kern w:val="0"/>
                      <w:lang w:eastAsia="zh-CN"/>
                    </w:rPr>
                    <w:t>新建或改建、扩建广播电台、差转台、电视塔台、卫星地球上行站、雷达等电磁辐射类项目，应根据相关技术导则对项目电磁辐射现状开展监测与评价。</w:t>
                  </w:r>
                </w:p>
              </w:tc>
              <w:tc>
                <w:tcPr>
                  <w:tcW w:w="1362" w:type="dxa"/>
                  <w:vAlign w:val="center"/>
                </w:tcPr>
                <w:p>
                  <w:pPr>
                    <w:pStyle w:val="28"/>
                    <w:rPr>
                      <w:b w:val="0"/>
                      <w:bCs w:val="0"/>
                      <w:color w:val="auto"/>
                      <w:lang w:eastAsia="zh-CN"/>
                    </w:rPr>
                  </w:pPr>
                  <w:r>
                    <w:rPr>
                      <w:b w:val="0"/>
                      <w:bCs w:val="0"/>
                      <w:color w:val="auto"/>
                      <w:kern w:val="0"/>
                      <w:lang w:eastAsia="zh-CN"/>
                    </w:rPr>
                    <w:t>本项目设置电磁环境影响专题评价</w:t>
                  </w:r>
                </w:p>
              </w:tc>
            </w:tr>
          </w:tbl>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Times New Roman" w:hAnsi="Times New Roman" w:eastAsia="宋体" w:cs="Times New Roman"/>
                <w:color w:val="auto"/>
                <w:sz w:val="24"/>
                <w:szCs w:val="24"/>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129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bCs/>
                <w:caps w:val="0"/>
                <w:color w:val="auto"/>
                <w:sz w:val="24"/>
                <w:szCs w:val="24"/>
                <w:lang w:val="en-US" w:eastAsia="zh-CN"/>
              </w:rPr>
            </w:pPr>
            <w:r>
              <w:rPr>
                <w:rFonts w:hint="eastAsia" w:ascii="Times New Roman" w:hAnsi="Times New Roman" w:eastAsia="宋体" w:cs="Times New Roman"/>
                <w:b/>
                <w:bCs/>
                <w:caps w:val="0"/>
                <w:color w:val="auto"/>
                <w:sz w:val="24"/>
                <w:szCs w:val="24"/>
                <w:lang w:val="en-US" w:eastAsia="zh-CN"/>
              </w:rPr>
              <w:t>规划情况</w:t>
            </w:r>
          </w:p>
        </w:tc>
        <w:tc>
          <w:tcPr>
            <w:tcW w:w="7912" w:type="dxa"/>
            <w:gridSpan w:val="3"/>
            <w:vAlign w:val="center"/>
          </w:tcPr>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both"/>
              <w:textAlignment w:val="auto"/>
              <w:rPr>
                <w:rFonts w:hint="eastAsia" w:ascii="Times New Roman" w:hAnsi="Times New Roman" w:eastAsia="宋体" w:cs="Times New Roman"/>
                <w:color w:val="auto"/>
                <w:sz w:val="24"/>
                <w:szCs w:val="24"/>
                <w:vertAlign w:val="baseline"/>
              </w:rPr>
            </w:pPr>
            <w:r>
              <w:rPr>
                <w:rFonts w:hint="eastAsia" w:ascii="Times New Roman" w:hAnsi="Times New Roman" w:eastAsia="宋体" w:cs="Times New Roman"/>
                <w:color w:val="auto"/>
                <w:sz w:val="24"/>
                <w:szCs w:val="24"/>
                <w:vertAlign w:val="baseline"/>
              </w:rPr>
              <w:t>辽宁省人民政府办公厅关于印发《辽宁省“十四五”能源发展规划的通知》（辽政办发〔2022〕34号）；《朝阳市龙城区国土空间总体规划（20</w:t>
            </w:r>
            <w:r>
              <w:rPr>
                <w:rFonts w:hint="eastAsia" w:ascii="Times New Roman" w:hAnsi="Times New Roman" w:eastAsia="宋体" w:cs="Times New Roman"/>
                <w:color w:val="auto"/>
                <w:sz w:val="24"/>
                <w:szCs w:val="24"/>
                <w:vertAlign w:val="baseline"/>
                <w:lang w:val="en-US" w:eastAsia="zh-CN"/>
              </w:rPr>
              <w:t>21</w:t>
            </w:r>
            <w:r>
              <w:rPr>
                <w:rFonts w:hint="eastAsia" w:ascii="Times New Roman" w:hAnsi="Times New Roman" w:eastAsia="宋体" w:cs="Times New Roman"/>
                <w:color w:val="auto"/>
                <w:sz w:val="24"/>
                <w:szCs w:val="24"/>
                <w:vertAlign w:val="baseline"/>
              </w:rPr>
              <w:t>-2035年）》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33" w:hRule="atLeast"/>
          <w:jc w:val="center"/>
        </w:trPr>
        <w:tc>
          <w:tcPr>
            <w:tcW w:w="129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bCs/>
                <w:caps w:val="0"/>
                <w:color w:val="auto"/>
                <w:sz w:val="24"/>
                <w:szCs w:val="24"/>
                <w:lang w:val="en-US" w:eastAsia="zh-CN"/>
              </w:rPr>
            </w:pPr>
            <w:r>
              <w:rPr>
                <w:rFonts w:hint="eastAsia" w:ascii="Times New Roman" w:hAnsi="Times New Roman" w:eastAsia="宋体" w:cs="Times New Roman"/>
                <w:b/>
                <w:bCs/>
                <w:caps w:val="0"/>
                <w:color w:val="auto"/>
                <w:sz w:val="24"/>
                <w:szCs w:val="24"/>
                <w:lang w:val="en-US" w:eastAsia="zh-CN"/>
              </w:rPr>
              <w:t>规划环境影响评价情况</w:t>
            </w:r>
          </w:p>
        </w:tc>
        <w:tc>
          <w:tcPr>
            <w:tcW w:w="7912" w:type="dxa"/>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4"/>
                <w:szCs w:val="24"/>
                <w:vertAlign w:val="baseline"/>
              </w:rPr>
            </w:pPr>
            <w:r>
              <w:rPr>
                <w:rFonts w:hint="eastAsia" w:ascii="Times New Roman" w:hAnsi="Times New Roman" w:eastAsia="宋体" w:cs="Times New Roman"/>
                <w:color w:val="auto"/>
                <w:sz w:val="24"/>
                <w:szCs w:val="24"/>
                <w:vertAlign w:val="baseline"/>
                <w:lang w:eastAsia="zh-CN"/>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94" w:hRule="atLeast"/>
          <w:jc w:val="center"/>
        </w:trPr>
        <w:tc>
          <w:tcPr>
            <w:tcW w:w="129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bCs/>
                <w:caps w:val="0"/>
                <w:color w:val="FF0000"/>
                <w:sz w:val="24"/>
                <w:szCs w:val="24"/>
                <w:lang w:val="en-US" w:eastAsia="zh-CN"/>
              </w:rPr>
            </w:pPr>
            <w:r>
              <w:rPr>
                <w:rFonts w:hint="eastAsia" w:ascii="Times New Roman" w:hAnsi="Times New Roman" w:eastAsia="宋体" w:cs="Times New Roman"/>
                <w:b/>
                <w:bCs/>
                <w:caps w:val="0"/>
                <w:color w:val="auto"/>
                <w:sz w:val="24"/>
                <w:szCs w:val="24"/>
                <w:lang w:val="en-US" w:eastAsia="zh-CN"/>
              </w:rPr>
              <w:t>规划及规划环境影响评价符合性分析</w:t>
            </w:r>
          </w:p>
        </w:tc>
        <w:tc>
          <w:tcPr>
            <w:tcW w:w="7912" w:type="dxa"/>
            <w:gridSpan w:val="3"/>
            <w:vAlign w:val="center"/>
          </w:tcPr>
          <w:p>
            <w:pPr>
              <w:pStyle w:val="51"/>
              <w:ind w:left="0" w:leftChars="0" w:right="42" w:firstLine="0" w:firstLineChars="0"/>
              <w:rPr>
                <w:rFonts w:cs="Times New Roman"/>
                <w:b/>
                <w:bCs/>
                <w:color w:val="auto"/>
              </w:rPr>
            </w:pPr>
            <w:r>
              <w:rPr>
                <w:rFonts w:hint="eastAsia" w:cs="Times New Roman"/>
                <w:b/>
                <w:bCs/>
                <w:color w:val="auto"/>
              </w:rPr>
              <w:t>1</w:t>
            </w:r>
            <w:r>
              <w:rPr>
                <w:rFonts w:cs="Times New Roman"/>
                <w:b/>
                <w:bCs/>
                <w:color w:val="auto"/>
              </w:rPr>
              <w:t>.</w:t>
            </w:r>
            <w:r>
              <w:rPr>
                <w:rFonts w:hint="eastAsia" w:cs="Times New Roman"/>
                <w:b/>
                <w:bCs/>
                <w:color w:val="auto"/>
              </w:rPr>
              <w:t>与辽宁省人民政府办公厅关于印发《辽宁省“十四五”能源发展规划的通知》（辽政办发</w:t>
            </w:r>
            <w:r>
              <w:rPr>
                <w:rFonts w:hint="eastAsia" w:cs="Times New Roman"/>
                <w:b/>
                <w:bCs/>
                <w:color w:val="auto"/>
                <w:lang w:eastAsia="zh-CN"/>
              </w:rPr>
              <w:t>〔</w:t>
            </w:r>
            <w:r>
              <w:rPr>
                <w:rFonts w:cs="Times New Roman"/>
                <w:b/>
                <w:bCs/>
                <w:color w:val="auto"/>
              </w:rPr>
              <w:t>2022</w:t>
            </w:r>
            <w:r>
              <w:rPr>
                <w:rFonts w:hint="eastAsia" w:cs="Times New Roman"/>
                <w:b/>
                <w:bCs/>
                <w:color w:val="auto"/>
                <w:lang w:eastAsia="zh-CN"/>
              </w:rPr>
              <w:t>〕</w:t>
            </w:r>
            <w:r>
              <w:rPr>
                <w:rFonts w:cs="Times New Roman"/>
                <w:b/>
                <w:bCs/>
                <w:color w:val="auto"/>
              </w:rPr>
              <w:t>34</w:t>
            </w:r>
            <w:r>
              <w:rPr>
                <w:rFonts w:hint="eastAsia" w:cs="Times New Roman"/>
                <w:b/>
                <w:bCs/>
                <w:color w:val="auto"/>
              </w:rPr>
              <w:t>号）符合性分析</w:t>
            </w:r>
          </w:p>
          <w:p>
            <w:pPr>
              <w:pStyle w:val="51"/>
              <w:ind w:left="42" w:right="42" w:firstLine="420"/>
              <w:rPr>
                <w:rFonts w:cs="Times New Roman"/>
                <w:color w:val="auto"/>
                <w:sz w:val="24"/>
                <w:szCs w:val="24"/>
              </w:rPr>
            </w:pPr>
            <w:r>
              <w:rPr>
                <w:rFonts w:cs="Times New Roman"/>
                <w:color w:val="auto"/>
                <w:sz w:val="24"/>
                <w:szCs w:val="24"/>
              </w:rPr>
              <w:t>本项目属于《辽宁省“十四五”能源发展规划》第三章增强能源安全供给能力、第二节提高电力安全保障水平中“专栏3“十四五”煤电与电网重点项目”中的“电网-220千伏及以下工程”，本项目属于提高电力安全保障水平的电网工程，与规划相符。</w:t>
            </w:r>
          </w:p>
          <w:p>
            <w:pPr>
              <w:pStyle w:val="51"/>
              <w:ind w:left="0" w:leftChars="0" w:right="42" w:firstLine="0" w:firstLineChars="0"/>
              <w:rPr>
                <w:rFonts w:cs="Times New Roman"/>
                <w:b/>
                <w:bCs/>
                <w:color w:val="auto"/>
              </w:rPr>
            </w:pPr>
            <w:r>
              <w:rPr>
                <w:rFonts w:cs="Times New Roman"/>
                <w:b/>
                <w:bCs/>
                <w:color w:val="auto"/>
              </w:rPr>
              <w:t>2.</w:t>
            </w:r>
            <w:r>
              <w:rPr>
                <w:rFonts w:hint="eastAsia" w:cs="Times New Roman"/>
                <w:b/>
                <w:bCs/>
                <w:color w:val="auto"/>
              </w:rPr>
              <w:t>与</w:t>
            </w:r>
            <w:r>
              <w:rPr>
                <w:rFonts w:hint="eastAsia"/>
                <w:b/>
                <w:bCs/>
                <w:color w:val="auto"/>
              </w:rPr>
              <w:t>《朝阳市龙城区国土空间总体规划（20</w:t>
            </w:r>
            <w:r>
              <w:rPr>
                <w:rFonts w:hint="eastAsia"/>
                <w:b/>
                <w:bCs/>
                <w:color w:val="auto"/>
                <w:lang w:val="en-US" w:eastAsia="zh-CN"/>
              </w:rPr>
              <w:t>21</w:t>
            </w:r>
            <w:r>
              <w:rPr>
                <w:rFonts w:hint="eastAsia"/>
                <w:b/>
                <w:bCs/>
                <w:color w:val="auto"/>
              </w:rPr>
              <w:t>-2035年）</w:t>
            </w:r>
            <w:r>
              <w:rPr>
                <w:rFonts w:hint="eastAsia" w:cs="Times New Roman"/>
                <w:b/>
                <w:bCs/>
                <w:color w:val="auto"/>
              </w:rPr>
              <w:t>》符合性分析</w:t>
            </w:r>
          </w:p>
          <w:p>
            <w:pPr>
              <w:pStyle w:val="50"/>
              <w:topLinePunct/>
              <w:spacing w:before="156" w:after="0" w:afterAutospacing="0" w:line="240" w:lineRule="auto"/>
              <w:ind w:firstLine="422"/>
              <w:rPr>
                <w:rFonts w:eastAsiaTheme="minorEastAsia"/>
                <w:color w:val="auto"/>
              </w:rPr>
            </w:pPr>
            <w:r>
              <w:rPr>
                <w:rFonts w:hint="eastAsia" w:eastAsiaTheme="minorEastAsia"/>
                <w:color w:val="auto"/>
              </w:rPr>
              <w:t>表</w:t>
            </w:r>
            <w:r>
              <w:rPr>
                <w:rFonts w:eastAsiaTheme="minorEastAsia"/>
                <w:color w:val="auto"/>
              </w:rPr>
              <w:t>1-</w:t>
            </w:r>
            <w:r>
              <w:rPr>
                <w:rFonts w:hint="eastAsia" w:eastAsiaTheme="minorEastAsia"/>
                <w:color w:val="auto"/>
                <w:lang w:val="en-US" w:eastAsia="zh-CN"/>
              </w:rPr>
              <w:t>2</w:t>
            </w:r>
            <w:r>
              <w:rPr>
                <w:rFonts w:hint="eastAsia" w:eastAsiaTheme="minorEastAsia"/>
                <w:color w:val="auto"/>
              </w:rPr>
              <w:t>与《朝阳市龙城区国土空间总体规划（20</w:t>
            </w:r>
            <w:r>
              <w:rPr>
                <w:rFonts w:hint="eastAsia" w:eastAsiaTheme="minorEastAsia"/>
                <w:color w:val="auto"/>
                <w:lang w:val="en-US" w:eastAsia="zh-CN"/>
              </w:rPr>
              <w:t>21</w:t>
            </w:r>
            <w:r>
              <w:rPr>
                <w:rFonts w:hint="eastAsia" w:eastAsiaTheme="minorEastAsia"/>
                <w:color w:val="auto"/>
              </w:rPr>
              <w:t>-2035年）》相符性分析</w:t>
            </w:r>
          </w:p>
          <w:tbl>
            <w:tblPr>
              <w:tblStyle w:val="21"/>
              <w:tblW w:w="4949" w:type="pct"/>
              <w:tblInd w:w="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42"/>
              <w:gridCol w:w="3105"/>
              <w:gridCol w:w="7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83" w:type="dxa"/>
                  <w:tcBorders>
                    <w:top w:val="single" w:color="auto" w:sz="4" w:space="0"/>
                    <w:left w:val="single" w:color="auto" w:sz="4" w:space="0"/>
                    <w:bottom w:val="single" w:color="auto" w:sz="4" w:space="0"/>
                    <w:right w:val="single" w:color="auto" w:sz="4" w:space="0"/>
                  </w:tcBorders>
                  <w:vAlign w:val="center"/>
                </w:tcPr>
                <w:p>
                  <w:pPr>
                    <w:pStyle w:val="28"/>
                    <w:rPr>
                      <w:rFonts w:eastAsia="宋体"/>
                      <w:b w:val="0"/>
                      <w:bCs w:val="0"/>
                      <w:snapToGrid/>
                      <w:color w:val="auto"/>
                      <w:lang w:eastAsia="zh-CN"/>
                    </w:rPr>
                  </w:pPr>
                  <w:r>
                    <w:rPr>
                      <w:rFonts w:hint="eastAsia" w:ascii="宋体" w:hAnsi="宋体"/>
                      <w:b w:val="0"/>
                      <w:bCs w:val="0"/>
                      <w:color w:val="auto"/>
                      <w:lang w:eastAsia="zh-CN"/>
                    </w:rPr>
                    <w:t>《朝阳市龙城区国土空间总体规划（</w:t>
                  </w:r>
                  <w:r>
                    <w:rPr>
                      <w:rFonts w:hint="eastAsia" w:ascii="宋体" w:hAnsi="宋体"/>
                      <w:b w:val="0"/>
                      <w:bCs w:val="0"/>
                      <w:color w:val="auto"/>
                      <w:lang w:val="en-US" w:eastAsia="zh-CN"/>
                    </w:rPr>
                    <w:t>2021</w:t>
                  </w:r>
                  <w:r>
                    <w:rPr>
                      <w:rFonts w:hint="eastAsia" w:ascii="宋体" w:hAnsi="宋体"/>
                      <w:b w:val="0"/>
                      <w:bCs w:val="0"/>
                      <w:color w:val="auto"/>
                      <w:lang w:eastAsia="zh-CN"/>
                    </w:rPr>
                    <w:t>-2035年）》</w:t>
                  </w:r>
                </w:p>
              </w:tc>
              <w:tc>
                <w:tcPr>
                  <w:tcW w:w="3057" w:type="dxa"/>
                  <w:tcBorders>
                    <w:top w:val="single" w:color="auto" w:sz="4" w:space="0"/>
                    <w:left w:val="single" w:color="auto" w:sz="4" w:space="0"/>
                    <w:bottom w:val="single" w:color="auto" w:sz="4" w:space="0"/>
                    <w:right w:val="single" w:color="auto" w:sz="4" w:space="0"/>
                  </w:tcBorders>
                  <w:vAlign w:val="center"/>
                </w:tcPr>
                <w:p>
                  <w:pPr>
                    <w:pStyle w:val="28"/>
                    <w:rPr>
                      <w:b w:val="0"/>
                      <w:bCs w:val="0"/>
                      <w:color w:val="auto"/>
                    </w:rPr>
                  </w:pPr>
                  <w:r>
                    <w:rPr>
                      <w:rFonts w:hint="eastAsia" w:ascii="宋体" w:hAnsi="宋体"/>
                      <w:b w:val="0"/>
                      <w:bCs w:val="0"/>
                      <w:color w:val="auto"/>
                    </w:rPr>
                    <w:t>本项目</w:t>
                  </w:r>
                </w:p>
              </w:tc>
              <w:tc>
                <w:tcPr>
                  <w:tcW w:w="749" w:type="dxa"/>
                  <w:tcBorders>
                    <w:top w:val="single" w:color="auto" w:sz="4" w:space="0"/>
                    <w:left w:val="single" w:color="auto" w:sz="4" w:space="0"/>
                    <w:bottom w:val="single" w:color="auto" w:sz="4" w:space="0"/>
                    <w:right w:val="single" w:color="auto" w:sz="4" w:space="0"/>
                  </w:tcBorders>
                  <w:vAlign w:val="center"/>
                </w:tcPr>
                <w:p>
                  <w:pPr>
                    <w:pStyle w:val="28"/>
                    <w:rPr>
                      <w:b w:val="0"/>
                      <w:bCs w:val="0"/>
                      <w:color w:val="auto"/>
                    </w:rPr>
                  </w:pPr>
                  <w:r>
                    <w:rPr>
                      <w:rFonts w:hint="eastAsia" w:ascii="宋体" w:hAnsi="宋体"/>
                      <w:b w:val="0"/>
                      <w:bCs w:val="0"/>
                      <w:color w:val="auto"/>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83" w:type="dxa"/>
                  <w:tcBorders>
                    <w:top w:val="single" w:color="auto" w:sz="4" w:space="0"/>
                    <w:left w:val="single" w:color="auto" w:sz="4" w:space="0"/>
                    <w:bottom w:val="single" w:color="auto" w:sz="4" w:space="0"/>
                    <w:right w:val="single" w:color="auto" w:sz="4" w:space="0"/>
                  </w:tcBorders>
                  <w:vAlign w:val="center"/>
                </w:tcPr>
                <w:p>
                  <w:pPr>
                    <w:pStyle w:val="28"/>
                    <w:jc w:val="both"/>
                    <w:rPr>
                      <w:b w:val="0"/>
                      <w:bCs w:val="0"/>
                      <w:color w:val="auto"/>
                      <w:lang w:eastAsia="zh-CN"/>
                    </w:rPr>
                  </w:pPr>
                  <w:r>
                    <w:rPr>
                      <w:rFonts w:hint="eastAsia"/>
                      <w:b w:val="0"/>
                      <w:bCs w:val="0"/>
                      <w:color w:val="auto"/>
                      <w:lang w:eastAsia="zh-CN"/>
                    </w:rPr>
                    <w:t>3</w:t>
                  </w:r>
                  <w:r>
                    <w:rPr>
                      <w:b w:val="0"/>
                      <w:bCs w:val="0"/>
                      <w:color w:val="auto"/>
                      <w:lang w:eastAsia="zh-CN"/>
                    </w:rPr>
                    <w:t>.2</w:t>
                  </w:r>
                  <w:r>
                    <w:rPr>
                      <w:rFonts w:hint="eastAsia" w:ascii="宋体" w:hAnsi="宋体"/>
                      <w:b w:val="0"/>
                      <w:bCs w:val="0"/>
                      <w:color w:val="auto"/>
                      <w:lang w:eastAsia="zh-CN"/>
                    </w:rPr>
                    <w:t>统筹划定落实三条控制线</w:t>
                  </w:r>
                </w:p>
                <w:p>
                  <w:pPr>
                    <w:pStyle w:val="28"/>
                    <w:jc w:val="both"/>
                    <w:rPr>
                      <w:b w:val="0"/>
                      <w:bCs w:val="0"/>
                      <w:color w:val="auto"/>
                      <w:lang w:eastAsia="zh-CN"/>
                    </w:rPr>
                  </w:pPr>
                  <w:r>
                    <w:rPr>
                      <w:rFonts w:hint="eastAsia" w:ascii="宋体" w:hAnsi="宋体"/>
                      <w:b w:val="0"/>
                      <w:bCs w:val="0"/>
                      <w:color w:val="auto"/>
                      <w:lang w:eastAsia="zh-CN"/>
                    </w:rPr>
                    <w:t>严格落实上级下达的永久基本农田保护任务</w:t>
                  </w:r>
                  <w:r>
                    <w:rPr>
                      <w:b w:val="0"/>
                      <w:bCs w:val="0"/>
                      <w:color w:val="auto"/>
                      <w:lang w:eastAsia="zh-CN"/>
                    </w:rPr>
                    <w:t>，</w:t>
                  </w:r>
                  <w:r>
                    <w:rPr>
                      <w:rFonts w:hint="eastAsia" w:ascii="宋体" w:hAnsi="宋体"/>
                      <w:b w:val="0"/>
                      <w:bCs w:val="0"/>
                      <w:color w:val="auto"/>
                      <w:lang w:eastAsia="zh-CN"/>
                    </w:rPr>
                    <w:t>保障粮食安全和重要农产品供给</w:t>
                  </w:r>
                  <w:r>
                    <w:rPr>
                      <w:b w:val="0"/>
                      <w:bCs w:val="0"/>
                      <w:color w:val="auto"/>
                      <w:lang w:eastAsia="zh-CN"/>
                    </w:rPr>
                    <w:t>，</w:t>
                  </w:r>
                  <w:r>
                    <w:rPr>
                      <w:rFonts w:hint="eastAsia" w:ascii="宋体" w:hAnsi="宋体"/>
                      <w:b w:val="0"/>
                      <w:bCs w:val="0"/>
                      <w:color w:val="auto"/>
                      <w:lang w:eastAsia="zh-CN"/>
                    </w:rPr>
                    <w:t>严格落实《基本农田保护条例》</w:t>
                  </w:r>
                  <w:r>
                    <w:rPr>
                      <w:b w:val="0"/>
                      <w:bCs w:val="0"/>
                      <w:color w:val="auto"/>
                      <w:lang w:eastAsia="zh-CN"/>
                    </w:rPr>
                    <w:t>，</w:t>
                  </w:r>
                  <w:r>
                    <w:rPr>
                      <w:rFonts w:hint="eastAsia" w:ascii="宋体" w:hAnsi="宋体"/>
                      <w:b w:val="0"/>
                      <w:bCs w:val="0"/>
                      <w:color w:val="auto"/>
                      <w:lang w:eastAsia="zh-CN"/>
                    </w:rPr>
                    <w:t>严控建设占用永久基本农田。</w:t>
                  </w:r>
                </w:p>
                <w:p>
                  <w:pPr>
                    <w:pStyle w:val="28"/>
                    <w:jc w:val="both"/>
                    <w:rPr>
                      <w:b w:val="0"/>
                      <w:bCs w:val="0"/>
                      <w:color w:val="auto"/>
                      <w:lang w:eastAsia="zh-CN"/>
                    </w:rPr>
                  </w:pPr>
                  <w:r>
                    <w:rPr>
                      <w:rFonts w:hint="eastAsia" w:ascii="宋体" w:hAnsi="宋体"/>
                      <w:b w:val="0"/>
                      <w:bCs w:val="0"/>
                      <w:color w:val="auto"/>
                      <w:lang w:eastAsia="zh-CN"/>
                    </w:rPr>
                    <w:t>严格保护生态红线。严格保护自然保护地、生态功能重要区域和生态敏感区域。确保面积不减少</w:t>
                  </w:r>
                  <w:r>
                    <w:rPr>
                      <w:b w:val="0"/>
                      <w:bCs w:val="0"/>
                      <w:color w:val="auto"/>
                      <w:lang w:eastAsia="zh-CN"/>
                    </w:rPr>
                    <w:t>，</w:t>
                  </w:r>
                  <w:r>
                    <w:rPr>
                      <w:rFonts w:hint="eastAsia" w:ascii="宋体" w:hAnsi="宋体"/>
                      <w:b w:val="0"/>
                      <w:bCs w:val="0"/>
                      <w:color w:val="auto"/>
                      <w:lang w:eastAsia="zh-CN"/>
                    </w:rPr>
                    <w:t>功能不降低、性质不改变。除国家重大战略项目外，仅允许对生态功能不造成破坏的有限人为活动。</w:t>
                  </w:r>
                </w:p>
              </w:tc>
              <w:tc>
                <w:tcPr>
                  <w:tcW w:w="3057" w:type="dxa"/>
                  <w:tcBorders>
                    <w:top w:val="single" w:color="auto" w:sz="4" w:space="0"/>
                    <w:left w:val="single" w:color="auto" w:sz="4" w:space="0"/>
                    <w:bottom w:val="single" w:color="auto" w:sz="4" w:space="0"/>
                    <w:right w:val="single" w:color="auto" w:sz="4" w:space="0"/>
                  </w:tcBorders>
                  <w:vAlign w:val="center"/>
                </w:tcPr>
                <w:p>
                  <w:pPr>
                    <w:pStyle w:val="28"/>
                    <w:jc w:val="both"/>
                    <w:rPr>
                      <w:b w:val="0"/>
                      <w:bCs w:val="0"/>
                      <w:color w:val="auto"/>
                      <w:lang w:eastAsia="zh-CN"/>
                    </w:rPr>
                  </w:pPr>
                  <w:r>
                    <w:rPr>
                      <w:rFonts w:hint="eastAsia" w:ascii="宋体" w:hAnsi="宋体"/>
                      <w:b w:val="0"/>
                      <w:bCs w:val="0"/>
                      <w:color w:val="auto"/>
                      <w:lang w:eastAsia="zh-CN"/>
                    </w:rPr>
                    <w:t>本项目属于基础设施建设项目，塔基占地面积小且呈点状不连续分布，占用永久基本农田采用只占不征，进行一次性经济补偿的方式，确保基本农田地力等级不降低。</w:t>
                  </w:r>
                </w:p>
                <w:p>
                  <w:pPr>
                    <w:pStyle w:val="28"/>
                    <w:jc w:val="both"/>
                    <w:rPr>
                      <w:b w:val="0"/>
                      <w:bCs w:val="0"/>
                      <w:color w:val="auto"/>
                      <w:lang w:eastAsia="zh-CN"/>
                    </w:rPr>
                  </w:pPr>
                  <w:r>
                    <w:rPr>
                      <w:rFonts w:hint="eastAsia" w:ascii="宋体" w:hAnsi="宋体"/>
                      <w:b w:val="0"/>
                      <w:bCs w:val="0"/>
                      <w:color w:val="auto"/>
                      <w:lang w:eastAsia="zh-CN"/>
                    </w:rPr>
                    <w:t>本项目不占用及跨越生态红线，距离生态红线较近的占地施工期间采取生态保护措施，确保不对周边生态红线造成不利影响。</w:t>
                  </w:r>
                </w:p>
              </w:tc>
              <w:tc>
                <w:tcPr>
                  <w:tcW w:w="749" w:type="dxa"/>
                  <w:tcBorders>
                    <w:top w:val="single" w:color="auto" w:sz="4" w:space="0"/>
                    <w:left w:val="single" w:color="auto" w:sz="4" w:space="0"/>
                    <w:bottom w:val="single" w:color="auto" w:sz="4" w:space="0"/>
                    <w:right w:val="single" w:color="auto" w:sz="4" w:space="0"/>
                  </w:tcBorders>
                  <w:vAlign w:val="center"/>
                </w:tcPr>
                <w:p>
                  <w:pPr>
                    <w:pStyle w:val="28"/>
                    <w:rPr>
                      <w:b w:val="0"/>
                      <w:bCs w:val="0"/>
                      <w:color w:val="auto"/>
                    </w:rPr>
                  </w:pPr>
                  <w:r>
                    <w:rPr>
                      <w:rFonts w:hint="eastAsia" w:ascii="宋体" w:hAnsi="宋体"/>
                      <w:b w:val="0"/>
                      <w:bCs w:val="0"/>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83" w:type="dxa"/>
                  <w:tcBorders>
                    <w:top w:val="single" w:color="auto" w:sz="4" w:space="0"/>
                    <w:left w:val="single" w:color="auto" w:sz="4" w:space="0"/>
                    <w:bottom w:val="single" w:color="auto" w:sz="4" w:space="0"/>
                    <w:right w:val="single" w:color="auto" w:sz="4" w:space="0"/>
                  </w:tcBorders>
                  <w:vAlign w:val="center"/>
                </w:tcPr>
                <w:p>
                  <w:pPr>
                    <w:pStyle w:val="28"/>
                    <w:jc w:val="both"/>
                    <w:rPr>
                      <w:b w:val="0"/>
                      <w:bCs w:val="0"/>
                      <w:color w:val="auto"/>
                      <w:lang w:eastAsia="zh-CN"/>
                    </w:rPr>
                  </w:pPr>
                  <w:r>
                    <w:rPr>
                      <w:rFonts w:hint="eastAsia"/>
                      <w:b w:val="0"/>
                      <w:bCs w:val="0"/>
                      <w:color w:val="auto"/>
                      <w:lang w:eastAsia="zh-CN"/>
                    </w:rPr>
                    <w:t>3</w:t>
                  </w:r>
                  <w:r>
                    <w:rPr>
                      <w:b w:val="0"/>
                      <w:bCs w:val="0"/>
                      <w:color w:val="auto"/>
                      <w:lang w:eastAsia="zh-CN"/>
                    </w:rPr>
                    <w:t>.4</w:t>
                  </w:r>
                  <w:r>
                    <w:rPr>
                      <w:rFonts w:hint="eastAsia" w:ascii="宋体" w:hAnsi="宋体"/>
                      <w:b w:val="0"/>
                      <w:bCs w:val="0"/>
                      <w:color w:val="auto"/>
                      <w:lang w:eastAsia="zh-CN"/>
                    </w:rPr>
                    <w:t>保护生态空间</w:t>
                  </w:r>
                </w:p>
                <w:p>
                  <w:pPr>
                    <w:pStyle w:val="28"/>
                    <w:jc w:val="both"/>
                    <w:rPr>
                      <w:b w:val="0"/>
                      <w:bCs w:val="0"/>
                      <w:color w:val="auto"/>
                      <w:lang w:eastAsia="zh-CN"/>
                    </w:rPr>
                  </w:pPr>
                  <w:r>
                    <w:rPr>
                      <w:rFonts w:hint="eastAsia" w:ascii="宋体" w:hAnsi="宋体"/>
                      <w:b w:val="0"/>
                      <w:bCs w:val="0"/>
                      <w:color w:val="auto"/>
                      <w:lang w:eastAsia="zh-CN"/>
                    </w:rPr>
                    <w:t>加强水土流失防控与治理。在丘陵山地水土流失严重地区</w:t>
                  </w:r>
                  <w:r>
                    <w:rPr>
                      <w:b w:val="0"/>
                      <w:bCs w:val="0"/>
                      <w:color w:val="auto"/>
                      <w:lang w:eastAsia="zh-CN"/>
                    </w:rPr>
                    <w:t>，</w:t>
                  </w:r>
                  <w:r>
                    <w:rPr>
                      <w:rFonts w:hint="eastAsia" w:ascii="宋体" w:hAnsi="宋体"/>
                      <w:b w:val="0"/>
                      <w:bCs w:val="0"/>
                      <w:color w:val="auto"/>
                      <w:lang w:eastAsia="zh-CN"/>
                    </w:rPr>
                    <w:t>适度限制该区域农牧林业的生产活动通过进行高陡坡治理、提高林草覆盖率、改善河道通畅性等方式治理</w:t>
                  </w:r>
                  <w:r>
                    <w:rPr>
                      <w:b w:val="0"/>
                      <w:bCs w:val="0"/>
                      <w:color w:val="auto"/>
                      <w:lang w:eastAsia="zh-CN"/>
                    </w:rPr>
                    <w:t xml:space="preserve"> </w:t>
                  </w:r>
                  <w:r>
                    <w:rPr>
                      <w:rFonts w:hint="eastAsia" w:ascii="宋体" w:hAnsi="宋体"/>
                      <w:b w:val="0"/>
                      <w:bCs w:val="0"/>
                      <w:color w:val="auto"/>
                      <w:lang w:eastAsia="zh-CN"/>
                    </w:rPr>
                    <w:t>水土流失。</w:t>
                  </w:r>
                </w:p>
              </w:tc>
              <w:tc>
                <w:tcPr>
                  <w:tcW w:w="3057" w:type="dxa"/>
                  <w:tcBorders>
                    <w:top w:val="single" w:color="auto" w:sz="4" w:space="0"/>
                    <w:left w:val="single" w:color="auto" w:sz="4" w:space="0"/>
                    <w:bottom w:val="single" w:color="auto" w:sz="4" w:space="0"/>
                    <w:right w:val="single" w:color="auto" w:sz="4" w:space="0"/>
                  </w:tcBorders>
                  <w:vAlign w:val="center"/>
                </w:tcPr>
                <w:p>
                  <w:pPr>
                    <w:pStyle w:val="28"/>
                    <w:jc w:val="both"/>
                    <w:rPr>
                      <w:b w:val="0"/>
                      <w:bCs w:val="0"/>
                      <w:color w:val="auto"/>
                      <w:lang w:eastAsia="zh-CN"/>
                    </w:rPr>
                  </w:pPr>
                  <w:r>
                    <w:rPr>
                      <w:rFonts w:hint="eastAsia" w:ascii="宋体" w:hAnsi="宋体"/>
                      <w:b w:val="0"/>
                      <w:bCs w:val="0"/>
                      <w:color w:val="auto"/>
                      <w:lang w:eastAsia="zh-CN"/>
                    </w:rPr>
                    <w:t>本项目属于基础设施建设项目，塔基占地面积小且呈点状不连续分布，进行一次性经济补偿的方式，确保基本农田地力等级不降低，且仅塔基四角的基础占地，其余地方均可种植，实际占用耕地面积较小，对农产品的生产能力以及生态环境的影响较小，符合规划要求。</w:t>
                  </w:r>
                </w:p>
              </w:tc>
              <w:tc>
                <w:tcPr>
                  <w:tcW w:w="749" w:type="dxa"/>
                  <w:tcBorders>
                    <w:top w:val="single" w:color="auto" w:sz="4" w:space="0"/>
                    <w:left w:val="single" w:color="auto" w:sz="4" w:space="0"/>
                    <w:bottom w:val="single" w:color="auto" w:sz="4" w:space="0"/>
                    <w:right w:val="single" w:color="auto" w:sz="4" w:space="0"/>
                  </w:tcBorders>
                  <w:vAlign w:val="center"/>
                </w:tcPr>
                <w:p>
                  <w:pPr>
                    <w:pStyle w:val="28"/>
                    <w:rPr>
                      <w:b w:val="0"/>
                      <w:bCs w:val="0"/>
                      <w:color w:val="auto"/>
                    </w:rPr>
                  </w:pPr>
                  <w:r>
                    <w:rPr>
                      <w:rFonts w:hint="eastAsia" w:ascii="宋体" w:hAnsi="宋体"/>
                      <w:b w:val="0"/>
                      <w:bCs w:val="0"/>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83" w:type="dxa"/>
                  <w:tcBorders>
                    <w:top w:val="single" w:color="auto" w:sz="4" w:space="0"/>
                    <w:left w:val="single" w:color="auto" w:sz="4" w:space="0"/>
                    <w:bottom w:val="single" w:color="auto" w:sz="4" w:space="0"/>
                    <w:right w:val="single" w:color="auto" w:sz="4" w:space="0"/>
                  </w:tcBorders>
                  <w:vAlign w:val="center"/>
                </w:tcPr>
                <w:p>
                  <w:pPr>
                    <w:pStyle w:val="28"/>
                    <w:jc w:val="both"/>
                    <w:rPr>
                      <w:b w:val="0"/>
                      <w:bCs w:val="0"/>
                      <w:color w:val="auto"/>
                      <w:lang w:eastAsia="zh-CN"/>
                    </w:rPr>
                  </w:pPr>
                  <w:r>
                    <w:rPr>
                      <w:rFonts w:hint="eastAsia"/>
                      <w:b w:val="0"/>
                      <w:bCs w:val="0"/>
                      <w:color w:val="auto"/>
                      <w:lang w:eastAsia="zh-CN"/>
                    </w:rPr>
                    <w:t>4</w:t>
                  </w:r>
                  <w:r>
                    <w:rPr>
                      <w:b w:val="0"/>
                      <w:bCs w:val="0"/>
                      <w:color w:val="auto"/>
                      <w:lang w:eastAsia="zh-CN"/>
                    </w:rPr>
                    <w:t>.3</w:t>
                  </w:r>
                  <w:r>
                    <w:rPr>
                      <w:rFonts w:hint="eastAsia" w:ascii="宋体" w:hAnsi="宋体"/>
                      <w:b w:val="0"/>
                      <w:bCs w:val="0"/>
                      <w:color w:val="auto"/>
                      <w:lang w:eastAsia="zh-CN"/>
                    </w:rPr>
                    <w:t>建设绿色智慧的市政设施体系</w:t>
                  </w:r>
                </w:p>
                <w:p>
                  <w:pPr>
                    <w:pStyle w:val="28"/>
                    <w:jc w:val="both"/>
                    <w:rPr>
                      <w:b w:val="0"/>
                      <w:bCs w:val="0"/>
                      <w:color w:val="auto"/>
                      <w:lang w:eastAsia="zh-CN"/>
                    </w:rPr>
                  </w:pPr>
                  <w:r>
                    <w:rPr>
                      <w:rFonts w:hint="eastAsia" w:ascii="宋体" w:hAnsi="宋体"/>
                      <w:b w:val="0"/>
                      <w:bCs w:val="0"/>
                      <w:color w:val="auto"/>
                      <w:lang w:eastAsia="zh-CN"/>
                    </w:rPr>
                    <w:t>供电。打造安全高效、能力充足的绿色智能电网</w:t>
                  </w:r>
                  <w:r>
                    <w:rPr>
                      <w:b w:val="0"/>
                      <w:bCs w:val="0"/>
                      <w:color w:val="auto"/>
                      <w:lang w:eastAsia="zh-CN"/>
                    </w:rPr>
                    <w:t>，</w:t>
                  </w:r>
                  <w:r>
                    <w:rPr>
                      <w:rFonts w:hint="eastAsia" w:ascii="宋体" w:hAnsi="宋体"/>
                      <w:b w:val="0"/>
                      <w:bCs w:val="0"/>
                      <w:color w:val="auto"/>
                      <w:lang w:eastAsia="zh-CN"/>
                    </w:rPr>
                    <w:t>坚持绿色供电，增强区域电力供应。</w:t>
                  </w:r>
                </w:p>
              </w:tc>
              <w:tc>
                <w:tcPr>
                  <w:tcW w:w="3057" w:type="dxa"/>
                  <w:tcBorders>
                    <w:top w:val="single" w:color="auto" w:sz="4" w:space="0"/>
                    <w:left w:val="single" w:color="auto" w:sz="4" w:space="0"/>
                    <w:bottom w:val="single" w:color="auto" w:sz="4" w:space="0"/>
                    <w:right w:val="single" w:color="auto" w:sz="4" w:space="0"/>
                  </w:tcBorders>
                  <w:vAlign w:val="center"/>
                </w:tcPr>
                <w:p>
                  <w:pPr>
                    <w:pStyle w:val="28"/>
                    <w:jc w:val="both"/>
                    <w:rPr>
                      <w:b w:val="0"/>
                      <w:bCs w:val="0"/>
                      <w:color w:val="auto"/>
                      <w:lang w:eastAsia="zh-CN"/>
                    </w:rPr>
                  </w:pPr>
                  <w:r>
                    <w:rPr>
                      <w:rFonts w:hint="eastAsia" w:ascii="宋体" w:hAnsi="宋体"/>
                      <w:b w:val="0"/>
                      <w:bCs w:val="0"/>
                      <w:color w:val="auto"/>
                      <w:lang w:eastAsia="zh-CN"/>
                    </w:rPr>
                    <w:t>本项目为输电线路工程，增强了区域电力供应。</w:t>
                  </w:r>
                </w:p>
              </w:tc>
              <w:tc>
                <w:tcPr>
                  <w:tcW w:w="749" w:type="dxa"/>
                  <w:tcBorders>
                    <w:top w:val="single" w:color="auto" w:sz="4" w:space="0"/>
                    <w:left w:val="single" w:color="auto" w:sz="4" w:space="0"/>
                    <w:bottom w:val="single" w:color="auto" w:sz="4" w:space="0"/>
                    <w:right w:val="single" w:color="auto" w:sz="4" w:space="0"/>
                  </w:tcBorders>
                  <w:vAlign w:val="center"/>
                </w:tcPr>
                <w:p>
                  <w:pPr>
                    <w:pStyle w:val="28"/>
                    <w:rPr>
                      <w:b w:val="0"/>
                      <w:bCs w:val="0"/>
                      <w:color w:val="auto"/>
                    </w:rPr>
                  </w:pPr>
                  <w:r>
                    <w:rPr>
                      <w:rFonts w:hint="eastAsia" w:ascii="宋体" w:hAnsi="宋体"/>
                      <w:b w:val="0"/>
                      <w:bCs w:val="0"/>
                      <w:color w:val="auto"/>
                    </w:rPr>
                    <w:t>符合</w:t>
                  </w:r>
                </w:p>
              </w:tc>
            </w:tr>
          </w:tbl>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FF0000"/>
                <w:sz w:val="24"/>
                <w:szCs w:val="24"/>
                <w:vertAlign w:val="baseline"/>
              </w:rPr>
            </w:pPr>
          </w:p>
          <w:p>
            <w:pPr>
              <w:pStyle w:val="5"/>
              <w:rPr>
                <w:rFonts w:hint="eastAsia"/>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9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bCs/>
                <w:caps w:val="0"/>
                <w:color w:val="FF0000"/>
                <w:sz w:val="24"/>
                <w:szCs w:val="24"/>
                <w:lang w:val="en-US" w:eastAsia="zh-CN"/>
              </w:rPr>
            </w:pPr>
            <w:r>
              <w:rPr>
                <w:rFonts w:hint="eastAsia" w:ascii="Times New Roman" w:hAnsi="Times New Roman" w:eastAsia="宋体" w:cs="Times New Roman"/>
                <w:b/>
                <w:bCs/>
                <w:caps w:val="0"/>
                <w:color w:val="auto"/>
                <w:sz w:val="24"/>
                <w:szCs w:val="24"/>
                <w:lang w:val="en-US" w:eastAsia="zh-CN"/>
              </w:rPr>
              <w:t>其他符合性分析</w:t>
            </w:r>
          </w:p>
        </w:tc>
        <w:tc>
          <w:tcPr>
            <w:tcW w:w="7912" w:type="dxa"/>
            <w:gridSpan w:val="3"/>
            <w:vAlign w:val="center"/>
          </w:tcPr>
          <w:p>
            <w:pPr>
              <w:pStyle w:val="32"/>
              <w:keepNext w:val="0"/>
              <w:keepLines w:val="0"/>
              <w:pageBreakBefore w:val="0"/>
              <w:widowControl/>
              <w:kinsoku/>
              <w:wordWrap/>
              <w:overflowPunct/>
              <w:topLinePunct w:val="0"/>
              <w:autoSpaceDE/>
              <w:autoSpaceDN/>
              <w:bidi w:val="0"/>
              <w:adjustRightInd w:val="0"/>
              <w:snapToGrid/>
              <w:spacing w:after="0" w:line="360" w:lineRule="auto"/>
              <w:ind w:left="0" w:leftChars="0" w:firstLineChars="200"/>
              <w:jc w:val="both"/>
              <w:textAlignment w:val="auto"/>
              <w:rPr>
                <w:rFonts w:hint="eastAsia" w:ascii="Times New Roman" w:hAnsi="Times New Roman" w:eastAsia="宋体" w:cs="Times New Roman"/>
                <w:b/>
                <w:bCs/>
                <w:caps w:val="0"/>
                <w:color w:val="auto"/>
                <w:sz w:val="24"/>
                <w:szCs w:val="24"/>
                <w:lang w:val="en-US" w:eastAsia="zh-CN"/>
              </w:rPr>
            </w:pPr>
            <w:r>
              <w:rPr>
                <w:rFonts w:hint="eastAsia" w:ascii="Times New Roman" w:hAnsi="Times New Roman" w:eastAsia="宋体" w:cs="Times New Roman"/>
                <w:b/>
                <w:bCs/>
                <w:caps w:val="0"/>
                <w:color w:val="auto"/>
                <w:sz w:val="24"/>
                <w:szCs w:val="24"/>
                <w:lang w:val="en-US" w:eastAsia="zh-CN"/>
              </w:rPr>
              <w:t xml:space="preserve">1、产业政策符合性分析 </w:t>
            </w:r>
          </w:p>
          <w:p>
            <w:pPr>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根据《建设项目环境影响评价分类管理名录（2021年版）》，本项目属于“五十五、核与辐射，161、输变电工程中的其他（100千伏以下除外）”，应编制报告表；本项目属于《产业结构调整指导目录（2024年本）》“鼓励类”中“四、电力2电力基础设施建设”中“电网改造与建设 ”，符合国家有关的产业政策。</w:t>
            </w:r>
          </w:p>
          <w:p>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项目已取得朝阳市龙城区发展和改革局文件出具的《关于朝阳国宏100MW储能项目220千伏送出工程项目核准的批复》（</w:t>
            </w:r>
            <w:r>
              <w:rPr>
                <w:rFonts w:hint="eastAsia" w:ascii="Times New Roman" w:hAnsi="Times New Roman" w:eastAsia="宋体" w:cs="Times New Roman"/>
                <w:color w:val="auto"/>
                <w:sz w:val="24"/>
                <w:szCs w:val="24"/>
                <w:vertAlign w:val="baseline"/>
                <w:lang w:val="en-US" w:eastAsia="zh-CN"/>
              </w:rPr>
              <w:t>朝龙发改核准〔2026〕1号</w:t>
            </w:r>
            <w:r>
              <w:rPr>
                <w:rFonts w:hint="eastAsia" w:ascii="Times New Roman" w:hAnsi="Times New Roman" w:eastAsia="宋体" w:cs="Times New Roman"/>
                <w:color w:val="auto"/>
                <w:sz w:val="24"/>
                <w:szCs w:val="24"/>
                <w:highlight w:val="none"/>
                <w:lang w:val="en-US" w:eastAsia="zh-CN"/>
              </w:rPr>
              <w:t>），</w:t>
            </w:r>
            <w:r>
              <w:rPr>
                <w:color w:val="auto"/>
                <w:spacing w:val="1"/>
                <w:sz w:val="24"/>
                <w:szCs w:val="24"/>
              </w:rPr>
              <w:t>项目建设符合国家和</w:t>
            </w:r>
            <w:r>
              <w:rPr>
                <w:color w:val="auto"/>
                <w:spacing w:val="-2"/>
                <w:sz w:val="24"/>
                <w:szCs w:val="24"/>
              </w:rPr>
              <w:t>地方产业政策。</w:t>
            </w:r>
          </w:p>
          <w:p>
            <w:pPr>
              <w:numPr>
                <w:ilvl w:val="0"/>
                <w:numId w:val="0"/>
              </w:numPr>
              <w:spacing w:line="360" w:lineRule="auto"/>
              <w:ind w:firstLine="482" w:firstLineChars="200"/>
              <w:rPr>
                <w:rFonts w:hint="eastAsia" w:ascii="Times New Roman" w:hAnsi="Times New Roman" w:eastAsia="宋体" w:cs="Times New Roman"/>
                <w:b/>
                <w:bCs/>
                <w:caps w:val="0"/>
                <w:color w:val="auto"/>
                <w:kern w:val="0"/>
                <w:sz w:val="24"/>
                <w:szCs w:val="24"/>
                <w:lang w:val="en-US" w:eastAsia="zh-CN" w:bidi="ar-SA"/>
              </w:rPr>
            </w:pPr>
            <w:r>
              <w:rPr>
                <w:rFonts w:hint="eastAsia" w:ascii="Times New Roman" w:hAnsi="Times New Roman" w:eastAsia="宋体" w:cs="Times New Roman"/>
                <w:b/>
                <w:bCs/>
                <w:caps w:val="0"/>
                <w:color w:val="auto"/>
                <w:kern w:val="0"/>
                <w:sz w:val="24"/>
                <w:szCs w:val="24"/>
                <w:lang w:val="en-US" w:eastAsia="zh-CN" w:bidi="ar-SA"/>
              </w:rPr>
              <w:t>2、项目建设与《朝阳市生态环境分区管控动态更新方案（2023 年）》符合性分析</w:t>
            </w:r>
          </w:p>
          <w:p>
            <w:pPr>
              <w:pStyle w:val="38"/>
              <w:spacing w:before="4" w:line="372" w:lineRule="auto"/>
              <w:ind w:left="17" w:firstLine="416"/>
              <w:jc w:val="both"/>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根据环保部发布的《关于以改善环境质量为核心加强环境影响评价管理的通知》（环环评〔2016〕] 150 号）（以下简称《通知》），《通知》要求切实加强环境影响评价管理，落实“生态保护红线、环境质量底线、资源利用上线和环境准入负面清单”约束，建立项目环评审批与规划环评、现有项目环境管理、区域环境质量联动机制，更好地发挥环评制度从源头防范环境污染和生态破坏的作用，加快推进改善环境质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2.1与生态保护红线符合性分析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生态保护红线是生态空间范围内具有特殊重要生态功能必须实行强制性严格保护的区域。除受自然条件限制、确实无法避让的铁路、公路、航道、防洪、管道、干渠、通讯、输变电等重要基础设施项目外，在生态保护红线范围内，严控各类开发建设活动，依法不予审批新建工业项目和矿产开发项目的环评文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用地位于朝阳市龙城区边杖子镇新房村、朱杖子村，根据朝阳市自然资源局龙城分局2025年12月2日出具的《关于征求朝阳国宏100MV储能项目220KV送出工程路径的意见函的复函》：“送出工程路径不涉及龙城区已设的采矿权、拟设的探矿权勘查区块、集中开采区；不涉及生态红线；无重大项目用地设置；部分点位涉及占用永久基本农田区域。”本项目占用永久基本农田采用只占不征，进行一次性经济补偿的方式，确保基本农田地力等级不降低。</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朝阳市生态环境局龙城分局2025年12月4日出具的《关于征求朝阳国宏100MW储能项目220千伏送出工程项目路径的意见函的复函》：“220kV送出工程，工作区范围不在我区集中式饮用水水源地保护区。”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综上所述，本项目不占用生态保护红线。</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2.2环境质量底线</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本项目输电线路建成运行后无生产废水、废气产生，不产生固体废物不会对周围水环境、大气环境产生影响。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本项目所在区域为1类声环境功能区，线路运行后不会改变项目所在区域的声环境功能区现状，符合声环境质量要求。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根据预测，本项目运行后输电线路沿线环境保护目标电磁环境和声环境均可满足评价标准要求。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对整个生态系统不会造成明显不利影响，不会破坏评价区生态系统的多样性、典型性和代表性。由于塔基占地面积较小，建成后通过自然恢复和人工种植的方式，可使塔基附近的植被逐步恢复，损失植被不会影响评价区植被群落整体结构和功能，也不会影响生态系统的稳定性。对于临时占地造成的植被的暂时性破坏，通过自然恢复和人工种植，可逐步得到恢复，不会对评价区的生态系统造成明显不利影响。项目在建设期对野生动物的种群数量和生存的影响较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综上，本项目建设符合环境质量底线要求。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2.3资源利用上线</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资源是环境的载体，资源利用上线是各地区能源、水、土地等资源消耗不得突破的“天花板”。本项目为输变电项目，建成后由项目自身供电系统供应；本项目占地面积0.13hm</w:t>
            </w:r>
            <w:r>
              <w:rPr>
                <w:rFonts w:hint="eastAsia" w:ascii="Times New Roman" w:hAnsi="Times New Roman" w:eastAsia="宋体" w:cs="Times New Roman"/>
                <w:color w:val="auto"/>
                <w:sz w:val="24"/>
                <w:szCs w:val="24"/>
                <w:highlight w:val="none"/>
                <w:vertAlign w:val="superscript"/>
                <w:lang w:val="en-US" w:eastAsia="zh-CN"/>
              </w:rPr>
              <w:t>2</w:t>
            </w:r>
            <w:r>
              <w:rPr>
                <w:rFonts w:hint="eastAsia" w:ascii="Times New Roman" w:hAnsi="Times New Roman" w:eastAsia="宋体" w:cs="Times New Roman"/>
                <w:color w:val="auto"/>
                <w:sz w:val="24"/>
                <w:szCs w:val="24"/>
                <w:highlight w:val="none"/>
                <w:vertAlign w:val="baseline"/>
                <w:lang w:val="en-US" w:eastAsia="zh-CN"/>
              </w:rPr>
              <w:t>，占用永久基本农田采用只占不征，进行一次性经济补偿的方式，确保基本农田地力等级不降低</w:t>
            </w:r>
            <w:r>
              <w:rPr>
                <w:rFonts w:hint="eastAsia" w:ascii="Times New Roman" w:hAnsi="Times New Roman" w:eastAsia="宋体" w:cs="Times New Roman"/>
                <w:color w:val="auto"/>
                <w:sz w:val="24"/>
                <w:szCs w:val="24"/>
                <w:highlight w:val="none"/>
                <w:lang w:val="en-US" w:eastAsia="zh-CN"/>
              </w:rPr>
              <w:t>。本项目为能源输送基础设施，线路在运行期仅传输电能，本身不消耗其他自然资源。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color w:val="FF0000"/>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因此，项目资源利用满足要求。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2.4生态环境准入清单</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color w:val="FF0000"/>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全市共划定生态环境管控单元116个，各县（市）区管控单元情况见《朝阳市生态环境管控单元统计表》（附件1）。其中，优先保护单元61个，面积为9846平方千米，占全市国土面积的49.98%；重点管控单元38个，面积为2781平方千米，占全市国土面积的14.12%；一般管控单元17个，面积7072平方千米，占全市国土面积的35.90%。</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属于线性工程，根据查询，分别涉及的管控单位为ZH21130330001朝阳市龙城区一般管控区、ZH2113031000朝阳市龙城区一般生态空间、ZH21130320007朝阳市龙城区重点管控区7、ZH21130320006朝阳市龙城区重点管控区3。与朝阳市环境管控单元符合性分析见图和表1-4。</w:t>
            </w:r>
          </w:p>
          <w:p>
            <w:pPr>
              <w:pStyle w:val="52"/>
              <w:rPr>
                <w:color w:val="auto"/>
              </w:rPr>
            </w:pPr>
            <w:r>
              <w:rPr>
                <w:rFonts w:hint="eastAsia"/>
                <w:color w:val="auto"/>
              </w:rPr>
              <w:t>表</w:t>
            </w:r>
            <w:r>
              <w:rPr>
                <w:rFonts w:hint="default" w:ascii="Times New Roman" w:hAnsi="Times New Roman" w:cs="Times New Roman"/>
                <w:color w:val="auto"/>
              </w:rPr>
              <w:t>1-</w:t>
            </w:r>
            <w:r>
              <w:rPr>
                <w:rFonts w:hint="default" w:ascii="Times New Roman" w:hAnsi="Times New Roman" w:cs="Times New Roman"/>
                <w:color w:val="auto"/>
                <w:lang w:val="en-US" w:eastAsia="zh-CN"/>
              </w:rPr>
              <w:t>3</w:t>
            </w:r>
            <w:r>
              <w:rPr>
                <w:color w:val="auto"/>
              </w:rPr>
              <w:t xml:space="preserve">   </w:t>
            </w:r>
            <w:r>
              <w:rPr>
                <w:rFonts w:hint="eastAsia"/>
                <w:color w:val="auto"/>
              </w:rPr>
              <w:t>线路各段所在环境管控单元</w:t>
            </w:r>
          </w:p>
          <w:tbl>
            <w:tblPr>
              <w:tblStyle w:val="21"/>
              <w:tblW w:w="497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4"/>
              <w:gridCol w:w="3031"/>
              <w:gridCol w:w="977"/>
              <w:gridCol w:w="18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688" w:type="dxa"/>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管控单元编码</w:t>
                  </w:r>
                </w:p>
              </w:tc>
              <w:tc>
                <w:tcPr>
                  <w:tcW w:w="2868" w:type="dxa"/>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管控单元名称</w:t>
                  </w:r>
                </w:p>
              </w:tc>
              <w:tc>
                <w:tcPr>
                  <w:tcW w:w="924" w:type="dxa"/>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区县</w:t>
                  </w:r>
                </w:p>
              </w:tc>
              <w:tc>
                <w:tcPr>
                  <w:tcW w:w="1755" w:type="dxa"/>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管控单元分类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1688" w:type="dxa"/>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ZH21130330001</w:t>
                  </w:r>
                </w:p>
              </w:tc>
              <w:tc>
                <w:tcPr>
                  <w:tcW w:w="2868" w:type="dxa"/>
                  <w:vAlign w:val="center"/>
                </w:tcPr>
                <w:p>
                  <w:pPr>
                    <w:pStyle w:val="28"/>
                    <w:rPr>
                      <w:rFonts w:hint="default" w:ascii="Times New Roman" w:hAnsi="Times New Roman" w:cs="Times New Roman"/>
                      <w:b w:val="0"/>
                      <w:bCs w:val="0"/>
                      <w:color w:val="auto"/>
                      <w:lang w:eastAsia="zh-CN"/>
                    </w:rPr>
                  </w:pPr>
                  <w:r>
                    <w:rPr>
                      <w:rFonts w:hint="default" w:ascii="Times New Roman" w:hAnsi="Times New Roman" w:cs="Times New Roman"/>
                      <w:b w:val="0"/>
                      <w:bCs w:val="0"/>
                      <w:color w:val="auto"/>
                      <w:lang w:eastAsia="zh-CN"/>
                    </w:rPr>
                    <w:t>朝阳市龙城区一般管控区</w:t>
                  </w:r>
                </w:p>
              </w:tc>
              <w:tc>
                <w:tcPr>
                  <w:tcW w:w="924" w:type="dxa"/>
                  <w:vAlign w:val="center"/>
                </w:tcPr>
                <w:p>
                  <w:pPr>
                    <w:pStyle w:val="28"/>
                    <w:rPr>
                      <w:rFonts w:hint="default"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lang w:val="en-US" w:eastAsia="zh-CN"/>
                    </w:rPr>
                    <w:t>龙城区</w:t>
                  </w:r>
                </w:p>
              </w:tc>
              <w:tc>
                <w:tcPr>
                  <w:tcW w:w="1755" w:type="dxa"/>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一般管控区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1688" w:type="dxa"/>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ZH21130310004</w:t>
                  </w:r>
                </w:p>
              </w:tc>
              <w:tc>
                <w:tcPr>
                  <w:tcW w:w="2868" w:type="dxa"/>
                  <w:vAlign w:val="center"/>
                </w:tcPr>
                <w:p>
                  <w:pPr>
                    <w:pStyle w:val="28"/>
                    <w:rPr>
                      <w:rFonts w:hint="default" w:ascii="Times New Roman" w:hAnsi="Times New Roman" w:cs="Times New Roman"/>
                      <w:b w:val="0"/>
                      <w:bCs w:val="0"/>
                      <w:color w:val="auto"/>
                      <w:lang w:eastAsia="zh-CN"/>
                    </w:rPr>
                  </w:pPr>
                  <w:r>
                    <w:rPr>
                      <w:rFonts w:hint="default" w:ascii="Times New Roman" w:hAnsi="Times New Roman" w:cs="Times New Roman"/>
                      <w:b w:val="0"/>
                      <w:bCs w:val="0"/>
                      <w:color w:val="auto"/>
                      <w:lang w:eastAsia="zh-CN"/>
                    </w:rPr>
                    <w:t>朝阳市龙城区一般生态空间</w:t>
                  </w:r>
                </w:p>
              </w:tc>
              <w:tc>
                <w:tcPr>
                  <w:tcW w:w="924" w:type="dxa"/>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lang w:val="en-US" w:eastAsia="zh-CN"/>
                    </w:rPr>
                    <w:t>龙城区</w:t>
                  </w:r>
                </w:p>
              </w:tc>
              <w:tc>
                <w:tcPr>
                  <w:tcW w:w="1755" w:type="dxa"/>
                  <w:vAlign w:val="center"/>
                </w:tcPr>
                <w:p>
                  <w:pPr>
                    <w:pStyle w:val="28"/>
                    <w:rPr>
                      <w:rFonts w:hint="default" w:ascii="Times New Roman" w:hAnsi="Times New Roman" w:cs="Times New Roman" w:eastAsiaTheme="minorEastAsia"/>
                      <w:b w:val="0"/>
                      <w:bCs w:val="0"/>
                      <w:color w:val="auto"/>
                      <w:lang w:val="en-US" w:eastAsia="zh-CN"/>
                    </w:rPr>
                  </w:pPr>
                  <w:r>
                    <w:rPr>
                      <w:rFonts w:hint="default" w:ascii="Times New Roman" w:hAnsi="Times New Roman" w:cs="Times New Roman"/>
                      <w:b w:val="0"/>
                      <w:bCs w:val="0"/>
                      <w:color w:val="auto"/>
                      <w:lang w:val="en-US" w:eastAsia="zh-CN"/>
                    </w:rPr>
                    <w:t>优先保护区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1688" w:type="dxa"/>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ZH21130320007</w:t>
                  </w:r>
                </w:p>
              </w:tc>
              <w:tc>
                <w:tcPr>
                  <w:tcW w:w="2868" w:type="dxa"/>
                  <w:vAlign w:val="center"/>
                </w:tcPr>
                <w:p>
                  <w:pPr>
                    <w:pStyle w:val="28"/>
                    <w:rPr>
                      <w:rFonts w:hint="default" w:ascii="Times New Roman" w:hAnsi="Times New Roman" w:cs="Times New Roman"/>
                      <w:b w:val="0"/>
                      <w:bCs w:val="0"/>
                      <w:color w:val="auto"/>
                      <w:lang w:eastAsia="zh-CN"/>
                    </w:rPr>
                  </w:pPr>
                  <w:r>
                    <w:rPr>
                      <w:rFonts w:hint="default" w:ascii="Times New Roman" w:hAnsi="Times New Roman" w:cs="Times New Roman"/>
                      <w:b w:val="0"/>
                      <w:bCs w:val="0"/>
                      <w:color w:val="auto"/>
                      <w:lang w:eastAsia="zh-CN"/>
                    </w:rPr>
                    <w:t>朝阳市龙城区重点管控区7</w:t>
                  </w:r>
                </w:p>
              </w:tc>
              <w:tc>
                <w:tcPr>
                  <w:tcW w:w="924" w:type="dxa"/>
                  <w:vAlign w:val="center"/>
                </w:tcPr>
                <w:p>
                  <w:pPr>
                    <w:pStyle w:val="28"/>
                    <w:ind w:firstLine="0" w:firstLineChars="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龙城区</w:t>
                  </w:r>
                </w:p>
              </w:tc>
              <w:tc>
                <w:tcPr>
                  <w:tcW w:w="1755" w:type="dxa"/>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lang w:eastAsia="zh-CN"/>
                    </w:rPr>
                    <w:t>重点管控区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jc w:val="center"/>
              </w:trPr>
              <w:tc>
                <w:tcPr>
                  <w:tcW w:w="1688" w:type="dxa"/>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ZH21130320006</w:t>
                  </w:r>
                </w:p>
              </w:tc>
              <w:tc>
                <w:tcPr>
                  <w:tcW w:w="2868" w:type="dxa"/>
                  <w:vAlign w:val="center"/>
                </w:tcPr>
                <w:p>
                  <w:pPr>
                    <w:pStyle w:val="28"/>
                    <w:rPr>
                      <w:rFonts w:hint="default" w:ascii="Times New Roman" w:hAnsi="Times New Roman" w:cs="Times New Roman"/>
                      <w:b w:val="0"/>
                      <w:bCs w:val="0"/>
                      <w:color w:val="auto"/>
                      <w:lang w:eastAsia="zh-CN"/>
                    </w:rPr>
                  </w:pPr>
                  <w:r>
                    <w:rPr>
                      <w:rFonts w:hint="default" w:ascii="Times New Roman" w:hAnsi="Times New Roman" w:cs="Times New Roman"/>
                      <w:b w:val="0"/>
                      <w:bCs w:val="0"/>
                      <w:color w:val="auto"/>
                      <w:lang w:eastAsia="zh-CN"/>
                    </w:rPr>
                    <w:t>朝阳市龙城区重点管控区</w:t>
                  </w:r>
                  <w:r>
                    <w:rPr>
                      <w:rFonts w:hint="default" w:ascii="Times New Roman" w:hAnsi="Times New Roman" w:cs="Times New Roman"/>
                      <w:b w:val="0"/>
                      <w:bCs w:val="0"/>
                      <w:color w:val="auto"/>
                      <w:lang w:val="en-US" w:eastAsia="zh-CN"/>
                    </w:rPr>
                    <w:t>3</w:t>
                  </w:r>
                </w:p>
              </w:tc>
              <w:tc>
                <w:tcPr>
                  <w:tcW w:w="924" w:type="dxa"/>
                  <w:vAlign w:val="center"/>
                </w:tcPr>
                <w:p>
                  <w:pPr>
                    <w:pStyle w:val="28"/>
                    <w:ind w:firstLine="0" w:firstLineChars="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龙城区</w:t>
                  </w:r>
                </w:p>
              </w:tc>
              <w:tc>
                <w:tcPr>
                  <w:tcW w:w="1755" w:type="dxa"/>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lang w:eastAsia="zh-CN"/>
                    </w:rPr>
                    <w:t>重点管控区</w:t>
                  </w:r>
                </w:p>
              </w:tc>
            </w:tr>
          </w:tbl>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bCs/>
                <w:caps w:val="0"/>
                <w:color w:val="FF0000"/>
                <w:sz w:val="24"/>
                <w:szCs w:val="24"/>
                <w:highlight w:val="none"/>
                <w:lang w:val="en-US" w:eastAsia="zh-CN"/>
              </w:rPr>
            </w:pPr>
          </w:p>
          <w:p>
            <w:pPr>
              <w:pStyle w:val="5"/>
              <w:rPr>
                <w:rFonts w:hint="eastAsia" w:ascii="Times New Roman" w:hAnsi="Times New Roman" w:eastAsia="宋体" w:cs="Times New Roman"/>
                <w:b/>
                <w:bCs/>
                <w:caps w:val="0"/>
                <w:color w:val="FF0000"/>
                <w:sz w:val="24"/>
                <w:szCs w:val="24"/>
                <w:highlight w:val="none"/>
                <w:lang w:val="en-US" w:eastAsia="zh-CN"/>
              </w:rPr>
            </w:pPr>
          </w:p>
          <w:p>
            <w:pPr>
              <w:rPr>
                <w:rFonts w:hint="eastAsia" w:ascii="Times New Roman" w:hAnsi="Times New Roman" w:eastAsia="宋体" w:cs="Times New Roman"/>
                <w:b/>
                <w:bCs/>
                <w:caps w:val="0"/>
                <w:color w:val="FF0000"/>
                <w:sz w:val="24"/>
                <w:szCs w:val="24"/>
                <w:highlight w:val="none"/>
                <w:lang w:val="en-US" w:eastAsia="zh-CN"/>
              </w:rPr>
            </w:pPr>
          </w:p>
          <w:p>
            <w:pPr>
              <w:pStyle w:val="5"/>
              <w:rPr>
                <w:rFonts w:hint="eastAsia" w:ascii="Times New Roman" w:hAnsi="Times New Roman" w:eastAsia="宋体" w:cs="Times New Roman"/>
                <w:b/>
                <w:bCs/>
                <w:caps w:val="0"/>
                <w:color w:val="FF0000"/>
                <w:sz w:val="24"/>
                <w:szCs w:val="24"/>
                <w:highlight w:val="none"/>
                <w:lang w:val="en-US" w:eastAsia="zh-CN"/>
              </w:rPr>
            </w:pPr>
          </w:p>
          <w:p>
            <w:pPr>
              <w:rPr>
                <w:rFonts w:hint="eastAsia" w:ascii="Times New Roman" w:hAnsi="Times New Roman" w:eastAsia="宋体" w:cs="Times New Roman"/>
                <w:b/>
                <w:bCs/>
                <w:caps w:val="0"/>
                <w:color w:val="FF0000"/>
                <w:sz w:val="24"/>
                <w:szCs w:val="24"/>
                <w:highlight w:val="none"/>
                <w:lang w:val="en-US" w:eastAsia="zh-CN"/>
              </w:rPr>
            </w:pPr>
          </w:p>
          <w:p>
            <w:pPr>
              <w:pStyle w:val="5"/>
              <w:rPr>
                <w:rFonts w:hint="eastAsia" w:ascii="Times New Roman" w:hAnsi="Times New Roman" w:eastAsia="宋体" w:cs="Times New Roman"/>
                <w:b/>
                <w:bCs/>
                <w:caps w:val="0"/>
                <w:color w:val="FF0000"/>
                <w:sz w:val="24"/>
                <w:szCs w:val="24"/>
                <w:highlight w:val="none"/>
                <w:lang w:val="en-US" w:eastAsia="zh-CN"/>
              </w:rPr>
            </w:pPr>
          </w:p>
          <w:p>
            <w:pPr>
              <w:rPr>
                <w:rFonts w:hint="eastAsia" w:ascii="Times New Roman" w:hAnsi="Times New Roman" w:eastAsia="宋体" w:cs="Times New Roman"/>
                <w:b/>
                <w:bCs/>
                <w:caps w:val="0"/>
                <w:color w:val="FF0000"/>
                <w:sz w:val="24"/>
                <w:szCs w:val="24"/>
                <w:highlight w:val="none"/>
                <w:lang w:val="en-US" w:eastAsia="zh-CN"/>
              </w:rPr>
            </w:pPr>
          </w:p>
          <w:p>
            <w:pPr>
              <w:pStyle w:val="5"/>
              <w:rPr>
                <w:rFonts w:hint="eastAsia" w:ascii="Times New Roman" w:hAnsi="Times New Roman" w:eastAsia="宋体" w:cs="Times New Roman"/>
                <w:b/>
                <w:bCs/>
                <w:caps w:val="0"/>
                <w:color w:val="FF0000"/>
                <w:sz w:val="24"/>
                <w:szCs w:val="24"/>
                <w:highlight w:val="none"/>
                <w:lang w:val="en-US" w:eastAsia="zh-CN"/>
              </w:rPr>
            </w:pPr>
          </w:p>
          <w:p>
            <w:pPr>
              <w:rPr>
                <w:rFonts w:hint="eastAsia" w:ascii="Times New Roman" w:hAnsi="Times New Roman" w:eastAsia="宋体" w:cs="Times New Roman"/>
                <w:b/>
                <w:bCs/>
                <w:caps w:val="0"/>
                <w:color w:val="FF0000"/>
                <w:sz w:val="24"/>
                <w:szCs w:val="24"/>
                <w:highlight w:val="none"/>
                <w:lang w:val="en-US" w:eastAsia="zh-CN"/>
              </w:rPr>
            </w:pPr>
          </w:p>
          <w:p>
            <w:pPr>
              <w:pStyle w:val="5"/>
              <w:rPr>
                <w:rFonts w:hint="eastAsia" w:ascii="Times New Roman" w:hAnsi="Times New Roman" w:eastAsia="宋体" w:cs="Times New Roman"/>
                <w:b/>
                <w:bCs/>
                <w:caps w:val="0"/>
                <w:color w:val="FF0000"/>
                <w:sz w:val="24"/>
                <w:szCs w:val="24"/>
                <w:highlight w:val="none"/>
                <w:lang w:val="en-US" w:eastAsia="zh-CN"/>
              </w:rPr>
            </w:pPr>
          </w:p>
          <w:p>
            <w:pPr>
              <w:rPr>
                <w:rFonts w:hint="eastAsia" w:ascii="Times New Roman" w:hAnsi="Times New Roman" w:eastAsia="宋体" w:cs="Times New Roman"/>
                <w:b/>
                <w:bCs/>
                <w:caps w:val="0"/>
                <w:color w:val="FF0000"/>
                <w:sz w:val="24"/>
                <w:szCs w:val="24"/>
                <w:highlight w:val="none"/>
                <w:lang w:val="en-US" w:eastAsia="zh-CN"/>
              </w:rPr>
            </w:pPr>
          </w:p>
          <w:p>
            <w:pPr>
              <w:pStyle w:val="5"/>
              <w:rPr>
                <w:rFonts w:hint="eastAsia" w:ascii="Times New Roman" w:hAnsi="Times New Roman" w:eastAsia="宋体" w:cs="Times New Roman"/>
                <w:b/>
                <w:bCs/>
                <w:caps w:val="0"/>
                <w:color w:val="FF0000"/>
                <w:sz w:val="24"/>
                <w:szCs w:val="24"/>
                <w:highlight w:val="none"/>
                <w:lang w:val="en-US" w:eastAsia="zh-CN"/>
              </w:rPr>
            </w:pPr>
          </w:p>
          <w:p>
            <w:pPr>
              <w:rPr>
                <w:rFonts w:hint="eastAsia" w:ascii="Times New Roman" w:hAnsi="Times New Roman" w:eastAsia="宋体" w:cs="Times New Roman"/>
                <w:b/>
                <w:bCs/>
                <w:caps w:val="0"/>
                <w:color w:val="FF0000"/>
                <w:sz w:val="24"/>
                <w:szCs w:val="24"/>
                <w:highlight w:val="none"/>
                <w:lang w:val="en-US" w:eastAsia="zh-CN"/>
              </w:rPr>
            </w:pPr>
          </w:p>
          <w:p>
            <w:pPr>
              <w:pStyle w:val="5"/>
              <w:rPr>
                <w:rFonts w:hint="eastAsia" w:ascii="Times New Roman" w:hAnsi="Times New Roman" w:eastAsia="宋体" w:cs="Times New Roman"/>
                <w:b/>
                <w:bCs/>
                <w:caps w:val="0"/>
                <w:color w:val="FF0000"/>
                <w:sz w:val="24"/>
                <w:szCs w:val="24"/>
                <w:highlight w:val="none"/>
                <w:lang w:val="en-US" w:eastAsia="zh-CN"/>
              </w:rPr>
            </w:pPr>
          </w:p>
          <w:p>
            <w:pPr>
              <w:rPr>
                <w:rFonts w:hint="eastAsia" w:ascii="Times New Roman" w:hAnsi="Times New Roman" w:eastAsia="宋体" w:cs="Times New Roman"/>
                <w:b/>
                <w:bCs/>
                <w:caps w:val="0"/>
                <w:color w:val="FF0000"/>
                <w:sz w:val="24"/>
                <w:szCs w:val="24"/>
                <w:highlight w:val="none"/>
                <w:lang w:val="en-US" w:eastAsia="zh-CN"/>
              </w:rPr>
            </w:pPr>
          </w:p>
          <w:p>
            <w:pPr>
              <w:pStyle w:val="5"/>
              <w:rPr>
                <w:rFonts w:hint="eastAsia" w:ascii="Times New Roman" w:hAnsi="Times New Roman" w:eastAsia="宋体" w:cs="Times New Roman"/>
                <w:b/>
                <w:bCs/>
                <w:caps w:val="0"/>
                <w:color w:val="FF0000"/>
                <w:sz w:val="24"/>
                <w:szCs w:val="24"/>
                <w:highlight w:val="none"/>
                <w:lang w:val="en-US" w:eastAsia="zh-CN"/>
              </w:rPr>
            </w:pPr>
          </w:p>
          <w:p>
            <w:pPr>
              <w:rPr>
                <w:rFonts w:hint="eastAsia" w:ascii="Times New Roman" w:hAnsi="Times New Roman" w:eastAsia="宋体" w:cs="Times New Roman"/>
                <w:b/>
                <w:bCs/>
                <w:caps w:val="0"/>
                <w:color w:val="FF0000"/>
                <w:sz w:val="24"/>
                <w:szCs w:val="24"/>
                <w:highlight w:val="none"/>
                <w:lang w:val="en-US" w:eastAsia="zh-CN"/>
              </w:rPr>
            </w:pPr>
          </w:p>
          <w:p>
            <w:pPr>
              <w:pStyle w:val="5"/>
              <w:rPr>
                <w:rFonts w:hint="eastAsia" w:ascii="Times New Roman" w:hAnsi="Times New Roman" w:eastAsia="宋体" w:cs="Times New Roman"/>
                <w:b/>
                <w:bCs/>
                <w:caps w:val="0"/>
                <w:color w:val="FF0000"/>
                <w:sz w:val="24"/>
                <w:szCs w:val="24"/>
                <w:highlight w:val="none"/>
                <w:lang w:val="en-US" w:eastAsia="zh-CN"/>
              </w:rPr>
            </w:pPr>
          </w:p>
          <w:p>
            <w:pPr>
              <w:rPr>
                <w:rFonts w:hint="eastAsia" w:ascii="Times New Roman" w:hAnsi="Times New Roman" w:eastAsia="宋体" w:cs="Times New Roman"/>
                <w:b/>
                <w:bCs/>
                <w:caps w:val="0"/>
                <w:color w:val="FF0000"/>
                <w:sz w:val="24"/>
                <w:szCs w:val="24"/>
                <w:highlight w:val="none"/>
                <w:lang w:val="en-US" w:eastAsia="zh-CN"/>
              </w:rPr>
            </w:pPr>
          </w:p>
          <w:p>
            <w:pPr>
              <w:pStyle w:val="5"/>
              <w:rPr>
                <w:rFonts w:hint="eastAsia" w:ascii="Times New Roman" w:hAnsi="Times New Roman" w:eastAsia="宋体" w:cs="Times New Roman"/>
                <w:b/>
                <w:bCs/>
                <w:caps w:val="0"/>
                <w:color w:val="FF0000"/>
                <w:sz w:val="24"/>
                <w:szCs w:val="24"/>
                <w:highlight w:val="none"/>
                <w:lang w:val="en-US" w:eastAsia="zh-CN"/>
              </w:rPr>
            </w:pPr>
          </w:p>
          <w:p>
            <w:pPr>
              <w:rPr>
                <w:rFonts w:hint="eastAsia" w:ascii="Times New Roman" w:hAnsi="Times New Roman" w:eastAsia="宋体" w:cs="Times New Roman"/>
                <w:b/>
                <w:bCs/>
                <w:caps w:val="0"/>
                <w:color w:val="FF0000"/>
                <w:sz w:val="24"/>
                <w:szCs w:val="24"/>
                <w:highlight w:val="none"/>
                <w:lang w:val="en-US" w:eastAsia="zh-CN"/>
              </w:rPr>
            </w:pPr>
          </w:p>
          <w:p>
            <w:pPr>
              <w:pStyle w:val="5"/>
              <w:rPr>
                <w:rFonts w:hint="eastAsia" w:ascii="Times New Roman" w:hAnsi="Times New Roman" w:eastAsia="宋体" w:cs="Times New Roman"/>
                <w:b/>
                <w:bCs/>
                <w:caps w:val="0"/>
                <w:color w:val="FF0000"/>
                <w:sz w:val="24"/>
                <w:szCs w:val="24"/>
                <w:highlight w:val="none"/>
                <w:lang w:val="en-US" w:eastAsia="zh-CN"/>
              </w:rPr>
            </w:pPr>
          </w:p>
          <w:p>
            <w:pPr>
              <w:rPr>
                <w:rFonts w:hint="eastAsia" w:ascii="Times New Roman" w:hAnsi="Times New Roman" w:eastAsia="宋体" w:cs="Times New Roman"/>
                <w:b/>
                <w:bCs/>
                <w:caps w:val="0"/>
                <w:color w:val="FF0000"/>
                <w:sz w:val="24"/>
                <w:szCs w:val="24"/>
                <w:highlight w:val="none"/>
                <w:lang w:val="en-US" w:eastAsia="zh-CN"/>
              </w:rPr>
            </w:pPr>
          </w:p>
          <w:p>
            <w:pPr>
              <w:pStyle w:val="5"/>
              <w:rPr>
                <w:rFonts w:hint="eastAsia"/>
                <w:lang w:val="en-US" w:eastAsia="zh-CN"/>
              </w:rPr>
            </w:pPr>
          </w:p>
        </w:tc>
      </w:tr>
    </w:tbl>
    <w:p>
      <w:pPr>
        <w:keepNext w:val="0"/>
        <w:keepLines w:val="0"/>
        <w:pageBreakBefore w:val="0"/>
        <w:widowControl w:val="0"/>
        <w:kinsoku/>
        <w:wordWrap/>
        <w:overflowPunct/>
        <w:topLinePunct w:val="0"/>
        <w:autoSpaceDE/>
        <w:autoSpaceDN/>
        <w:bidi w:val="0"/>
        <w:adjustRightInd/>
        <w:snapToGrid/>
        <w:spacing w:line="240" w:lineRule="auto"/>
        <w:jc w:val="left"/>
        <w:textAlignment w:val="auto"/>
        <w:outlineLvl w:val="0"/>
        <w:rPr>
          <w:rFonts w:hint="eastAsia" w:ascii="Times New Roman" w:hAnsi="Times New Roman" w:eastAsia="宋体" w:cs="Times New Roman"/>
          <w:b/>
          <w:bCs/>
          <w:color w:val="auto"/>
          <w:sz w:val="28"/>
          <w:szCs w:val="28"/>
          <w:lang w:val="en-US" w:eastAsia="zh-CN"/>
        </w:rPr>
        <w:sectPr>
          <w:footerReference r:id="rId6"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tbl>
      <w:tblPr>
        <w:tblStyle w:val="2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35"/>
        <w:gridCol w:w="128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62" w:hRule="atLeast"/>
          <w:jc w:val="center"/>
        </w:trPr>
        <w:tc>
          <w:tcPr>
            <w:tcW w:w="471"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aps w:val="0"/>
                <w:color w:val="auto"/>
                <w:sz w:val="24"/>
                <w:szCs w:val="24"/>
                <w:lang w:val="en-US" w:eastAsia="zh-CN"/>
              </w:rPr>
            </w:pPr>
            <w:r>
              <w:rPr>
                <w:rFonts w:hint="eastAsia" w:ascii="Times New Roman" w:hAnsi="Times New Roman" w:eastAsia="宋体" w:cs="Times New Roman"/>
                <w:b/>
                <w:bCs/>
                <w:caps w:val="0"/>
                <w:color w:val="auto"/>
                <w:sz w:val="24"/>
                <w:szCs w:val="24"/>
                <w:lang w:val="en-US" w:eastAsia="zh-CN"/>
              </w:rPr>
              <w:t>其他符合性分析</w:t>
            </w:r>
          </w:p>
        </w:tc>
        <w:tc>
          <w:tcPr>
            <w:tcW w:w="4528" w:type="pct"/>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eastAsia" w:eastAsiaTheme="minorEastAsia"/>
                <w:color w:val="auto"/>
                <w:lang w:eastAsia="zh-CN"/>
              </w:rPr>
            </w:pPr>
            <w:r>
              <w:rPr>
                <w:rFonts w:hint="eastAsia" w:eastAsiaTheme="minorEastAsia"/>
                <w:color w:val="auto"/>
                <w:lang w:eastAsia="zh-CN"/>
              </w:rPr>
              <w:drawing>
                <wp:inline distT="0" distB="0" distL="114300" distR="114300">
                  <wp:extent cx="3744595" cy="2056130"/>
                  <wp:effectExtent l="0" t="0" r="8255" b="1270"/>
                  <wp:docPr id="32" name="图片 32" descr="94d47223477f814d4d94d221acc9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94d47223477f814d4d94d221acc90086"/>
                          <pic:cNvPicPr>
                            <a:picLocks noChangeAspect="1"/>
                          </pic:cNvPicPr>
                        </pic:nvPicPr>
                        <pic:blipFill>
                          <a:blip r:embed="rId19"/>
                          <a:stretch>
                            <a:fillRect/>
                          </a:stretch>
                        </pic:blipFill>
                        <pic:spPr>
                          <a:xfrm>
                            <a:off x="0" y="0"/>
                            <a:ext cx="3744595" cy="2056130"/>
                          </a:xfrm>
                          <a:prstGeom prst="rect">
                            <a:avLst/>
                          </a:prstGeom>
                        </pic:spPr>
                      </pic:pic>
                    </a:graphicData>
                  </a:graphic>
                </wp:inline>
              </w:drawing>
            </w:r>
            <w:r>
              <w:rPr>
                <w:rFonts w:hint="eastAsia" w:eastAsiaTheme="minorEastAsia"/>
                <w:color w:val="auto"/>
                <w:lang w:eastAsia="zh-CN"/>
              </w:rPr>
              <w:drawing>
                <wp:inline distT="0" distB="0" distL="114300" distR="114300">
                  <wp:extent cx="3721100" cy="2040890"/>
                  <wp:effectExtent l="0" t="0" r="12700" b="16510"/>
                  <wp:docPr id="33" name="图片 33" descr="5d7263bc69456f088b0002495c12a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5d7263bc69456f088b0002495c12a240"/>
                          <pic:cNvPicPr>
                            <a:picLocks noChangeAspect="1"/>
                          </pic:cNvPicPr>
                        </pic:nvPicPr>
                        <pic:blipFill>
                          <a:blip r:embed="rId20"/>
                          <a:stretch>
                            <a:fillRect/>
                          </a:stretch>
                        </pic:blipFill>
                        <pic:spPr>
                          <a:xfrm>
                            <a:off x="0" y="0"/>
                            <a:ext cx="3721100" cy="2040890"/>
                          </a:xfrm>
                          <a:prstGeom prst="rect">
                            <a:avLst/>
                          </a:prstGeom>
                        </pic:spPr>
                      </pic:pic>
                    </a:graphicData>
                  </a:graphic>
                </wp:inline>
              </w:drawing>
            </w:r>
          </w:p>
          <w:p>
            <w:pPr>
              <w:pStyle w:val="5"/>
              <w:rPr>
                <w:rFonts w:hint="eastAsia"/>
                <w:lang w:eastAsia="zh-CN"/>
              </w:rPr>
            </w:pPr>
            <w:r>
              <w:rPr>
                <w:rFonts w:hint="eastAsia"/>
                <w:lang w:eastAsia="zh-CN"/>
              </w:rPr>
              <w:drawing>
                <wp:inline distT="0" distB="0" distL="114300" distR="114300">
                  <wp:extent cx="3719195" cy="1943735"/>
                  <wp:effectExtent l="0" t="0" r="14605" b="18415"/>
                  <wp:docPr id="70" name="图片 70" descr="0923d6f36085c93f6832a03990df2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0923d6f36085c93f6832a03990df2355"/>
                          <pic:cNvPicPr>
                            <a:picLocks noChangeAspect="1"/>
                          </pic:cNvPicPr>
                        </pic:nvPicPr>
                        <pic:blipFill>
                          <a:blip r:embed="rId21"/>
                          <a:stretch>
                            <a:fillRect/>
                          </a:stretch>
                        </pic:blipFill>
                        <pic:spPr>
                          <a:xfrm>
                            <a:off x="0" y="0"/>
                            <a:ext cx="3719195" cy="1943735"/>
                          </a:xfrm>
                          <a:prstGeom prst="rect">
                            <a:avLst/>
                          </a:prstGeom>
                        </pic:spPr>
                      </pic:pic>
                    </a:graphicData>
                  </a:graphic>
                </wp:inline>
              </w:drawing>
            </w:r>
            <w:r>
              <w:rPr>
                <w:rFonts w:hint="eastAsia"/>
                <w:lang w:eastAsia="zh-CN"/>
              </w:rPr>
              <w:drawing>
                <wp:inline distT="0" distB="0" distL="114300" distR="114300">
                  <wp:extent cx="3759200" cy="1938655"/>
                  <wp:effectExtent l="0" t="0" r="12700" b="4445"/>
                  <wp:docPr id="74" name="图片 74" descr="a06c1045b6277d6bcdbb0e95b2f56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a06c1045b6277d6bcdbb0e95b2f56841"/>
                          <pic:cNvPicPr>
                            <a:picLocks noChangeAspect="1"/>
                          </pic:cNvPicPr>
                        </pic:nvPicPr>
                        <pic:blipFill>
                          <a:blip r:embed="rId22"/>
                          <a:stretch>
                            <a:fillRect/>
                          </a:stretch>
                        </pic:blipFill>
                        <pic:spPr>
                          <a:xfrm>
                            <a:off x="0" y="0"/>
                            <a:ext cx="3759200" cy="1938655"/>
                          </a:xfrm>
                          <a:prstGeom prst="rect">
                            <a:avLst/>
                          </a:prstGeom>
                        </pic:spPr>
                      </pic:pic>
                    </a:graphicData>
                  </a:graphic>
                </wp:inline>
              </w:drawing>
            </w:r>
          </w:p>
          <w:p>
            <w:pPr>
              <w:rPr>
                <w:rFonts w:hint="eastAsia"/>
                <w:lang w:eastAsia="zh-CN"/>
              </w:rPr>
            </w:pPr>
            <w:r>
              <w:rPr>
                <w:rFonts w:hint="eastAsia"/>
                <w:lang w:eastAsia="zh-CN"/>
              </w:rPr>
              <w:drawing>
                <wp:inline distT="0" distB="0" distL="114300" distR="114300">
                  <wp:extent cx="3832860" cy="2014220"/>
                  <wp:effectExtent l="0" t="0" r="15240" b="5080"/>
                  <wp:docPr id="76" name="图片 76" descr="03400b990c465d20ac80c2d489d30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03400b990c465d20ac80c2d489d30298"/>
                          <pic:cNvPicPr>
                            <a:picLocks noChangeAspect="1"/>
                          </pic:cNvPicPr>
                        </pic:nvPicPr>
                        <pic:blipFill>
                          <a:blip r:embed="rId23"/>
                          <a:stretch>
                            <a:fillRect/>
                          </a:stretch>
                        </pic:blipFill>
                        <pic:spPr>
                          <a:xfrm>
                            <a:off x="0" y="0"/>
                            <a:ext cx="3832860" cy="2014220"/>
                          </a:xfrm>
                          <a:prstGeom prst="rect">
                            <a:avLst/>
                          </a:prstGeom>
                        </pic:spPr>
                      </pic:pic>
                    </a:graphicData>
                  </a:graphic>
                </wp:inline>
              </w:drawing>
            </w:r>
            <w:r>
              <w:rPr>
                <w:rFonts w:hint="eastAsia"/>
                <w:lang w:eastAsia="zh-CN"/>
              </w:rPr>
              <w:drawing>
                <wp:inline distT="0" distB="0" distL="114300" distR="114300">
                  <wp:extent cx="3907155" cy="1985010"/>
                  <wp:effectExtent l="0" t="0" r="17145" b="15240"/>
                  <wp:docPr id="77" name="图片 77" descr="ccdcd542cc1bbe10f9a28ffcaa28d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ccdcd542cc1bbe10f9a28ffcaa28d311"/>
                          <pic:cNvPicPr>
                            <a:picLocks noChangeAspect="1"/>
                          </pic:cNvPicPr>
                        </pic:nvPicPr>
                        <pic:blipFill>
                          <a:blip r:embed="rId24"/>
                          <a:stretch>
                            <a:fillRect/>
                          </a:stretch>
                        </pic:blipFill>
                        <pic:spPr>
                          <a:xfrm>
                            <a:off x="0" y="0"/>
                            <a:ext cx="3907155" cy="1985010"/>
                          </a:xfrm>
                          <a:prstGeom prst="rect">
                            <a:avLst/>
                          </a:prstGeom>
                        </pic:spPr>
                      </pic:pic>
                    </a:graphicData>
                  </a:graphic>
                </wp:inline>
              </w:drawing>
            </w:r>
            <w:r>
              <w:rPr>
                <w:rFonts w:hint="eastAsia"/>
                <w:lang w:eastAsia="zh-CN"/>
              </w:rPr>
              <w:drawing>
                <wp:inline distT="0" distB="0" distL="114300" distR="114300">
                  <wp:extent cx="3932555" cy="2007870"/>
                  <wp:effectExtent l="0" t="0" r="10795" b="11430"/>
                  <wp:docPr id="78" name="图片 78" descr="fe27a17fea31e236069c7f341d577a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fe27a17fea31e236069c7f341d577a00"/>
                          <pic:cNvPicPr>
                            <a:picLocks noChangeAspect="1"/>
                          </pic:cNvPicPr>
                        </pic:nvPicPr>
                        <pic:blipFill>
                          <a:blip r:embed="rId25"/>
                          <a:stretch>
                            <a:fillRect/>
                          </a:stretch>
                        </pic:blipFill>
                        <pic:spPr>
                          <a:xfrm>
                            <a:off x="0" y="0"/>
                            <a:ext cx="3932555" cy="2007870"/>
                          </a:xfrm>
                          <a:prstGeom prst="rect">
                            <a:avLst/>
                          </a:prstGeom>
                        </pic:spPr>
                      </pic:pic>
                    </a:graphicData>
                  </a:graphic>
                </wp:inline>
              </w:drawing>
            </w:r>
            <w:r>
              <w:rPr>
                <w:rFonts w:hint="eastAsia"/>
                <w:lang w:eastAsia="zh-CN"/>
              </w:rPr>
              <w:drawing>
                <wp:inline distT="0" distB="0" distL="114300" distR="114300">
                  <wp:extent cx="3859530" cy="1966595"/>
                  <wp:effectExtent l="0" t="0" r="7620" b="14605"/>
                  <wp:docPr id="79" name="图片 79" descr="623cd29cafb1cd02bfeacbdb28f38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623cd29cafb1cd02bfeacbdb28f38108"/>
                          <pic:cNvPicPr>
                            <a:picLocks noChangeAspect="1"/>
                          </pic:cNvPicPr>
                        </pic:nvPicPr>
                        <pic:blipFill>
                          <a:blip r:embed="rId26"/>
                          <a:stretch>
                            <a:fillRect/>
                          </a:stretch>
                        </pic:blipFill>
                        <pic:spPr>
                          <a:xfrm>
                            <a:off x="0" y="0"/>
                            <a:ext cx="3859530" cy="1966595"/>
                          </a:xfrm>
                          <a:prstGeom prst="rect">
                            <a:avLst/>
                          </a:prstGeom>
                        </pic:spPr>
                      </pic:pic>
                    </a:graphicData>
                  </a:graphic>
                </wp:inline>
              </w:drawing>
            </w:r>
            <w:r>
              <w:rPr>
                <w:rFonts w:hint="eastAsia"/>
                <w:lang w:eastAsia="zh-CN"/>
              </w:rPr>
              <w:drawing>
                <wp:inline distT="0" distB="0" distL="114300" distR="114300">
                  <wp:extent cx="4455160" cy="2250440"/>
                  <wp:effectExtent l="0" t="0" r="2540" b="16510"/>
                  <wp:docPr id="80" name="图片 80" descr="09fd49b2d67868c5027c54e136aea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09fd49b2d67868c5027c54e136aea071"/>
                          <pic:cNvPicPr>
                            <a:picLocks noChangeAspect="1"/>
                          </pic:cNvPicPr>
                        </pic:nvPicPr>
                        <pic:blipFill>
                          <a:blip r:embed="rId27"/>
                          <a:stretch>
                            <a:fillRect/>
                          </a:stretch>
                        </pic:blipFill>
                        <pic:spPr>
                          <a:xfrm>
                            <a:off x="0" y="0"/>
                            <a:ext cx="4455160" cy="225044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eastAsia"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图1-2  项目</w:t>
            </w:r>
            <w:r>
              <w:rPr>
                <w:rFonts w:hint="eastAsia" w:ascii="Times New Roman" w:hAnsi="Times New Roman" w:cs="Times New Roman"/>
                <w:b/>
                <w:bCs/>
                <w:color w:val="auto"/>
                <w:sz w:val="21"/>
                <w:szCs w:val="21"/>
                <w:lang w:val="en-US" w:eastAsia="zh-CN"/>
              </w:rPr>
              <w:t>“</w:t>
            </w:r>
            <w:r>
              <w:rPr>
                <w:rFonts w:hint="default" w:ascii="Times New Roman" w:hAnsi="Times New Roman" w:cs="Times New Roman"/>
                <w:b/>
                <w:bCs/>
                <w:color w:val="auto"/>
                <w:sz w:val="21"/>
                <w:szCs w:val="21"/>
                <w:lang w:val="en-US" w:eastAsia="zh-CN"/>
              </w:rPr>
              <w:t>三线一单</w:t>
            </w:r>
            <w:r>
              <w:rPr>
                <w:rFonts w:hint="eastAsia" w:ascii="Times New Roman" w:hAnsi="Times New Roman" w:cs="Times New Roman"/>
                <w:b/>
                <w:bCs/>
                <w:color w:val="auto"/>
                <w:sz w:val="21"/>
                <w:szCs w:val="21"/>
                <w:lang w:val="en-US" w:eastAsia="zh-CN"/>
              </w:rPr>
              <w:t>”</w:t>
            </w:r>
            <w:r>
              <w:rPr>
                <w:rFonts w:hint="default" w:ascii="Times New Roman" w:hAnsi="Times New Roman" w:cs="Times New Roman"/>
                <w:b/>
                <w:bCs/>
                <w:color w:val="auto"/>
                <w:sz w:val="21"/>
                <w:szCs w:val="21"/>
                <w:lang w:val="en-US" w:eastAsia="zh-CN"/>
              </w:rPr>
              <w:t>符合性分析网站查询结果</w:t>
            </w:r>
            <w:r>
              <w:rPr>
                <w:rFonts w:hint="eastAsia" w:ascii="Times New Roman" w:hAnsi="Times New Roman" w:cs="Times New Roman"/>
                <w:b/>
                <w:bCs/>
                <w:color w:val="auto"/>
                <w:sz w:val="21"/>
                <w:szCs w:val="21"/>
                <w:lang w:val="en-US" w:eastAsia="zh-CN"/>
              </w:rPr>
              <w:t>（依次从马山到储能站方向查询）</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aps w:val="0"/>
                <w:color w:val="auto"/>
                <w:sz w:val="21"/>
                <w:szCs w:val="21"/>
                <w:highlight w:val="none"/>
                <w:lang w:val="en-US" w:eastAsia="zh-CN"/>
              </w:rPr>
            </w:pPr>
            <w:r>
              <w:rPr>
                <w:rFonts w:hint="eastAsia" w:ascii="Times New Roman" w:hAnsi="Times New Roman" w:eastAsia="宋体" w:cs="Times New Roman"/>
                <w:b/>
                <w:bCs/>
                <w:caps w:val="0"/>
                <w:color w:val="auto"/>
                <w:sz w:val="21"/>
                <w:szCs w:val="21"/>
                <w:highlight w:val="none"/>
                <w:lang w:val="en-US" w:eastAsia="zh-CN"/>
              </w:rPr>
              <w:t>表1-4   本</w:t>
            </w:r>
            <w:r>
              <w:rPr>
                <w:rFonts w:hint="default" w:ascii="Times New Roman" w:hAnsi="Times New Roman" w:eastAsia="宋体" w:cs="Times New Roman"/>
                <w:b/>
                <w:bCs/>
                <w:caps w:val="0"/>
                <w:color w:val="auto"/>
                <w:sz w:val="21"/>
                <w:szCs w:val="21"/>
                <w:highlight w:val="none"/>
                <w:lang w:val="en-US" w:eastAsia="zh-CN"/>
              </w:rPr>
              <w:t>项目涉及的生态环境管控单元准入要求符合性分析</w:t>
            </w:r>
          </w:p>
          <w:tbl>
            <w:tblPr>
              <w:tblStyle w:val="3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56"/>
              <w:gridCol w:w="648"/>
              <w:gridCol w:w="683"/>
              <w:gridCol w:w="867"/>
              <w:gridCol w:w="883"/>
              <w:gridCol w:w="4400"/>
              <w:gridCol w:w="4079"/>
              <w:gridCol w:w="3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260"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pacing w:val="11"/>
                      <w:sz w:val="21"/>
                      <w:szCs w:val="21"/>
                      <w:lang w:val="en-US" w:eastAsia="zh-CN"/>
                    </w:rPr>
                    <w:t>编号</w:t>
                  </w:r>
                </w:p>
              </w:tc>
              <w:tc>
                <w:tcPr>
                  <w:tcW w:w="257"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pacing w:val="11"/>
                      <w:sz w:val="21"/>
                      <w:szCs w:val="21"/>
                      <w:lang w:val="en-US" w:eastAsia="zh-CN"/>
                    </w:rPr>
                    <w:t>市</w:t>
                  </w:r>
                </w:p>
              </w:tc>
              <w:tc>
                <w:tcPr>
                  <w:tcW w:w="270"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pacing w:val="1"/>
                      <w:sz w:val="21"/>
                      <w:szCs w:val="21"/>
                      <w:lang w:val="en-US" w:eastAsia="zh-CN"/>
                    </w:rPr>
                    <w:t>县区</w:t>
                  </w:r>
                </w:p>
              </w:tc>
              <w:tc>
                <w:tcPr>
                  <w:tcW w:w="343"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单元</w:t>
                  </w:r>
                  <w:r>
                    <w:rPr>
                      <w:rFonts w:hint="default" w:ascii="Times New Roman" w:hAnsi="Times New Roman" w:eastAsia="宋体" w:cs="Times New Roman"/>
                      <w:color w:val="auto"/>
                      <w:spacing w:val="6"/>
                      <w:sz w:val="21"/>
                      <w:szCs w:val="21"/>
                    </w:rPr>
                    <w:t>要素属性</w:t>
                  </w:r>
                </w:p>
              </w:tc>
              <w:tc>
                <w:tcPr>
                  <w:tcW w:w="350"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管控</w:t>
                  </w:r>
                  <w:r>
                    <w:rPr>
                      <w:rFonts w:hint="default" w:ascii="Times New Roman" w:hAnsi="Times New Roman" w:eastAsia="宋体" w:cs="Times New Roman"/>
                      <w:color w:val="auto"/>
                      <w:spacing w:val="6"/>
                      <w:sz w:val="21"/>
                      <w:szCs w:val="21"/>
                    </w:rPr>
                    <w:t>要求分类</w:t>
                  </w:r>
                </w:p>
              </w:tc>
              <w:tc>
                <w:tcPr>
                  <w:tcW w:w="1745"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管控要求</w:t>
                  </w:r>
                </w:p>
              </w:tc>
              <w:tc>
                <w:tcPr>
                  <w:tcW w:w="1618"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7"/>
                      <w:sz w:val="21"/>
                      <w:szCs w:val="21"/>
                      <w:lang w:val="en-US" w:eastAsia="zh-CN"/>
                    </w:rPr>
                  </w:pPr>
                  <w:r>
                    <w:rPr>
                      <w:rFonts w:hint="default" w:ascii="Times New Roman" w:hAnsi="Times New Roman" w:eastAsia="宋体" w:cs="Times New Roman"/>
                      <w:color w:val="auto"/>
                      <w:spacing w:val="7"/>
                      <w:sz w:val="21"/>
                      <w:szCs w:val="21"/>
                      <w:lang w:val="en-US" w:eastAsia="zh-CN"/>
                    </w:rPr>
                    <w:t>本项目情况</w:t>
                  </w:r>
                </w:p>
              </w:tc>
              <w:tc>
                <w:tcPr>
                  <w:tcW w:w="153"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7"/>
                      <w:sz w:val="21"/>
                      <w:szCs w:val="21"/>
                      <w:lang w:val="en-US" w:eastAsia="zh-CN"/>
                    </w:rPr>
                  </w:pPr>
                  <w:r>
                    <w:rPr>
                      <w:rFonts w:hint="default" w:ascii="Times New Roman" w:hAnsi="Times New Roman" w:eastAsia="宋体" w:cs="Times New Roman"/>
                      <w:color w:val="auto"/>
                      <w:spacing w:val="7"/>
                      <w:sz w:val="21"/>
                      <w:szCs w:val="21"/>
                      <w:lang w:val="en-US"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29" w:hRule="atLeast"/>
              </w:trPr>
              <w:tc>
                <w:tcPr>
                  <w:tcW w:w="26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kern w:val="0"/>
                      <w:szCs w:val="21"/>
                      <w:lang w:eastAsia="zh-CN"/>
                    </w:rPr>
                  </w:pPr>
                  <w:r>
                    <w:rPr>
                      <w:rFonts w:hint="default" w:ascii="Times New Roman" w:hAnsi="Times New Roman" w:eastAsia="宋体" w:cs="Times New Roman"/>
                      <w:color w:val="auto"/>
                      <w:kern w:val="0"/>
                      <w:szCs w:val="21"/>
                    </w:rPr>
                    <w:t>ZH2113031000</w:t>
                  </w:r>
                  <w:r>
                    <w:rPr>
                      <w:rFonts w:hint="eastAsia" w:ascii="Times New Roman" w:hAnsi="Times New Roman" w:eastAsia="宋体" w:cs="Times New Roman"/>
                      <w:color w:val="auto"/>
                      <w:kern w:val="0"/>
                      <w:szCs w:val="21"/>
                      <w:lang w:val="en-US" w:eastAsia="zh-CN"/>
                    </w:rPr>
                    <w:t>7</w:t>
                  </w:r>
                </w:p>
              </w:tc>
              <w:tc>
                <w:tcPr>
                  <w:tcW w:w="257"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朝阳</w:t>
                  </w:r>
                  <w:r>
                    <w:rPr>
                      <w:rFonts w:hint="eastAsia" w:ascii="Times New Roman" w:hAnsi="Times New Roman" w:eastAsia="宋体" w:cs="Times New Roman"/>
                      <w:color w:val="auto"/>
                      <w:sz w:val="21"/>
                      <w:szCs w:val="21"/>
                      <w:lang w:val="en-US" w:eastAsia="zh-CN"/>
                    </w:rPr>
                    <w:t>市</w:t>
                  </w:r>
                </w:p>
              </w:tc>
              <w:tc>
                <w:tcPr>
                  <w:tcW w:w="27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lang w:val="en-US" w:eastAsia="zh-CN"/>
                    </w:rPr>
                  </w:pPr>
                  <w:r>
                    <w:rPr>
                      <w:rFonts w:hint="default" w:ascii="Times New Roman" w:hAnsi="Times New Roman" w:eastAsia="宋体" w:cs="Times New Roman"/>
                      <w:color w:val="auto"/>
                      <w:spacing w:val="-1"/>
                      <w:sz w:val="21"/>
                      <w:szCs w:val="21"/>
                      <w:lang w:val="en-US" w:eastAsia="zh-CN"/>
                    </w:rPr>
                    <w:t>龙城区</w:t>
                  </w:r>
                </w:p>
              </w:tc>
              <w:tc>
                <w:tcPr>
                  <w:tcW w:w="343"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rPr>
                    <w:t>重点管控单元</w:t>
                  </w:r>
                  <w:r>
                    <w:rPr>
                      <w:rFonts w:hint="eastAsia" w:ascii="Times New Roman" w:hAnsi="Times New Roman" w:eastAsia="宋体" w:cs="Times New Roman"/>
                      <w:color w:val="auto"/>
                      <w:kern w:val="0"/>
                      <w:szCs w:val="21"/>
                      <w:lang w:val="en-US" w:eastAsia="zh-CN"/>
                    </w:rPr>
                    <w:t>7</w:t>
                  </w:r>
                </w:p>
              </w:tc>
              <w:tc>
                <w:tcPr>
                  <w:tcW w:w="350"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21"/>
                      <w:szCs w:val="21"/>
                      <w:lang w:val="en-US" w:eastAsia="zh-CN" w:bidi="ar-SA"/>
                    </w:rPr>
                  </w:pPr>
                  <w:r>
                    <w:rPr>
                      <w:rFonts w:hint="default" w:ascii="Times New Roman" w:hAnsi="Times New Roman" w:eastAsia="宋体" w:cs="Times New Roman"/>
                      <w:color w:val="auto"/>
                      <w:spacing w:val="-1"/>
                      <w:sz w:val="21"/>
                      <w:szCs w:val="21"/>
                    </w:rPr>
                    <w:t>空间布局约束</w:t>
                  </w:r>
                </w:p>
              </w:tc>
              <w:tc>
                <w:tcPr>
                  <w:tcW w:w="174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21" w:leftChars="10" w:right="21" w:rightChars="10" w:firstLine="0"/>
                    <w:jc w:val="both"/>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1.严格遵守《关于划定并严守生态保护红线的若干意见》《辽宁省防沙治沙条例》《辽宁省人民政府关于进一步加强防沙治沙工作的实施意见》，禁止在沙区滥垦、滥牧、滥挖、滥樵和破坏水土资源。2.对禁（限）养区内养殖场户实施搬迁关闭整治工作。3.对于生态保护红线内不符合相关管理规定的人为活动，需按照尊重历史、实事求是的原则，结合自然资源禀赋和经济社会发展实际，细化退出安排。</w:t>
                  </w:r>
                </w:p>
              </w:tc>
              <w:tc>
                <w:tcPr>
                  <w:tcW w:w="161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lang w:val="en-US" w:eastAsia="zh-CN"/>
                    </w:rPr>
                  </w:pPr>
                  <w:r>
                    <w:rPr>
                      <w:rFonts w:hint="eastAsia" w:ascii="Times New Roman" w:hAnsi="Times New Roman" w:eastAsia="宋体" w:cs="Times New Roman"/>
                      <w:color w:val="auto"/>
                      <w:spacing w:val="-1"/>
                      <w:sz w:val="21"/>
                      <w:szCs w:val="21"/>
                      <w:lang w:val="en-US" w:eastAsia="zh-CN"/>
                    </w:rPr>
                    <w:t>1</w:t>
                  </w:r>
                  <w:r>
                    <w:rPr>
                      <w:rFonts w:hint="eastAsia" w:ascii="宋体" w:hAnsi="宋体" w:eastAsia="宋体" w:cs="宋体"/>
                      <w:sz w:val="24"/>
                      <w:szCs w:val="24"/>
                      <w:lang w:val="en-US" w:eastAsia="zh-CN"/>
                    </w:rPr>
                    <w:t>、</w:t>
                  </w:r>
                  <w:r>
                    <w:rPr>
                      <w:rFonts w:ascii="宋体" w:hAnsi="宋体" w:eastAsia="宋体" w:cs="宋体"/>
                      <w:sz w:val="24"/>
                      <w:szCs w:val="24"/>
                    </w:rPr>
                    <w:t>本项目为输变电线路工程，属于国家级规划明确的电网基础设施项目，符合生态保护红线内允许的有限人为活动范畴</w:t>
                  </w:r>
                  <w:r>
                    <w:rPr>
                      <w:rFonts w:hint="eastAsia" w:ascii="宋体" w:hAnsi="宋体" w:eastAsia="宋体" w:cs="宋体"/>
                      <w:sz w:val="24"/>
                      <w:szCs w:val="24"/>
                      <w:lang w:eastAsia="zh-CN"/>
                    </w:rPr>
                    <w:t>；</w:t>
                  </w:r>
                  <w:r>
                    <w:rPr>
                      <w:rFonts w:ascii="宋体" w:hAnsi="宋体" w:eastAsia="宋体" w:cs="宋体"/>
                      <w:sz w:val="24"/>
                      <w:szCs w:val="24"/>
                    </w:rPr>
                    <w:t>施工期严格禁止滥垦、滥牧、滥挖、滥樵等破坏行为，采取分层剥离、表土保护、植被恢复等措施，防止土地沙化与水土流失</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2、本项目为线性输电工程，不涉及规模化养殖设施建设，不属于禁（限）养区内养殖场户，不直接占用或影响禁（限）养区现有养殖场所。3</w:t>
                  </w:r>
                  <w:r>
                    <w:rPr>
                      <w:rFonts w:ascii="宋体" w:hAnsi="宋体" w:eastAsia="宋体" w:cs="宋体"/>
                      <w:sz w:val="24"/>
                      <w:szCs w:val="24"/>
                    </w:rPr>
                    <w:t>项目</w:t>
                  </w:r>
                  <w:r>
                    <w:rPr>
                      <w:rFonts w:hint="eastAsia" w:ascii="宋体" w:hAnsi="宋体" w:eastAsia="宋体" w:cs="宋体"/>
                      <w:sz w:val="24"/>
                      <w:szCs w:val="24"/>
                      <w:lang w:val="en-US" w:eastAsia="zh-CN"/>
                    </w:rPr>
                    <w:t>评价范围内不涉及生态红线，</w:t>
                  </w:r>
                  <w:r>
                    <w:rPr>
                      <w:rFonts w:ascii="宋体" w:hAnsi="宋体" w:eastAsia="宋体" w:cs="宋体"/>
                      <w:sz w:val="24"/>
                      <w:szCs w:val="24"/>
                    </w:rPr>
                    <w:t>在生态保护红线内无新增开发性、生产性建设内容，仅为输电线路跨越，不改变区域生态功能，不涉及永久性建筑物或产业类设施，无需开展生态退出或搬迁拆除。</w:t>
                  </w:r>
                </w:p>
              </w:tc>
              <w:tc>
                <w:tcPr>
                  <w:tcW w:w="15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pacing w:val="-1"/>
                      <w:sz w:val="21"/>
                      <w:szCs w:val="21"/>
                      <w:lang w:val="en-US" w:eastAsia="zh-CN"/>
                    </w:rPr>
                  </w:pPr>
                  <w:r>
                    <w:rPr>
                      <w:rFonts w:hint="eastAsia" w:ascii="Times New Roman" w:hAnsi="Times New Roman" w:eastAsia="宋体" w:cs="Times New Roman"/>
                      <w:color w:val="auto"/>
                      <w:spacing w:val="-1"/>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29" w:hRule="atLeast"/>
              </w:trPr>
              <w:tc>
                <w:tcPr>
                  <w:tcW w:w="26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kern w:val="0"/>
                      <w:szCs w:val="21"/>
                    </w:rPr>
                  </w:pPr>
                </w:p>
              </w:tc>
              <w:tc>
                <w:tcPr>
                  <w:tcW w:w="25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lang w:val="en-US" w:eastAsia="zh-CN"/>
                    </w:rPr>
                  </w:pPr>
                </w:p>
              </w:tc>
              <w:tc>
                <w:tcPr>
                  <w:tcW w:w="27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lang w:val="en-US" w:eastAsia="zh-CN"/>
                    </w:rPr>
                  </w:pPr>
                </w:p>
              </w:tc>
              <w:tc>
                <w:tcPr>
                  <w:tcW w:w="343"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kern w:val="0"/>
                      <w:szCs w:val="21"/>
                    </w:rPr>
                  </w:pPr>
                </w:p>
              </w:tc>
              <w:tc>
                <w:tcPr>
                  <w:tcW w:w="350"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6"/>
                      <w:sz w:val="21"/>
                      <w:szCs w:val="21"/>
                    </w:rPr>
                    <w:t>污染</w:t>
                  </w:r>
                  <w:r>
                    <w:rPr>
                      <w:rFonts w:hint="default" w:ascii="Times New Roman" w:hAnsi="Times New Roman" w:eastAsia="宋体" w:cs="Times New Roman"/>
                      <w:color w:val="auto"/>
                      <w:spacing w:val="17"/>
                      <w:sz w:val="21"/>
                      <w:szCs w:val="21"/>
                    </w:rPr>
                    <w:t>物排放管</w:t>
                  </w:r>
                  <w:r>
                    <w:rPr>
                      <w:rFonts w:hint="default" w:ascii="Times New Roman" w:hAnsi="Times New Roman" w:eastAsia="宋体" w:cs="Times New Roman"/>
                      <w:color w:val="auto"/>
                      <w:sz w:val="21"/>
                      <w:szCs w:val="21"/>
                    </w:rPr>
                    <w:t>控</w:t>
                  </w:r>
                </w:p>
              </w:tc>
              <w:tc>
                <w:tcPr>
                  <w:tcW w:w="174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21" w:leftChars="10" w:right="21" w:rightChars="10" w:firstLine="0"/>
                    <w:jc w:val="both"/>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1.畜禽养殖场、养殖小区应当按照国家和省有关规定将畜禽粪便、废水进行综合利用或者无害化处理；规模化畜禽养殖场、养殖小区应当配套建设粪便污水贮存、处理、利用设施，推进粪便污水资源化利用；养殖专业户应当建设防雨、防渗、防漏、防外溢的粪便污水收集贮存设施，采用堆肥处理等措施实现粪便污水综合利用。 2.从2021年1月1日起，全面执行国家排放标准大气污染物特别排放限值；推进清洁取暖改造，推广使用天然气、液化石油气、太阳能、电能等清洁能源；开展建成区35蒸吨/小时以下燃煤锅炉淘汰，到2025年，城市建成区基本淘汰35蒸吨/小时及以下燃煤锅炉；逐步推进65蒸吨/小时及以上燃煤锅炉节能和超低排放改造。 3.城市中心区公共交通占机动化出行比例要达到60%，城市公交车、出租车力争全部更新（改造）为清洁能源或新能源汽车；推进柴油货车等高排放车辆深度治理；综合整治扬尘污染。</w:t>
                  </w:r>
                </w:p>
              </w:tc>
              <w:tc>
                <w:tcPr>
                  <w:tcW w:w="161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lang w:val="en-US" w:eastAsia="zh-CN"/>
                    </w:rPr>
                  </w:pPr>
                  <w:r>
                    <w:rPr>
                      <w:rFonts w:hint="eastAsia" w:ascii="Times New Roman" w:hAnsi="Times New Roman" w:eastAsia="宋体" w:cs="Times New Roman"/>
                      <w:color w:val="auto"/>
                      <w:spacing w:val="-1"/>
                      <w:sz w:val="21"/>
                      <w:szCs w:val="21"/>
                      <w:lang w:val="en-US" w:eastAsia="zh-CN"/>
                    </w:rPr>
                    <w:t>1、</w:t>
                  </w:r>
                  <w:r>
                    <w:rPr>
                      <w:rFonts w:hint="default" w:ascii="Times New Roman" w:hAnsi="Times New Roman" w:eastAsia="宋体" w:cs="Times New Roman"/>
                      <w:color w:val="auto"/>
                      <w:spacing w:val="-1"/>
                      <w:sz w:val="21"/>
                      <w:szCs w:val="21"/>
                    </w:rPr>
                    <w:t>本项目属于</w:t>
                  </w:r>
                  <w:r>
                    <w:rPr>
                      <w:rFonts w:hint="default" w:ascii="Times New Roman" w:hAnsi="Times New Roman" w:eastAsia="宋体" w:cs="Times New Roman"/>
                      <w:color w:val="auto"/>
                      <w:spacing w:val="-1"/>
                      <w:sz w:val="21"/>
                      <w:szCs w:val="21"/>
                      <w:lang w:val="en-US" w:eastAsia="zh-CN"/>
                    </w:rPr>
                    <w:t>输变电项目，不涉及上述管控要求</w:t>
                  </w:r>
                  <w:r>
                    <w:rPr>
                      <w:rFonts w:hint="eastAsia" w:ascii="Times New Roman" w:hAnsi="Times New Roman" w:eastAsia="宋体" w:cs="Times New Roman"/>
                      <w:color w:val="auto"/>
                      <w:spacing w:val="-1"/>
                      <w:sz w:val="21"/>
                      <w:szCs w:val="21"/>
                      <w:lang w:val="en-US" w:eastAsia="zh-CN"/>
                    </w:rPr>
                    <w:t>。2、本项目不涉及取暖。3、不涉及</w:t>
                  </w:r>
                </w:p>
              </w:tc>
              <w:tc>
                <w:tcPr>
                  <w:tcW w:w="15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rPr>
                  </w:pPr>
                  <w:r>
                    <w:rPr>
                      <w:rFonts w:hint="eastAsia" w:ascii="Times New Roman" w:hAnsi="Times New Roman" w:eastAsia="宋体" w:cs="Times New Roman"/>
                      <w:color w:val="auto"/>
                      <w:spacing w:val="3"/>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29" w:hRule="atLeast"/>
              </w:trPr>
              <w:tc>
                <w:tcPr>
                  <w:tcW w:w="26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kern w:val="0"/>
                      <w:szCs w:val="21"/>
                    </w:rPr>
                  </w:pPr>
                </w:p>
              </w:tc>
              <w:tc>
                <w:tcPr>
                  <w:tcW w:w="25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lang w:val="en-US" w:eastAsia="zh-CN"/>
                    </w:rPr>
                  </w:pPr>
                </w:p>
              </w:tc>
              <w:tc>
                <w:tcPr>
                  <w:tcW w:w="27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lang w:val="en-US" w:eastAsia="zh-CN"/>
                    </w:rPr>
                  </w:pPr>
                </w:p>
              </w:tc>
              <w:tc>
                <w:tcPr>
                  <w:tcW w:w="343"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kern w:val="0"/>
                      <w:szCs w:val="21"/>
                    </w:rPr>
                  </w:pPr>
                </w:p>
              </w:tc>
              <w:tc>
                <w:tcPr>
                  <w:tcW w:w="350"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6"/>
                      <w:sz w:val="21"/>
                      <w:szCs w:val="21"/>
                    </w:rPr>
                    <w:t>环境风险</w:t>
                  </w:r>
                  <w:r>
                    <w:rPr>
                      <w:rFonts w:hint="default" w:ascii="Times New Roman" w:hAnsi="Times New Roman" w:eastAsia="宋体" w:cs="Times New Roman"/>
                      <w:color w:val="auto"/>
                      <w:spacing w:val="-3"/>
                      <w:sz w:val="21"/>
                      <w:szCs w:val="21"/>
                    </w:rPr>
                    <w:t>防控</w:t>
                  </w:r>
                </w:p>
              </w:tc>
              <w:tc>
                <w:tcPr>
                  <w:tcW w:w="174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21" w:leftChars="10" w:right="21" w:rightChars="10" w:firstLine="0"/>
                    <w:jc w:val="both"/>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1.加大执法检查力度，推动辖区内化工企业落实安全生产和环境保护主体责任，提升突发环境事件风险防控能力。 2.</w:t>
                  </w:r>
                  <w:r>
                    <w:rPr>
                      <w:rFonts w:hint="eastAsia" w:ascii="Times New Roman" w:hAnsi="Times New Roman" w:eastAsia="宋体" w:cs="Times New Roman"/>
                      <w:color w:val="auto"/>
                      <w:kern w:val="0"/>
                      <w:szCs w:val="21"/>
                      <w:lang w:eastAsia="zh-CN"/>
                    </w:rPr>
                    <w:t>紧邻</w:t>
                  </w:r>
                  <w:r>
                    <w:rPr>
                      <w:rFonts w:hint="default" w:ascii="Times New Roman" w:hAnsi="Times New Roman" w:eastAsia="宋体" w:cs="Times New Roman"/>
                      <w:color w:val="auto"/>
                      <w:kern w:val="0"/>
                      <w:szCs w:val="21"/>
                    </w:rPr>
                    <w:t>居住、科教、医院等环境敏感点的工业用地，禁止新建环境风险潜势等级Ⅳ/Ⅳ+级的建设项目。 3.重点加强对烧结、工业炉窑、医疗垃圾和危险废物焚烧有毒有害大气污染物排放企业的监管，按国家有关规定对排放有毒有害大气污染物的排放口和周边环境进行定期监测，建设环境风险预警体系，排查环境安全隐患，评估和防范环境风险。</w:t>
                  </w:r>
                </w:p>
              </w:tc>
              <w:tc>
                <w:tcPr>
                  <w:tcW w:w="161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1"/>
                      <w:sz w:val="21"/>
                      <w:szCs w:val="21"/>
                    </w:rPr>
                    <w:t>本项目属于</w:t>
                  </w:r>
                  <w:r>
                    <w:rPr>
                      <w:rFonts w:hint="default" w:ascii="Times New Roman" w:hAnsi="Times New Roman" w:eastAsia="宋体" w:cs="Times New Roman"/>
                      <w:color w:val="auto"/>
                      <w:spacing w:val="-1"/>
                      <w:sz w:val="21"/>
                      <w:szCs w:val="21"/>
                      <w:lang w:val="en-US" w:eastAsia="zh-CN"/>
                    </w:rPr>
                    <w:t>输变电项目，</w:t>
                  </w:r>
                  <w:r>
                    <w:rPr>
                      <w:rFonts w:hint="eastAsia" w:ascii="Times New Roman" w:hAnsi="Times New Roman" w:eastAsia="宋体" w:cs="Times New Roman"/>
                      <w:color w:val="auto"/>
                      <w:spacing w:val="-1"/>
                      <w:sz w:val="21"/>
                      <w:szCs w:val="21"/>
                      <w:lang w:val="en-US" w:eastAsia="zh-CN"/>
                    </w:rPr>
                    <w:t>项目运营过程中不属于风险较大项目，</w:t>
                  </w:r>
                  <w:r>
                    <w:rPr>
                      <w:rFonts w:hint="default" w:ascii="Times New Roman" w:hAnsi="Times New Roman" w:eastAsia="宋体" w:cs="Times New Roman"/>
                      <w:color w:val="auto"/>
                      <w:spacing w:val="-1"/>
                      <w:sz w:val="21"/>
                      <w:szCs w:val="21"/>
                      <w:lang w:val="en-US" w:eastAsia="zh-CN"/>
                    </w:rPr>
                    <w:t>不涉及上述管控要求</w:t>
                  </w:r>
                </w:p>
              </w:tc>
              <w:tc>
                <w:tcPr>
                  <w:tcW w:w="15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rPr>
                  </w:pPr>
                  <w:r>
                    <w:rPr>
                      <w:rFonts w:hint="eastAsia" w:ascii="Times New Roman" w:hAnsi="Times New Roman" w:eastAsia="宋体" w:cs="Times New Roman"/>
                      <w:color w:val="auto"/>
                      <w:spacing w:val="3"/>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29" w:hRule="atLeast"/>
              </w:trPr>
              <w:tc>
                <w:tcPr>
                  <w:tcW w:w="26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kern w:val="0"/>
                      <w:szCs w:val="21"/>
                    </w:rPr>
                  </w:pPr>
                </w:p>
              </w:tc>
              <w:tc>
                <w:tcPr>
                  <w:tcW w:w="25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lang w:val="en-US" w:eastAsia="zh-CN"/>
                    </w:rPr>
                  </w:pPr>
                </w:p>
              </w:tc>
              <w:tc>
                <w:tcPr>
                  <w:tcW w:w="27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lang w:val="en-US" w:eastAsia="zh-CN"/>
                    </w:rPr>
                  </w:pPr>
                </w:p>
              </w:tc>
              <w:tc>
                <w:tcPr>
                  <w:tcW w:w="343"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kern w:val="0"/>
                      <w:szCs w:val="21"/>
                    </w:rPr>
                  </w:pPr>
                </w:p>
              </w:tc>
              <w:tc>
                <w:tcPr>
                  <w:tcW w:w="350"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3"/>
                      <w:sz w:val="21"/>
                      <w:szCs w:val="21"/>
                    </w:rPr>
                    <w:t>资源</w:t>
                  </w:r>
                  <w:r>
                    <w:rPr>
                      <w:rFonts w:hint="eastAsia" w:ascii="Times New Roman" w:hAnsi="Times New Roman" w:eastAsia="宋体" w:cs="Times New Roman"/>
                      <w:color w:val="auto"/>
                      <w:spacing w:val="13"/>
                      <w:sz w:val="21"/>
                      <w:szCs w:val="21"/>
                      <w:lang w:val="en-US" w:eastAsia="zh-CN"/>
                    </w:rPr>
                    <w:t>开发</w:t>
                  </w:r>
                  <w:r>
                    <w:rPr>
                      <w:rFonts w:hint="default" w:ascii="Times New Roman" w:hAnsi="Times New Roman" w:eastAsia="宋体" w:cs="Times New Roman"/>
                      <w:color w:val="auto"/>
                      <w:sz w:val="21"/>
                      <w:szCs w:val="21"/>
                    </w:rPr>
                    <w:t xml:space="preserve"> </w:t>
                  </w:r>
                  <w:r>
                    <w:rPr>
                      <w:rFonts w:hint="default" w:ascii="Times New Roman" w:hAnsi="Times New Roman" w:eastAsia="宋体" w:cs="Times New Roman"/>
                      <w:color w:val="auto"/>
                      <w:spacing w:val="16"/>
                      <w:sz w:val="21"/>
                      <w:szCs w:val="21"/>
                    </w:rPr>
                    <w:t>效率</w:t>
                  </w:r>
                  <w:r>
                    <w:rPr>
                      <w:rFonts w:hint="eastAsia" w:ascii="Times New Roman" w:hAnsi="Times New Roman" w:eastAsia="宋体" w:cs="Times New Roman"/>
                      <w:color w:val="auto"/>
                      <w:spacing w:val="16"/>
                      <w:sz w:val="21"/>
                      <w:szCs w:val="21"/>
                      <w:lang w:val="en-US" w:eastAsia="zh-CN"/>
                    </w:rPr>
                    <w:t>要求</w:t>
                  </w:r>
                </w:p>
              </w:tc>
              <w:tc>
                <w:tcPr>
                  <w:tcW w:w="174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21" w:leftChars="10" w:right="21" w:rightChars="10" w:firstLine="0"/>
                    <w:jc w:val="both"/>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1.控制煤炭消费总量，严把新上、改扩建耗煤项目立项，对未实行煤炭消费减量替代的耗煤项目一律不予立项；加快推进天然气、电力等新能源替代使用。 2.未依法完成水资源论证工作的建设项目，不予批准；不符合国家及省产业政策、列入淘汰类或不符合用水定额标准的建设项目取水申请不予批准。</w:t>
                  </w:r>
                </w:p>
              </w:tc>
              <w:tc>
                <w:tcPr>
                  <w:tcW w:w="161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1"/>
                      <w:sz w:val="21"/>
                      <w:szCs w:val="21"/>
                    </w:rPr>
                    <w:t>本项目属于</w:t>
                  </w:r>
                  <w:r>
                    <w:rPr>
                      <w:rFonts w:hint="default" w:ascii="Times New Roman" w:hAnsi="Times New Roman" w:eastAsia="宋体" w:cs="Times New Roman"/>
                      <w:color w:val="auto"/>
                      <w:spacing w:val="-1"/>
                      <w:sz w:val="21"/>
                      <w:szCs w:val="21"/>
                      <w:lang w:val="en-US" w:eastAsia="zh-CN"/>
                    </w:rPr>
                    <w:t>输变电项目，不涉及上述管控要求</w:t>
                  </w:r>
                </w:p>
              </w:tc>
              <w:tc>
                <w:tcPr>
                  <w:tcW w:w="15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rPr>
                  </w:pPr>
                  <w:r>
                    <w:rPr>
                      <w:rFonts w:hint="eastAsia" w:ascii="Times New Roman" w:hAnsi="Times New Roman" w:eastAsia="宋体" w:cs="Times New Roman"/>
                      <w:color w:val="auto"/>
                      <w:spacing w:val="3"/>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26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ZH21130310004</w:t>
                  </w:r>
                </w:p>
              </w:tc>
              <w:tc>
                <w:tcPr>
                  <w:tcW w:w="25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lang w:val="en-US" w:eastAsia="zh-CN"/>
                    </w:rPr>
                  </w:pPr>
                </w:p>
              </w:tc>
              <w:tc>
                <w:tcPr>
                  <w:tcW w:w="27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lang w:val="en-US" w:eastAsia="zh-CN"/>
                    </w:rPr>
                  </w:pPr>
                </w:p>
              </w:tc>
              <w:tc>
                <w:tcPr>
                  <w:tcW w:w="343"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朝阳市龙城区一般生态空间</w:t>
                  </w:r>
                </w:p>
              </w:tc>
              <w:tc>
                <w:tcPr>
                  <w:tcW w:w="350"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21"/>
                      <w:szCs w:val="21"/>
                      <w:lang w:val="en-US" w:eastAsia="zh-CN" w:bidi="ar-SA"/>
                    </w:rPr>
                  </w:pPr>
                  <w:r>
                    <w:rPr>
                      <w:rFonts w:hint="default" w:ascii="Times New Roman" w:hAnsi="Times New Roman" w:eastAsia="宋体" w:cs="Times New Roman"/>
                      <w:color w:val="auto"/>
                      <w:spacing w:val="-1"/>
                      <w:sz w:val="21"/>
                      <w:szCs w:val="21"/>
                    </w:rPr>
                    <w:t>空间布局约束</w:t>
                  </w:r>
                </w:p>
              </w:tc>
              <w:tc>
                <w:tcPr>
                  <w:tcW w:w="174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21" w:leftChars="10" w:right="21" w:rightChars="10" w:firstLine="0"/>
                    <w:jc w:val="both"/>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1.遵守《自然生态空间用途管制办法（试行）》，生态保护红线以外的生态空间原则上按照限制开发区域管理，从严控制生态空间转为城镇空间和农业空间。依法控制新增建设占用生态保护红线外的生态空间；严格限制农业开发占用生态保护红线外的生态空间，符合条件的农业开发项目，须依法由市县级及以上地方人民政府统筹安排。 2.对禁（限）养区内养殖场户实施搬迁关闭整治工作。 3.避免大规模排放大气污染物的项目布局建设。 4.基本农田，实行严格保护，确保其面积不减少、土壤环境质量不下降，除法律规定的重点建设项目选址确实无法避让外，其他任何建设不得占用。</w:t>
                  </w:r>
                </w:p>
              </w:tc>
              <w:tc>
                <w:tcPr>
                  <w:tcW w:w="161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pacing w:val="-1"/>
                      <w:sz w:val="21"/>
                      <w:szCs w:val="21"/>
                      <w:lang w:val="en-US" w:eastAsia="zh-CN"/>
                    </w:rPr>
                  </w:pPr>
                  <w:r>
                    <w:rPr>
                      <w:rFonts w:hint="eastAsia" w:ascii="Times New Roman" w:hAnsi="Times New Roman" w:eastAsia="宋体" w:cs="Times New Roman"/>
                      <w:color w:val="auto"/>
                      <w:spacing w:val="-1"/>
                      <w:sz w:val="21"/>
                      <w:szCs w:val="21"/>
                      <w:lang w:val="en-US" w:eastAsia="zh-CN"/>
                    </w:rPr>
                    <w:t>1、本项目为输变电线路工程，属于国家鼓励的公益性基础设施，符合生态空间差异化管控导向；2、本项目为线性输电工程，不涉及规模化养殖设施建设、运营，不属于禁（限）养区内养殖场户范畴；3、本项目为非污染类生态影响型项目，不属于大规模排放大气污染物的项目；4、本项目严格执行永久基本农田“面积不减少、质量不下降”保护底线，符合《土地管理法》及《永久基本农田保护红线管理办法》（2025年）相关规定。</w:t>
                  </w:r>
                </w:p>
              </w:tc>
              <w:tc>
                <w:tcPr>
                  <w:tcW w:w="15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rPr>
                  </w:pPr>
                  <w:r>
                    <w:rPr>
                      <w:rFonts w:hint="eastAsia" w:ascii="Times New Roman" w:hAnsi="Times New Roman" w:eastAsia="宋体" w:cs="Times New Roman"/>
                      <w:color w:val="auto"/>
                      <w:spacing w:val="3"/>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29" w:hRule="atLeast"/>
              </w:trPr>
              <w:tc>
                <w:tcPr>
                  <w:tcW w:w="26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kern w:val="0"/>
                      <w:szCs w:val="21"/>
                    </w:rPr>
                  </w:pPr>
                </w:p>
              </w:tc>
              <w:tc>
                <w:tcPr>
                  <w:tcW w:w="25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lang w:val="en-US" w:eastAsia="zh-CN"/>
                    </w:rPr>
                  </w:pPr>
                </w:p>
              </w:tc>
              <w:tc>
                <w:tcPr>
                  <w:tcW w:w="27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lang w:val="en-US" w:eastAsia="zh-CN"/>
                    </w:rPr>
                  </w:pPr>
                </w:p>
              </w:tc>
              <w:tc>
                <w:tcPr>
                  <w:tcW w:w="343"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kern w:val="0"/>
                      <w:szCs w:val="21"/>
                    </w:rPr>
                  </w:pPr>
                </w:p>
              </w:tc>
              <w:tc>
                <w:tcPr>
                  <w:tcW w:w="350"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6"/>
                      <w:sz w:val="21"/>
                      <w:szCs w:val="21"/>
                    </w:rPr>
                    <w:t>污染</w:t>
                  </w:r>
                  <w:r>
                    <w:rPr>
                      <w:rFonts w:hint="default" w:ascii="Times New Roman" w:hAnsi="Times New Roman" w:eastAsia="宋体" w:cs="Times New Roman"/>
                      <w:color w:val="auto"/>
                      <w:spacing w:val="17"/>
                      <w:sz w:val="21"/>
                      <w:szCs w:val="21"/>
                    </w:rPr>
                    <w:t>物排放管</w:t>
                  </w:r>
                  <w:r>
                    <w:rPr>
                      <w:rFonts w:hint="default" w:ascii="Times New Roman" w:hAnsi="Times New Roman" w:eastAsia="宋体" w:cs="Times New Roman"/>
                      <w:color w:val="auto"/>
                      <w:sz w:val="21"/>
                      <w:szCs w:val="21"/>
                    </w:rPr>
                    <w:t>控</w:t>
                  </w:r>
                </w:p>
              </w:tc>
              <w:tc>
                <w:tcPr>
                  <w:tcW w:w="174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21" w:leftChars="10" w:right="21" w:rightChars="10" w:firstLine="0"/>
                    <w:jc w:val="both"/>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1.畜禽养殖场、养殖小区应当按照国家和省有关规定将畜禽粪便、废水进行综合利用或者无害化处理；规模化畜禽养殖场、养殖小区应当配套建设粪便污水贮存、处理、利用设施，推进粪便污水资源化利用；养殖专业户应当建设防雨、防渗、防漏、防外溢的粪便污水收集贮存设施，采用堆肥处理等措施实现粪便污水综合利用。 2.从2021年1月1日起，全面执行国家排放标准大气污染物特别排放限值；推进清洁取暖改造，推广使用天然气、液化石油气、太阳能、电能等清洁能源；开展建成区35蒸吨/小时以下燃煤锅炉淘汰，到2025年，城市建成区基本淘汰35蒸吨/小时及以下燃煤锅炉；逐步推进65蒸吨/小时及以上燃煤锅炉节能和超低排放改造。 3.城市中心区公共交通占机动化出行比例要达到60%，城市公交车、出租车力争全部更新（改造）为清洁能源或新能源汽车；推进柴油货车等高排放车辆深度治理；综合整治扬尘污染。 4.加强农业面源污染防治，加大种养业特别是规模化畜禽养殖污染防治力度，引导农民使用生物农药或高效、低毒、低残留农药，对农药包装进行无害化处理。</w:t>
                  </w:r>
                </w:p>
              </w:tc>
              <w:tc>
                <w:tcPr>
                  <w:tcW w:w="161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1"/>
                      <w:sz w:val="21"/>
                      <w:szCs w:val="21"/>
                    </w:rPr>
                    <w:t>本项目属于</w:t>
                  </w:r>
                  <w:r>
                    <w:rPr>
                      <w:rFonts w:hint="default" w:ascii="Times New Roman" w:hAnsi="Times New Roman" w:eastAsia="宋体" w:cs="Times New Roman"/>
                      <w:color w:val="auto"/>
                      <w:spacing w:val="-1"/>
                      <w:sz w:val="21"/>
                      <w:szCs w:val="21"/>
                      <w:lang w:val="en-US" w:eastAsia="zh-CN"/>
                    </w:rPr>
                    <w:t>输变电项目，不涉及上述管控要求</w:t>
                  </w:r>
                </w:p>
              </w:tc>
              <w:tc>
                <w:tcPr>
                  <w:tcW w:w="15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rPr>
                  </w:pPr>
                  <w:r>
                    <w:rPr>
                      <w:rFonts w:hint="eastAsia" w:ascii="Times New Roman" w:hAnsi="Times New Roman" w:eastAsia="宋体" w:cs="Times New Roman"/>
                      <w:color w:val="auto"/>
                      <w:spacing w:val="3"/>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29" w:hRule="atLeast"/>
              </w:trPr>
              <w:tc>
                <w:tcPr>
                  <w:tcW w:w="26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kern w:val="0"/>
                      <w:szCs w:val="21"/>
                    </w:rPr>
                  </w:pPr>
                </w:p>
              </w:tc>
              <w:tc>
                <w:tcPr>
                  <w:tcW w:w="25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lang w:val="en-US" w:eastAsia="zh-CN"/>
                    </w:rPr>
                  </w:pPr>
                </w:p>
              </w:tc>
              <w:tc>
                <w:tcPr>
                  <w:tcW w:w="27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lang w:val="en-US" w:eastAsia="zh-CN"/>
                    </w:rPr>
                  </w:pPr>
                </w:p>
              </w:tc>
              <w:tc>
                <w:tcPr>
                  <w:tcW w:w="343"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kern w:val="0"/>
                      <w:szCs w:val="21"/>
                    </w:rPr>
                  </w:pPr>
                </w:p>
              </w:tc>
              <w:tc>
                <w:tcPr>
                  <w:tcW w:w="350"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6"/>
                      <w:sz w:val="21"/>
                      <w:szCs w:val="21"/>
                    </w:rPr>
                    <w:t>环境风险</w:t>
                  </w:r>
                  <w:r>
                    <w:rPr>
                      <w:rFonts w:hint="default" w:ascii="Times New Roman" w:hAnsi="Times New Roman" w:eastAsia="宋体" w:cs="Times New Roman"/>
                      <w:color w:val="auto"/>
                      <w:spacing w:val="-3"/>
                      <w:sz w:val="21"/>
                      <w:szCs w:val="21"/>
                    </w:rPr>
                    <w:t>防控</w:t>
                  </w:r>
                </w:p>
              </w:tc>
              <w:tc>
                <w:tcPr>
                  <w:tcW w:w="174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21" w:leftChars="10" w:right="21" w:rightChars="10" w:firstLine="0"/>
                    <w:jc w:val="both"/>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1.加大执法检查力度，推动辖区内化工企业落实安全生产和环境保护主体责任，提升突发环境事件风险防控能力。 2.</w:t>
                  </w:r>
                  <w:r>
                    <w:rPr>
                      <w:rFonts w:hint="eastAsia" w:ascii="Times New Roman" w:hAnsi="Times New Roman" w:eastAsia="宋体" w:cs="Times New Roman"/>
                      <w:color w:val="auto"/>
                      <w:kern w:val="0"/>
                      <w:szCs w:val="21"/>
                      <w:lang w:eastAsia="zh-CN"/>
                    </w:rPr>
                    <w:t>紧邻</w:t>
                  </w:r>
                  <w:r>
                    <w:rPr>
                      <w:rFonts w:hint="default" w:ascii="Times New Roman" w:hAnsi="Times New Roman" w:eastAsia="宋体" w:cs="Times New Roman"/>
                      <w:color w:val="auto"/>
                      <w:kern w:val="0"/>
                      <w:szCs w:val="21"/>
                    </w:rPr>
                    <w:t>居住、科教、医院等环境敏感点的工业用地，禁止新建环境风险潜势等级Ⅳ/Ⅳ+级的建设项目。 3.重点加强对烧结、工业炉窑、医疗垃圾和危险废物焚烧有毒有害大气污染物排放企业的监管，按国家有关规定对排放有毒有害大气污染物的排放口和周边环境进行定期监测，建设环境风险预警体系，排查环境安全隐患，评估和防范环境风险。 4.对拟收回土地使用权的，以及用途拟变更为居住和商业、学校、医疗、养老机构等公共设施的有色金属冶炼、石油加工、化工、焦化、电镀、制革等行业企业用地，由土地使用权人委托开展土壤环境状况调查评估。</w:t>
                  </w:r>
                </w:p>
              </w:tc>
              <w:tc>
                <w:tcPr>
                  <w:tcW w:w="161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1"/>
                      <w:sz w:val="21"/>
                      <w:szCs w:val="21"/>
                    </w:rPr>
                    <w:t>本项目属于</w:t>
                  </w:r>
                  <w:r>
                    <w:rPr>
                      <w:rFonts w:hint="default" w:ascii="Times New Roman" w:hAnsi="Times New Roman" w:eastAsia="宋体" w:cs="Times New Roman"/>
                      <w:color w:val="auto"/>
                      <w:spacing w:val="-1"/>
                      <w:sz w:val="21"/>
                      <w:szCs w:val="21"/>
                      <w:lang w:val="en-US" w:eastAsia="zh-CN"/>
                    </w:rPr>
                    <w:t>输变电项目，不涉及上述管控要求</w:t>
                  </w:r>
                </w:p>
              </w:tc>
              <w:tc>
                <w:tcPr>
                  <w:tcW w:w="15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rPr>
                  </w:pPr>
                  <w:r>
                    <w:rPr>
                      <w:rFonts w:hint="eastAsia" w:ascii="Times New Roman" w:hAnsi="Times New Roman" w:eastAsia="宋体" w:cs="Times New Roman"/>
                      <w:color w:val="auto"/>
                      <w:spacing w:val="3"/>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29" w:hRule="atLeast"/>
              </w:trPr>
              <w:tc>
                <w:tcPr>
                  <w:tcW w:w="26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kern w:val="0"/>
                      <w:szCs w:val="21"/>
                    </w:rPr>
                  </w:pPr>
                </w:p>
              </w:tc>
              <w:tc>
                <w:tcPr>
                  <w:tcW w:w="25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lang w:val="en-US" w:eastAsia="zh-CN"/>
                    </w:rPr>
                  </w:pPr>
                </w:p>
              </w:tc>
              <w:tc>
                <w:tcPr>
                  <w:tcW w:w="27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lang w:val="en-US" w:eastAsia="zh-CN"/>
                    </w:rPr>
                  </w:pPr>
                </w:p>
              </w:tc>
              <w:tc>
                <w:tcPr>
                  <w:tcW w:w="343"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kern w:val="0"/>
                      <w:szCs w:val="21"/>
                    </w:rPr>
                  </w:pPr>
                </w:p>
              </w:tc>
              <w:tc>
                <w:tcPr>
                  <w:tcW w:w="350"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3"/>
                      <w:sz w:val="21"/>
                      <w:szCs w:val="21"/>
                    </w:rPr>
                    <w:t>资源</w:t>
                  </w:r>
                  <w:r>
                    <w:rPr>
                      <w:rFonts w:hint="eastAsia" w:ascii="Times New Roman" w:hAnsi="Times New Roman" w:eastAsia="宋体" w:cs="Times New Roman"/>
                      <w:color w:val="auto"/>
                      <w:spacing w:val="13"/>
                      <w:sz w:val="21"/>
                      <w:szCs w:val="21"/>
                      <w:lang w:val="en-US" w:eastAsia="zh-CN"/>
                    </w:rPr>
                    <w:t>开发</w:t>
                  </w:r>
                  <w:r>
                    <w:rPr>
                      <w:rFonts w:hint="default" w:ascii="Times New Roman" w:hAnsi="Times New Roman" w:eastAsia="宋体" w:cs="Times New Roman"/>
                      <w:color w:val="auto"/>
                      <w:sz w:val="21"/>
                      <w:szCs w:val="21"/>
                    </w:rPr>
                    <w:t xml:space="preserve"> </w:t>
                  </w:r>
                  <w:r>
                    <w:rPr>
                      <w:rFonts w:hint="default" w:ascii="Times New Roman" w:hAnsi="Times New Roman" w:eastAsia="宋体" w:cs="Times New Roman"/>
                      <w:color w:val="auto"/>
                      <w:spacing w:val="16"/>
                      <w:sz w:val="21"/>
                      <w:szCs w:val="21"/>
                    </w:rPr>
                    <w:t>效率</w:t>
                  </w:r>
                  <w:r>
                    <w:rPr>
                      <w:rFonts w:hint="eastAsia" w:ascii="Times New Roman" w:hAnsi="Times New Roman" w:eastAsia="宋体" w:cs="Times New Roman"/>
                      <w:color w:val="auto"/>
                      <w:spacing w:val="16"/>
                      <w:sz w:val="21"/>
                      <w:szCs w:val="21"/>
                      <w:lang w:val="en-US" w:eastAsia="zh-CN"/>
                    </w:rPr>
                    <w:t>要求</w:t>
                  </w:r>
                </w:p>
              </w:tc>
              <w:tc>
                <w:tcPr>
                  <w:tcW w:w="174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21" w:leftChars="10" w:right="21" w:rightChars="10" w:firstLine="0"/>
                    <w:jc w:val="both"/>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1.加快发展清洁能源、可再生能源；实行煤炭消费总量控制，降低煤炭消费比例。 2.加快供水管网改造，降低人均生活用水量；推广农田节水技术和设施，提高灌溉水利用效率。 3.推进畜禽粪污、餐厨废弃物等集中处理和资源化利用。</w:t>
                  </w:r>
                </w:p>
              </w:tc>
              <w:tc>
                <w:tcPr>
                  <w:tcW w:w="161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1"/>
                      <w:sz w:val="21"/>
                      <w:szCs w:val="21"/>
                    </w:rPr>
                    <w:t>本项目属于</w:t>
                  </w:r>
                  <w:r>
                    <w:rPr>
                      <w:rFonts w:hint="default" w:ascii="Times New Roman" w:hAnsi="Times New Roman" w:eastAsia="宋体" w:cs="Times New Roman"/>
                      <w:color w:val="auto"/>
                      <w:spacing w:val="-1"/>
                      <w:sz w:val="21"/>
                      <w:szCs w:val="21"/>
                      <w:lang w:val="en-US" w:eastAsia="zh-CN"/>
                    </w:rPr>
                    <w:t>输变电项目，不涉及上述管控要求</w:t>
                  </w:r>
                </w:p>
              </w:tc>
              <w:tc>
                <w:tcPr>
                  <w:tcW w:w="15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rPr>
                  </w:pPr>
                  <w:r>
                    <w:rPr>
                      <w:rFonts w:hint="eastAsia" w:ascii="Times New Roman" w:hAnsi="Times New Roman" w:eastAsia="宋体" w:cs="Times New Roman"/>
                      <w:color w:val="auto"/>
                      <w:spacing w:val="3"/>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29" w:hRule="atLeast"/>
              </w:trPr>
              <w:tc>
                <w:tcPr>
                  <w:tcW w:w="26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kern w:val="0"/>
                      <w:szCs w:val="21"/>
                    </w:rPr>
                    <w:t>ZH2113032000</w:t>
                  </w:r>
                  <w:r>
                    <w:rPr>
                      <w:rFonts w:hint="eastAsia" w:ascii="Times New Roman" w:hAnsi="Times New Roman" w:eastAsia="宋体" w:cs="Times New Roman"/>
                      <w:color w:val="auto"/>
                      <w:kern w:val="0"/>
                      <w:szCs w:val="21"/>
                      <w:lang w:val="en-US" w:eastAsia="zh-CN"/>
                    </w:rPr>
                    <w:t>6</w:t>
                  </w:r>
                </w:p>
              </w:tc>
              <w:tc>
                <w:tcPr>
                  <w:tcW w:w="25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lang w:eastAsia="zh-CN"/>
                    </w:rPr>
                  </w:pPr>
                </w:p>
              </w:tc>
              <w:tc>
                <w:tcPr>
                  <w:tcW w:w="27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lang w:val="en-US" w:eastAsia="zh-CN"/>
                    </w:rPr>
                  </w:pPr>
                </w:p>
              </w:tc>
              <w:tc>
                <w:tcPr>
                  <w:tcW w:w="343"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pacing w:val="-1"/>
                      <w:sz w:val="21"/>
                      <w:szCs w:val="21"/>
                      <w:lang w:eastAsia="zh-CN"/>
                    </w:rPr>
                  </w:pPr>
                  <w:r>
                    <w:rPr>
                      <w:rFonts w:hint="default" w:ascii="Times New Roman" w:hAnsi="Times New Roman" w:eastAsia="宋体" w:cs="Times New Roman"/>
                      <w:color w:val="auto"/>
                      <w:kern w:val="0"/>
                      <w:szCs w:val="21"/>
                    </w:rPr>
                    <w:t>重点管控单元</w:t>
                  </w:r>
                  <w:r>
                    <w:rPr>
                      <w:rFonts w:hint="eastAsia" w:ascii="Times New Roman" w:hAnsi="Times New Roman" w:eastAsia="宋体" w:cs="Times New Roman"/>
                      <w:color w:val="auto"/>
                      <w:kern w:val="0"/>
                      <w:szCs w:val="21"/>
                      <w:lang w:val="en-US" w:eastAsia="zh-CN"/>
                    </w:rPr>
                    <w:t>3</w:t>
                  </w:r>
                </w:p>
              </w:tc>
              <w:tc>
                <w:tcPr>
                  <w:tcW w:w="35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1"/>
                      <w:sz w:val="21"/>
                      <w:szCs w:val="21"/>
                    </w:rPr>
                    <w:t>空间布局约束</w:t>
                  </w:r>
                </w:p>
              </w:tc>
              <w:tc>
                <w:tcPr>
                  <w:tcW w:w="174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1"/>
                      <w:sz w:val="21"/>
                      <w:szCs w:val="21"/>
                    </w:rPr>
                    <w:t>1.对禁（限）养区内养殖场户实施搬迁关闭整治工作。 2.避免大规模排放大气污染物的项目布局建设。 3.基本农田，实行严格保护，确保其面积不减少、土壤环境质量不下降，除法律规定的重点建设项目选址确实无法避让外，其他任何建设不得占用。</w:t>
                  </w:r>
                </w:p>
              </w:tc>
              <w:tc>
                <w:tcPr>
                  <w:tcW w:w="161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pacing w:val="-1"/>
                      <w:sz w:val="21"/>
                      <w:szCs w:val="21"/>
                      <w:lang w:val="en-US" w:eastAsia="zh-CN"/>
                    </w:rPr>
                  </w:pPr>
                  <w:r>
                    <w:rPr>
                      <w:rFonts w:hint="eastAsia" w:ascii="Times New Roman" w:hAnsi="Times New Roman" w:eastAsia="宋体" w:cs="Times New Roman"/>
                      <w:color w:val="auto"/>
                      <w:spacing w:val="-1"/>
                      <w:sz w:val="21"/>
                      <w:szCs w:val="21"/>
                      <w:lang w:val="en-US" w:eastAsia="zh-CN"/>
                    </w:rPr>
                    <w:t>1、</w:t>
                  </w:r>
                  <w:r>
                    <w:rPr>
                      <w:rFonts w:hint="default" w:ascii="Times New Roman" w:hAnsi="Times New Roman" w:eastAsia="宋体" w:cs="Times New Roman"/>
                      <w:color w:val="auto"/>
                      <w:spacing w:val="-1"/>
                      <w:sz w:val="21"/>
                      <w:szCs w:val="21"/>
                    </w:rPr>
                    <w:t>本项目为输变电线性基础设施，不建设、不运营畜禽养殖设施，不属于禁（限）养区整治对象。</w:t>
                  </w:r>
                  <w:r>
                    <w:rPr>
                      <w:rFonts w:hint="eastAsia" w:ascii="Times New Roman" w:hAnsi="Times New Roman" w:eastAsia="宋体" w:cs="Times New Roman"/>
                      <w:color w:val="auto"/>
                      <w:spacing w:val="-1"/>
                      <w:sz w:val="21"/>
                      <w:szCs w:val="21"/>
                      <w:lang w:val="en-US" w:eastAsia="zh-CN"/>
                    </w:rPr>
                    <w:t>2、</w:t>
                  </w:r>
                  <w:r>
                    <w:rPr>
                      <w:rFonts w:hint="default" w:ascii="Times New Roman" w:hAnsi="Times New Roman" w:eastAsia="宋体" w:cs="Times New Roman"/>
                      <w:color w:val="auto"/>
                      <w:spacing w:val="-1"/>
                      <w:sz w:val="21"/>
                      <w:szCs w:val="21"/>
                    </w:rPr>
                    <w:t>本项目属于生态影响型基础设施，无生产工艺废气，不属于大规模排放大气污染物的建设项目。</w:t>
                  </w:r>
                  <w:r>
                    <w:rPr>
                      <w:rFonts w:hint="eastAsia" w:ascii="Times New Roman" w:hAnsi="Times New Roman" w:eastAsia="宋体" w:cs="Times New Roman"/>
                      <w:color w:val="auto"/>
                      <w:spacing w:val="-1"/>
                      <w:sz w:val="21"/>
                      <w:szCs w:val="21"/>
                      <w:lang w:val="en-US" w:eastAsia="zh-CN"/>
                    </w:rPr>
                    <w:t>3、</w:t>
                  </w:r>
                  <w:r>
                    <w:rPr>
                      <w:rFonts w:hint="default" w:ascii="Times New Roman" w:hAnsi="Times New Roman" w:eastAsia="宋体" w:cs="Times New Roman"/>
                      <w:color w:val="auto"/>
                      <w:spacing w:val="-1"/>
                      <w:sz w:val="21"/>
                      <w:szCs w:val="21"/>
                    </w:rPr>
                    <w:t>本项目严格落实基本农田保护制度，坚持优先避让原则开展线路选址。项目属于公益性重点基础设施，若因线路走向、安全规范等客观条件确实无法避让，仅采用点状塔基少量占用，严格控制占用规模。施工过</w:t>
                  </w:r>
                  <w:r>
                    <w:rPr>
                      <w:rFonts w:hint="eastAsia" w:ascii="Times New Roman" w:hAnsi="Times New Roman" w:eastAsia="宋体" w:cs="Times New Roman"/>
                      <w:color w:val="auto"/>
                      <w:spacing w:val="-1"/>
                      <w:sz w:val="21"/>
                      <w:szCs w:val="21"/>
                      <w:lang w:eastAsia="zh-CN"/>
                    </w:rPr>
                    <w:t>程中</w:t>
                  </w:r>
                  <w:r>
                    <w:rPr>
                      <w:rFonts w:hint="default" w:ascii="Times New Roman" w:hAnsi="Times New Roman" w:eastAsia="宋体" w:cs="Times New Roman"/>
                      <w:color w:val="auto"/>
                      <w:spacing w:val="-1"/>
                      <w:sz w:val="21"/>
                      <w:szCs w:val="21"/>
                    </w:rPr>
                    <w:t>实施表土剥离、分层保护，完工后及时恢复土地原有功能，确保基本农田面积不减少、土壤环境质量不下降。项目若涉及占用基本农田，将依法履行相关论证、审批及补偿手续，完全符合基本农田保护相关规定。</w:t>
                  </w:r>
                </w:p>
              </w:tc>
              <w:tc>
                <w:tcPr>
                  <w:tcW w:w="15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1"/>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26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257" w:type="pct"/>
                  <w:vMerge w:val="continue"/>
                  <w:textDirection w:val="tbRlV"/>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270" w:type="pct"/>
                  <w:vMerge w:val="continue"/>
                  <w:textDirection w:val="tbRlV"/>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343"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35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6"/>
                      <w:sz w:val="21"/>
                      <w:szCs w:val="21"/>
                    </w:rPr>
                    <w:t>污染</w:t>
                  </w:r>
                  <w:r>
                    <w:rPr>
                      <w:rFonts w:hint="default" w:ascii="Times New Roman" w:hAnsi="Times New Roman" w:eastAsia="宋体" w:cs="Times New Roman"/>
                      <w:color w:val="auto"/>
                      <w:spacing w:val="17"/>
                      <w:sz w:val="21"/>
                      <w:szCs w:val="21"/>
                    </w:rPr>
                    <w:t>物排放管</w:t>
                  </w:r>
                  <w:r>
                    <w:rPr>
                      <w:rFonts w:hint="default" w:ascii="Times New Roman" w:hAnsi="Times New Roman" w:eastAsia="宋体" w:cs="Times New Roman"/>
                      <w:color w:val="auto"/>
                      <w:sz w:val="21"/>
                      <w:szCs w:val="21"/>
                    </w:rPr>
                    <w:t>控</w:t>
                  </w:r>
                </w:p>
              </w:tc>
              <w:tc>
                <w:tcPr>
                  <w:tcW w:w="1745" w:type="pct"/>
                  <w:shd w:val="clear" w:color="auto" w:fill="auto"/>
                  <w:vAlign w:val="center"/>
                </w:tcPr>
                <w:p>
                  <w:pPr>
                    <w:keepNext w:val="0"/>
                    <w:keepLines w:val="0"/>
                    <w:pageBreakBefore w:val="0"/>
                    <w:widowControl/>
                    <w:kinsoku/>
                    <w:wordWrap/>
                    <w:overflowPunct/>
                    <w:topLinePunct w:val="0"/>
                    <w:autoSpaceDE/>
                    <w:autoSpaceDN/>
                    <w:bidi w:val="0"/>
                    <w:adjustRightInd/>
                    <w:snapToGrid/>
                    <w:ind w:left="21" w:leftChars="10" w:right="21" w:rightChars="10"/>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Cs w:val="21"/>
                    </w:rPr>
                    <w:t>1.畜禽养殖场、养殖小区应当按照国家和省有关规定将畜禽粪便、废水进行综合利用或者无害化处理；规模化畜禽养殖场、养殖小区应当配套建设粪便污水贮存、处理、利用设施，推进粪便污水资源化利用；养殖专业户应当建设防雨、防渗、防漏、防外溢的粪便污水收集贮存设施，采用堆肥处理等措施实现粪便污水综合利用。 2.从2021年1月1日起，全面执行国家排放标准大气污染物特别排放限值；推进清洁取暖改造，推广使用天然气、液化石油气、太阳能、电能等清洁能源；开展建成区35蒸吨/小时以下燃煤锅炉淘汰，到2025年，城市建成区基本淘汰35蒸吨/小时及以下燃煤锅炉；逐步推进65蒸吨/小时及以上燃煤锅炉节能和超低排放改造。 3.城市中心区公共交通占机动化出行比例要达到60%，城市公交车、出租车力争全部更新（改造）为清洁能源或新能源汽车；推进柴油货车等高排放车辆深度治理；综合整治扬尘污染。 4.加强农业面源污染防治，加大种养业特别是规模化畜禽养殖污染防治力度，引导农民使用生物农药或高效、低毒、低残留农药，对农药包装进行无害化处理。</w:t>
                  </w:r>
                </w:p>
              </w:tc>
              <w:tc>
                <w:tcPr>
                  <w:tcW w:w="161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lang w:val="en-US" w:eastAsia="zh-CN"/>
                    </w:rPr>
                  </w:pPr>
                  <w:r>
                    <w:rPr>
                      <w:rFonts w:hint="default" w:ascii="Times New Roman" w:hAnsi="Times New Roman" w:eastAsia="宋体" w:cs="Times New Roman"/>
                      <w:color w:val="auto"/>
                      <w:spacing w:val="-1"/>
                      <w:sz w:val="21"/>
                      <w:szCs w:val="21"/>
                      <w:lang w:val="en-US" w:eastAsia="zh-CN"/>
                    </w:rPr>
                    <w:t>本项目不涉及</w:t>
                  </w:r>
                </w:p>
              </w:tc>
              <w:tc>
                <w:tcPr>
                  <w:tcW w:w="15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1"/>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9" w:hRule="atLeast"/>
              </w:trPr>
              <w:tc>
                <w:tcPr>
                  <w:tcW w:w="26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25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27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343"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35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6"/>
                      <w:sz w:val="21"/>
                      <w:szCs w:val="21"/>
                    </w:rPr>
                    <w:t>环境风险</w:t>
                  </w:r>
                  <w:r>
                    <w:rPr>
                      <w:rFonts w:hint="default" w:ascii="Times New Roman" w:hAnsi="Times New Roman" w:eastAsia="宋体" w:cs="Times New Roman"/>
                      <w:color w:val="auto"/>
                      <w:spacing w:val="-3"/>
                      <w:sz w:val="21"/>
                      <w:szCs w:val="21"/>
                    </w:rPr>
                    <w:t>防控</w:t>
                  </w:r>
                </w:p>
              </w:tc>
              <w:tc>
                <w:tcPr>
                  <w:tcW w:w="174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21" w:leftChars="10" w:right="21" w:rightChars="10" w:firstLine="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Cs w:val="21"/>
                    </w:rPr>
                    <w:t>1.加大执法检查力度，推动辖区内化工企业落实安全生产和环境保护主体责任，提升突发环境事件风险防控能力。 2.</w:t>
                  </w:r>
                  <w:r>
                    <w:rPr>
                      <w:rFonts w:hint="eastAsia" w:ascii="Times New Roman" w:hAnsi="Times New Roman" w:eastAsia="宋体" w:cs="Times New Roman"/>
                      <w:color w:val="auto"/>
                      <w:kern w:val="0"/>
                      <w:szCs w:val="21"/>
                      <w:lang w:eastAsia="zh-CN"/>
                    </w:rPr>
                    <w:t>紧邻</w:t>
                  </w:r>
                  <w:r>
                    <w:rPr>
                      <w:rFonts w:hint="default" w:ascii="Times New Roman" w:hAnsi="Times New Roman" w:eastAsia="宋体" w:cs="Times New Roman"/>
                      <w:color w:val="auto"/>
                      <w:kern w:val="0"/>
                      <w:szCs w:val="21"/>
                    </w:rPr>
                    <w:t>居住、科教、医院等环境敏感点的工业用地，禁止新建环境风险潜势等级Ⅳ/Ⅳ+级的建设项目。 3.重点加强对烧结、工业炉窑、医疗垃圾和危险废物焚烧有毒有害大气污染物排放企业的监管，按国家有关规定对排放有毒有害大气污染物的排放口和周边环境进行定期监测，建设环境风险预警体系，排查环境安全隐患，评估和防范环境风险。 4.优先保护耕地土壤环境，强化乡镇工业污染场地治理，开展土壤污染治理与修复试点工作。</w:t>
                  </w:r>
                </w:p>
              </w:tc>
              <w:tc>
                <w:tcPr>
                  <w:tcW w:w="161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3"/>
                      <w:sz w:val="21"/>
                      <w:szCs w:val="21"/>
                      <w:lang w:val="en-US" w:eastAsia="zh-CN"/>
                    </w:rPr>
                  </w:pPr>
                  <w:r>
                    <w:rPr>
                      <w:rFonts w:hint="default" w:ascii="Times New Roman" w:hAnsi="Times New Roman" w:eastAsia="宋体" w:cs="Times New Roman"/>
                      <w:color w:val="auto"/>
                      <w:spacing w:val="3"/>
                      <w:sz w:val="21"/>
                      <w:szCs w:val="21"/>
                      <w:lang w:val="en-US" w:eastAsia="zh-CN"/>
                    </w:rPr>
                    <w:t>本工程为输变电项目，不涉及上述禁止类项目，无相关污染物排放。</w:t>
                  </w:r>
                </w:p>
              </w:tc>
              <w:tc>
                <w:tcPr>
                  <w:tcW w:w="15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3"/>
                      <w:sz w:val="21"/>
                      <w:szCs w:val="21"/>
                      <w:lang w:val="en-US" w:eastAsia="zh-CN"/>
                    </w:rPr>
                  </w:pPr>
                  <w:r>
                    <w:rPr>
                      <w:rFonts w:hint="default" w:ascii="Times New Roman" w:hAnsi="Times New Roman" w:eastAsia="宋体" w:cs="Times New Roman"/>
                      <w:color w:val="auto"/>
                      <w:spacing w:val="3"/>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7" w:hRule="atLeast"/>
              </w:trPr>
              <w:tc>
                <w:tcPr>
                  <w:tcW w:w="26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25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27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343"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35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pacing w:val="13"/>
                      <w:sz w:val="21"/>
                      <w:szCs w:val="21"/>
                    </w:rPr>
                    <w:t>资源</w:t>
                  </w:r>
                  <w:r>
                    <w:rPr>
                      <w:rFonts w:hint="eastAsia" w:ascii="Times New Roman" w:hAnsi="Times New Roman" w:eastAsia="宋体" w:cs="Times New Roman"/>
                      <w:color w:val="auto"/>
                      <w:spacing w:val="16"/>
                      <w:sz w:val="21"/>
                      <w:szCs w:val="21"/>
                      <w:lang w:val="en-US" w:eastAsia="zh-CN"/>
                    </w:rPr>
                    <w:t>开发利用要求</w:t>
                  </w:r>
                </w:p>
              </w:tc>
              <w:tc>
                <w:tcPr>
                  <w:tcW w:w="174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21" w:leftChars="10" w:right="21" w:rightChars="10" w:firstLine="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Cs w:val="21"/>
                    </w:rPr>
                    <w:t>1.控制煤炭消费总量，严把新上、改扩建耗煤项目立项，对未实行煤炭消费减量替代的耗煤项目一律不予立项。 2.加快推广农业节水技术和措施，提高农田灌溉水资源利用效率，未依法完成水资源论证工作的建设项目，不予批准。 3.实施水资源总量控制，严格计划用水管理。</w:t>
                  </w:r>
                </w:p>
              </w:tc>
              <w:tc>
                <w:tcPr>
                  <w:tcW w:w="161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lang w:eastAsia="zh-CN"/>
                    </w:rPr>
                  </w:pPr>
                  <w:r>
                    <w:rPr>
                      <w:rFonts w:hint="default" w:ascii="Times New Roman" w:hAnsi="Times New Roman" w:eastAsia="宋体" w:cs="Times New Roman"/>
                      <w:color w:val="auto"/>
                      <w:spacing w:val="-1"/>
                      <w:sz w:val="21"/>
                      <w:szCs w:val="21"/>
                    </w:rPr>
                    <w:t>本项目</w:t>
                  </w:r>
                  <w:r>
                    <w:rPr>
                      <w:rFonts w:hint="default" w:ascii="Times New Roman" w:hAnsi="Times New Roman" w:eastAsia="宋体" w:cs="Times New Roman"/>
                      <w:color w:val="auto"/>
                      <w:spacing w:val="-1"/>
                      <w:sz w:val="21"/>
                      <w:szCs w:val="21"/>
                      <w:lang w:val="en-US" w:eastAsia="zh-CN"/>
                    </w:rPr>
                    <w:t>不涉及</w:t>
                  </w:r>
                </w:p>
              </w:tc>
              <w:tc>
                <w:tcPr>
                  <w:tcW w:w="15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3"/>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7" w:hRule="atLeast"/>
              </w:trPr>
              <w:tc>
                <w:tcPr>
                  <w:tcW w:w="26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ZH21130330001</w:t>
                  </w:r>
                </w:p>
              </w:tc>
              <w:tc>
                <w:tcPr>
                  <w:tcW w:w="25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27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343"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eastAsia"/>
                      <w:color w:val="auto"/>
                    </w:rPr>
                    <w:t>朝阳市龙城区一般管控区</w:t>
                  </w:r>
                </w:p>
              </w:tc>
              <w:tc>
                <w:tcPr>
                  <w:tcW w:w="350"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21"/>
                      <w:szCs w:val="21"/>
                      <w:lang w:val="en-US" w:eastAsia="zh-CN" w:bidi="ar-SA"/>
                    </w:rPr>
                  </w:pPr>
                  <w:r>
                    <w:rPr>
                      <w:rFonts w:hint="default" w:ascii="Times New Roman" w:hAnsi="Times New Roman" w:eastAsia="宋体" w:cs="Times New Roman"/>
                      <w:color w:val="auto"/>
                      <w:spacing w:val="-1"/>
                      <w:sz w:val="21"/>
                      <w:szCs w:val="21"/>
                    </w:rPr>
                    <w:t>空间布局约束</w:t>
                  </w:r>
                </w:p>
              </w:tc>
              <w:tc>
                <w:tcPr>
                  <w:tcW w:w="174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21" w:leftChars="10" w:right="21" w:rightChars="10" w:firstLine="0"/>
                    <w:jc w:val="both"/>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1.调整和优化产业结构，严格按照区域水环境承载能力，合理规划居住区和产业功能区；禁止非法占用水域；不得影响河道自然形态和河湖水生态功能；加快环保基础设施建设。 2. 经济信息化部门对高能耗、高污染企业落后生产设备和工艺的淘汰，重点监管行业企业搬迁改造等方面实施监督管理。 3.基本农田，实行严格保护，确保其面积不减少、土壤环境质量不下降，除法律规定的重点建设项目选址确实无法避让外，其他任何建设不得占用。</w:t>
                  </w:r>
                </w:p>
              </w:tc>
              <w:tc>
                <w:tcPr>
                  <w:tcW w:w="161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1"/>
                      <w:sz w:val="21"/>
                      <w:szCs w:val="21"/>
                    </w:rPr>
                    <w:t>本项目属于</w:t>
                  </w:r>
                  <w:r>
                    <w:rPr>
                      <w:rFonts w:hint="default" w:ascii="Times New Roman" w:hAnsi="Times New Roman" w:eastAsia="宋体" w:cs="Times New Roman"/>
                      <w:color w:val="auto"/>
                      <w:spacing w:val="-1"/>
                      <w:sz w:val="21"/>
                      <w:szCs w:val="21"/>
                      <w:lang w:val="en-US" w:eastAsia="zh-CN"/>
                    </w:rPr>
                    <w:t>输变电项目，不涉及上述管控要求</w:t>
                  </w:r>
                </w:p>
              </w:tc>
              <w:tc>
                <w:tcPr>
                  <w:tcW w:w="15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3"/>
                      <w:sz w:val="21"/>
                      <w:szCs w:val="21"/>
                      <w:lang w:val="en-US" w:eastAsia="zh-CN"/>
                    </w:rPr>
                  </w:pPr>
                  <w:r>
                    <w:rPr>
                      <w:rFonts w:hint="eastAsia" w:ascii="Times New Roman" w:hAnsi="Times New Roman" w:eastAsia="宋体" w:cs="Times New Roman"/>
                      <w:color w:val="auto"/>
                      <w:spacing w:val="3"/>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7" w:hRule="atLeast"/>
              </w:trPr>
              <w:tc>
                <w:tcPr>
                  <w:tcW w:w="26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25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27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343"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350"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6"/>
                      <w:sz w:val="21"/>
                      <w:szCs w:val="21"/>
                    </w:rPr>
                    <w:t>污染</w:t>
                  </w:r>
                  <w:r>
                    <w:rPr>
                      <w:rFonts w:hint="default" w:ascii="Times New Roman" w:hAnsi="Times New Roman" w:eastAsia="宋体" w:cs="Times New Roman"/>
                      <w:color w:val="auto"/>
                      <w:spacing w:val="17"/>
                      <w:sz w:val="21"/>
                      <w:szCs w:val="21"/>
                    </w:rPr>
                    <w:t>物排放管</w:t>
                  </w:r>
                  <w:r>
                    <w:rPr>
                      <w:rFonts w:hint="default" w:ascii="Times New Roman" w:hAnsi="Times New Roman" w:eastAsia="宋体" w:cs="Times New Roman"/>
                      <w:color w:val="auto"/>
                      <w:sz w:val="21"/>
                      <w:szCs w:val="21"/>
                    </w:rPr>
                    <w:t>控</w:t>
                  </w:r>
                </w:p>
              </w:tc>
              <w:tc>
                <w:tcPr>
                  <w:tcW w:w="174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21" w:leftChars="10" w:right="21" w:rightChars="10" w:firstLine="0"/>
                    <w:jc w:val="both"/>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1.推进城乡生活污水治理，保障污水达标排放；深入推进农业面源污染治理，重视城镇面源污染防治。 2.从2021年1月1日起，全面执行国家排放标准大气污染物特别排放限值；除依据城市供热专项规划确需保留的供暖锅炉以外，城市建成区20蒸吨/小时（或14兆瓦）及以下燃煤锅炉全部予以淘汰；推进清洁取暖改造，推广使用天然气、液化石油气、太阳能、电能等清洁能源。 3.城市中心区公共交通占机动化出行比例要达到60%，城市公交车、出租车力争全部更新（改造）为清洁能源或新能源汽车；推进柴油货车等高排放车辆深度治理；加快道路硬化，加强道路扬尘污染治理。 4.加强农业面源污染防治，加大种养业特别是规模化畜禽养殖污染防治力度，引导农民使用生物农药或高效、低毒、低残留农药，对农药包装进行无害化处理。</w:t>
                  </w:r>
                </w:p>
              </w:tc>
              <w:tc>
                <w:tcPr>
                  <w:tcW w:w="161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1"/>
                      <w:sz w:val="21"/>
                      <w:szCs w:val="21"/>
                    </w:rPr>
                    <w:t>本项目属于</w:t>
                  </w:r>
                  <w:r>
                    <w:rPr>
                      <w:rFonts w:hint="default" w:ascii="Times New Roman" w:hAnsi="Times New Roman" w:eastAsia="宋体" w:cs="Times New Roman"/>
                      <w:color w:val="auto"/>
                      <w:spacing w:val="-1"/>
                      <w:sz w:val="21"/>
                      <w:szCs w:val="21"/>
                      <w:lang w:val="en-US" w:eastAsia="zh-CN"/>
                    </w:rPr>
                    <w:t>输变电项目，不涉及上述管控要求</w:t>
                  </w:r>
                </w:p>
              </w:tc>
              <w:tc>
                <w:tcPr>
                  <w:tcW w:w="15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3"/>
                      <w:sz w:val="21"/>
                      <w:szCs w:val="21"/>
                      <w:lang w:val="en-US" w:eastAsia="zh-CN"/>
                    </w:rPr>
                  </w:pPr>
                  <w:r>
                    <w:rPr>
                      <w:rFonts w:hint="eastAsia" w:ascii="Times New Roman" w:hAnsi="Times New Roman" w:eastAsia="宋体" w:cs="Times New Roman"/>
                      <w:color w:val="auto"/>
                      <w:spacing w:val="3"/>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7" w:hRule="atLeast"/>
              </w:trPr>
              <w:tc>
                <w:tcPr>
                  <w:tcW w:w="26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25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27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343"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350"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6"/>
                      <w:sz w:val="21"/>
                      <w:szCs w:val="21"/>
                    </w:rPr>
                    <w:t>环境风险</w:t>
                  </w:r>
                  <w:r>
                    <w:rPr>
                      <w:rFonts w:hint="default" w:ascii="Times New Roman" w:hAnsi="Times New Roman" w:eastAsia="宋体" w:cs="Times New Roman"/>
                      <w:color w:val="auto"/>
                      <w:spacing w:val="-3"/>
                      <w:sz w:val="21"/>
                      <w:szCs w:val="21"/>
                    </w:rPr>
                    <w:t>防控</w:t>
                  </w:r>
                </w:p>
              </w:tc>
              <w:tc>
                <w:tcPr>
                  <w:tcW w:w="174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21" w:leftChars="10" w:right="21" w:rightChars="10" w:firstLine="0"/>
                    <w:jc w:val="both"/>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1.加大执法检查力度，推动辖区内化工企业落实安全生产和环境保护主体责任，提升突发环境事件风险防控能力。 2.对现有涉废气排放工业、企业加强监督管理和执法检查。 3.对拟收回土地使用权的，以及用途拟变更为居住和商业、学校、医疗、养老机构等公共设施的有色金属冶炼、石油加工、化工、焦化、电镀、制革等行业企业用地，由土地使用权人委托开展土壤环境状况调查评估。</w:t>
                  </w:r>
                </w:p>
              </w:tc>
              <w:tc>
                <w:tcPr>
                  <w:tcW w:w="161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1"/>
                      <w:sz w:val="21"/>
                      <w:szCs w:val="21"/>
                    </w:rPr>
                    <w:t>本项目属于</w:t>
                  </w:r>
                  <w:r>
                    <w:rPr>
                      <w:rFonts w:hint="default" w:ascii="Times New Roman" w:hAnsi="Times New Roman" w:eastAsia="宋体" w:cs="Times New Roman"/>
                      <w:color w:val="auto"/>
                      <w:spacing w:val="-1"/>
                      <w:sz w:val="21"/>
                      <w:szCs w:val="21"/>
                      <w:lang w:val="en-US" w:eastAsia="zh-CN"/>
                    </w:rPr>
                    <w:t>输变电项目，不涉及上述管控要求</w:t>
                  </w:r>
                </w:p>
              </w:tc>
              <w:tc>
                <w:tcPr>
                  <w:tcW w:w="15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3"/>
                      <w:sz w:val="21"/>
                      <w:szCs w:val="21"/>
                      <w:lang w:val="en-US" w:eastAsia="zh-CN"/>
                    </w:rPr>
                  </w:pPr>
                  <w:r>
                    <w:rPr>
                      <w:rFonts w:hint="eastAsia" w:ascii="Times New Roman" w:hAnsi="Times New Roman" w:eastAsia="宋体" w:cs="Times New Roman"/>
                      <w:color w:val="auto"/>
                      <w:spacing w:val="3"/>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7" w:hRule="atLeast"/>
              </w:trPr>
              <w:tc>
                <w:tcPr>
                  <w:tcW w:w="26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25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27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343"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350"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3"/>
                      <w:sz w:val="21"/>
                      <w:szCs w:val="21"/>
                    </w:rPr>
                    <w:t>资源</w:t>
                  </w:r>
                  <w:r>
                    <w:rPr>
                      <w:rFonts w:hint="eastAsia" w:ascii="Times New Roman" w:hAnsi="Times New Roman" w:eastAsia="宋体" w:cs="Times New Roman"/>
                      <w:color w:val="auto"/>
                      <w:spacing w:val="16"/>
                      <w:sz w:val="21"/>
                      <w:szCs w:val="21"/>
                      <w:lang w:val="en-US" w:eastAsia="zh-CN"/>
                    </w:rPr>
                    <w:t>开发利用要求</w:t>
                  </w:r>
                </w:p>
              </w:tc>
              <w:tc>
                <w:tcPr>
                  <w:tcW w:w="174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21" w:leftChars="10" w:right="21" w:rightChars="10" w:firstLine="0"/>
                    <w:jc w:val="both"/>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1.推动能源结构优化，加快发展清洁能源、可再生能源。 2.加快供水管网改造，降低人均生活用水量；加强农业节水，提高农业灌溉用水效率。 3.推进畜禽粪污、餐厨废弃物等垃圾集中处理和资源化利用</w:t>
                  </w:r>
                </w:p>
              </w:tc>
              <w:tc>
                <w:tcPr>
                  <w:tcW w:w="161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1"/>
                      <w:sz w:val="21"/>
                      <w:szCs w:val="21"/>
                    </w:rPr>
                    <w:t>本项目属于</w:t>
                  </w:r>
                  <w:r>
                    <w:rPr>
                      <w:rFonts w:hint="default" w:ascii="Times New Roman" w:hAnsi="Times New Roman" w:eastAsia="宋体" w:cs="Times New Roman"/>
                      <w:color w:val="auto"/>
                      <w:spacing w:val="-1"/>
                      <w:sz w:val="21"/>
                      <w:szCs w:val="21"/>
                      <w:lang w:val="en-US" w:eastAsia="zh-CN"/>
                    </w:rPr>
                    <w:t>输变电项目，不涉及上述管控要求</w:t>
                  </w:r>
                </w:p>
              </w:tc>
              <w:tc>
                <w:tcPr>
                  <w:tcW w:w="15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3"/>
                      <w:sz w:val="21"/>
                      <w:szCs w:val="21"/>
                      <w:lang w:val="en-US" w:eastAsia="zh-CN"/>
                    </w:rPr>
                  </w:pPr>
                  <w:r>
                    <w:rPr>
                      <w:rFonts w:hint="eastAsia" w:ascii="Times New Roman" w:hAnsi="Times New Roman" w:eastAsia="宋体" w:cs="Times New Roman"/>
                      <w:color w:val="auto"/>
                      <w:spacing w:val="3"/>
                      <w:sz w:val="21"/>
                      <w:szCs w:val="21"/>
                      <w:lang w:val="en-US" w:eastAsia="zh-CN"/>
                    </w:rPr>
                    <w:t>符合</w:t>
                  </w:r>
                </w:p>
              </w:tc>
            </w:tr>
          </w:tbl>
          <w:p>
            <w:pPr>
              <w:ind w:firstLine="516" w:firstLineChars="200"/>
              <w:rPr>
                <w:rFonts w:ascii="宋体" w:hAnsi="宋体" w:eastAsia="宋体" w:cs="宋体"/>
                <w:spacing w:val="9"/>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firstLine="516" w:firstLineChars="200"/>
              <w:textAlignment w:val="auto"/>
              <w:rPr>
                <w:rFonts w:hint="default" w:ascii="Times New Roman" w:hAnsi="Times New Roman" w:eastAsia="宋体" w:cs="Times New Roman"/>
                <w:spacing w:val="9"/>
                <w:sz w:val="24"/>
                <w:szCs w:val="24"/>
                <w:lang w:val="en-US" w:eastAsia="zh-CN"/>
              </w:rPr>
            </w:pPr>
            <w:r>
              <w:rPr>
                <w:rFonts w:hint="default" w:ascii="Times New Roman" w:hAnsi="Times New Roman" w:eastAsia="宋体" w:cs="Times New Roman"/>
                <w:spacing w:val="9"/>
                <w:sz w:val="24"/>
                <w:szCs w:val="24"/>
              </w:rPr>
              <w:t>综上，</w:t>
            </w:r>
            <w:r>
              <w:rPr>
                <w:rFonts w:hint="default" w:ascii="Times New Roman" w:hAnsi="Times New Roman" w:eastAsia="宋体" w:cs="Times New Roman"/>
                <w:spacing w:val="9"/>
                <w:sz w:val="24"/>
                <w:szCs w:val="24"/>
                <w:lang w:val="en-US" w:eastAsia="zh-CN"/>
              </w:rPr>
              <w:t>项目</w:t>
            </w:r>
            <w:r>
              <w:rPr>
                <w:rFonts w:hint="default" w:ascii="Times New Roman" w:hAnsi="Times New Roman" w:eastAsia="宋体" w:cs="Times New Roman"/>
                <w:spacing w:val="9"/>
                <w:sz w:val="24"/>
                <w:szCs w:val="24"/>
              </w:rPr>
              <w:t>满足《朝阳市生态环境分区管控动态更新方案（2023 年）》中的空间布局约束、污染物排放管控、环境风险防控和资源开发效率的要求。</w:t>
            </w:r>
          </w:p>
          <w:p>
            <w:pPr>
              <w:rPr>
                <w:rFonts w:ascii="Times New Roman" w:hAnsi="Times New Roman" w:eastAsia="宋体" w:cs="Times New Roman"/>
                <w:color w:val="auto"/>
                <w:sz w:val="24"/>
                <w:szCs w:val="24"/>
              </w:rPr>
            </w:pPr>
          </w:p>
          <w:p>
            <w:pPr>
              <w:rPr>
                <w:rFonts w:ascii="Times New Roman" w:hAnsi="Times New Roman" w:eastAsia="宋体" w:cs="Times New Roman"/>
                <w:color w:val="auto"/>
                <w:sz w:val="24"/>
                <w:szCs w:val="24"/>
              </w:rPr>
            </w:pPr>
          </w:p>
          <w:p>
            <w:pPr>
              <w:rPr>
                <w:rFonts w:ascii="Times New Roman" w:hAnsi="Times New Roman" w:eastAsia="宋体" w:cs="Times New Roman"/>
                <w:color w:val="auto"/>
                <w:sz w:val="24"/>
                <w:szCs w:val="24"/>
              </w:rPr>
            </w:pPr>
          </w:p>
        </w:tc>
      </w:tr>
    </w:tbl>
    <w:p>
      <w:pPr>
        <w:keepNext w:val="0"/>
        <w:keepLines w:val="0"/>
        <w:pageBreakBefore w:val="0"/>
        <w:widowControl w:val="0"/>
        <w:kinsoku/>
        <w:wordWrap/>
        <w:overflowPunct/>
        <w:topLinePunct w:val="0"/>
        <w:autoSpaceDE/>
        <w:autoSpaceDN/>
        <w:bidi w:val="0"/>
        <w:adjustRightInd/>
        <w:snapToGrid/>
        <w:spacing w:line="240" w:lineRule="auto"/>
        <w:jc w:val="left"/>
        <w:textAlignment w:val="auto"/>
        <w:outlineLvl w:val="0"/>
        <w:rPr>
          <w:rFonts w:hint="eastAsia" w:ascii="Times New Roman" w:hAnsi="Times New Roman" w:eastAsia="宋体" w:cs="Times New Roman"/>
          <w:b/>
          <w:bCs/>
          <w:color w:val="auto"/>
          <w:sz w:val="28"/>
          <w:szCs w:val="28"/>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21"/>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01"/>
        <w:gridCol w:w="771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904" w:hRule="atLeast"/>
          <w:jc w:val="center"/>
        </w:trPr>
        <w:tc>
          <w:tcPr>
            <w:tcW w:w="47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aps w:val="0"/>
                <w:color w:val="auto"/>
                <w:sz w:val="24"/>
                <w:szCs w:val="24"/>
                <w:lang w:val="en-US" w:eastAsia="zh-CN"/>
              </w:rPr>
            </w:pPr>
            <w:r>
              <w:rPr>
                <w:rFonts w:hint="eastAsia" w:ascii="Times New Roman" w:hAnsi="Times New Roman" w:eastAsia="宋体" w:cs="Times New Roman"/>
                <w:b/>
                <w:bCs/>
                <w:caps w:val="0"/>
                <w:color w:val="auto"/>
                <w:sz w:val="24"/>
                <w:szCs w:val="24"/>
                <w:lang w:val="en-US" w:eastAsia="zh-CN"/>
              </w:rPr>
              <w:t>其他符合性分析</w:t>
            </w:r>
          </w:p>
        </w:tc>
        <w:tc>
          <w:tcPr>
            <w:tcW w:w="4529" w:type="pct"/>
            <w:vAlign w:val="center"/>
          </w:tcPr>
          <w:p>
            <w:pPr>
              <w:pStyle w:val="38"/>
              <w:spacing w:line="357" w:lineRule="auto"/>
              <w:ind w:left="21" w:right="16" w:firstLine="475"/>
              <w:rPr>
                <w:rFonts w:hint="default" w:ascii="Times New Roman" w:hAnsi="Times New Roman" w:eastAsia="宋体" w:cs="Times New Roman"/>
                <w:color w:val="auto"/>
                <w:sz w:val="24"/>
                <w:szCs w:val="24"/>
              </w:rPr>
            </w:pPr>
            <w:r>
              <w:rPr>
                <w:rFonts w:hint="default" w:ascii="Times New Roman" w:hAnsi="Times New Roman" w:eastAsia="宋体" w:cs="Times New Roman"/>
                <w:b/>
                <w:bCs/>
                <w:caps w:val="0"/>
                <w:color w:val="auto"/>
                <w:kern w:val="2"/>
                <w:sz w:val="24"/>
                <w:szCs w:val="24"/>
                <w:lang w:val="en-US" w:eastAsia="zh-CN" w:bidi="ar-SA"/>
              </w:rPr>
              <w:t>3、与</w:t>
            </w:r>
            <w:r>
              <w:rPr>
                <w:rFonts w:hint="default" w:ascii="Times New Roman" w:hAnsi="Times New Roman" w:eastAsia="宋体" w:cs="Times New Roman"/>
                <w:b/>
                <w:bCs/>
                <w:color w:val="auto"/>
                <w:spacing w:val="-4"/>
                <w:sz w:val="24"/>
                <w:szCs w:val="24"/>
              </w:rPr>
              <w:t>《辽宁省生态环境厅关于加强新能源建设项目环境影响评</w:t>
            </w:r>
            <w:r>
              <w:rPr>
                <w:rFonts w:hint="default" w:ascii="Times New Roman" w:hAnsi="Times New Roman" w:eastAsia="宋体" w:cs="Times New Roman"/>
                <w:b/>
                <w:bCs/>
                <w:color w:val="auto"/>
                <w:spacing w:val="-2"/>
                <w:sz w:val="24"/>
                <w:szCs w:val="24"/>
              </w:rPr>
              <w:t>价管理工作的通知》辽环函</w:t>
            </w:r>
            <w:r>
              <w:rPr>
                <w:rFonts w:hint="eastAsia" w:ascii="Times New Roman" w:hAnsi="Times New Roman" w:eastAsia="宋体" w:cs="Times New Roman"/>
                <w:b/>
                <w:bCs/>
                <w:color w:val="auto"/>
                <w:spacing w:val="-2"/>
                <w:sz w:val="24"/>
                <w:szCs w:val="24"/>
                <w:lang w:eastAsia="zh-CN"/>
              </w:rPr>
              <w:t>〔2021〕</w:t>
            </w:r>
            <w:r>
              <w:rPr>
                <w:rFonts w:hint="default" w:ascii="Times New Roman" w:hAnsi="Times New Roman" w:cs="Times New Roman"/>
                <w:b/>
                <w:bCs/>
                <w:color w:val="auto"/>
                <w:spacing w:val="-2"/>
                <w:sz w:val="24"/>
                <w:szCs w:val="24"/>
              </w:rPr>
              <w:t>60</w:t>
            </w:r>
            <w:r>
              <w:rPr>
                <w:rFonts w:hint="default" w:ascii="Times New Roman" w:hAnsi="Times New Roman" w:cs="Times New Roman"/>
                <w:b/>
                <w:bCs/>
                <w:color w:val="auto"/>
                <w:spacing w:val="18"/>
                <w:sz w:val="24"/>
                <w:szCs w:val="24"/>
              </w:rPr>
              <w:t xml:space="preserve"> </w:t>
            </w:r>
            <w:r>
              <w:rPr>
                <w:rFonts w:hint="default" w:ascii="Times New Roman" w:hAnsi="Times New Roman" w:eastAsia="宋体" w:cs="Times New Roman"/>
                <w:b/>
                <w:bCs/>
                <w:color w:val="auto"/>
                <w:spacing w:val="-2"/>
                <w:sz w:val="24"/>
                <w:szCs w:val="24"/>
              </w:rPr>
              <w:t>号</w:t>
            </w:r>
            <w:r>
              <w:rPr>
                <w:rFonts w:hint="default" w:ascii="Times New Roman" w:hAnsi="Times New Roman" w:eastAsia="宋体" w:cs="Times New Roman"/>
                <w:b/>
                <w:bCs/>
                <w:color w:val="auto"/>
                <w:spacing w:val="-3"/>
                <w:sz w:val="24"/>
                <w:szCs w:val="24"/>
              </w:rPr>
              <w:t>相符性分析</w:t>
            </w:r>
          </w:p>
          <w:p>
            <w:pPr>
              <w:pStyle w:val="38"/>
              <w:spacing w:line="226" w:lineRule="auto"/>
              <w:ind w:left="18"/>
              <w:jc w:val="center"/>
              <w:rPr>
                <w:rFonts w:hint="default" w:ascii="Times New Roman" w:hAnsi="Times New Roman" w:eastAsia="宋体" w:cs="Times New Roman"/>
                <w:b/>
                <w:bCs/>
                <w:color w:val="auto"/>
                <w:spacing w:val="2"/>
                <w:sz w:val="21"/>
                <w:szCs w:val="21"/>
              </w:rPr>
            </w:pPr>
            <w:r>
              <w:rPr>
                <w:rFonts w:hint="default" w:ascii="Times New Roman" w:hAnsi="Times New Roman" w:eastAsia="宋体" w:cs="Times New Roman"/>
                <w:b/>
                <w:bCs/>
                <w:color w:val="auto"/>
                <w:sz w:val="21"/>
                <w:szCs w:val="21"/>
              </w:rPr>
              <w:t>表</w:t>
            </w:r>
            <w:r>
              <w:rPr>
                <w:rFonts w:hint="default" w:ascii="Times New Roman" w:hAnsi="Times New Roman" w:eastAsia="宋体" w:cs="Times New Roman"/>
                <w:color w:val="auto"/>
                <w:spacing w:val="-38"/>
                <w:sz w:val="21"/>
                <w:szCs w:val="21"/>
              </w:rPr>
              <w:t xml:space="preserve"> </w:t>
            </w:r>
            <w:r>
              <w:rPr>
                <w:rFonts w:hint="default" w:ascii="Times New Roman" w:hAnsi="Times New Roman" w:cs="Times New Roman"/>
                <w:b/>
                <w:bCs/>
                <w:color w:val="auto"/>
                <w:sz w:val="21"/>
                <w:szCs w:val="21"/>
              </w:rPr>
              <w:t>1-</w:t>
            </w:r>
            <w:r>
              <w:rPr>
                <w:rFonts w:hint="eastAsia" w:ascii="Times New Roman" w:hAnsi="Times New Roman" w:cs="Times New Roman"/>
                <w:b/>
                <w:bCs/>
                <w:color w:val="auto"/>
                <w:sz w:val="21"/>
                <w:szCs w:val="21"/>
                <w:lang w:val="en-US" w:eastAsia="zh-CN"/>
              </w:rPr>
              <w:t>5</w:t>
            </w:r>
            <w:r>
              <w:rPr>
                <w:rFonts w:hint="default" w:ascii="Times New Roman" w:hAnsi="Times New Roman" w:cs="Times New Roman"/>
                <w:b/>
                <w:bCs/>
                <w:color w:val="auto"/>
                <w:sz w:val="21"/>
                <w:szCs w:val="21"/>
              </w:rPr>
              <w:t xml:space="preserve"> </w:t>
            </w:r>
            <w:r>
              <w:rPr>
                <w:rFonts w:hint="default" w:ascii="Times New Roman" w:hAnsi="Times New Roman" w:eastAsia="宋体" w:cs="Times New Roman"/>
                <w:b/>
                <w:bCs/>
                <w:color w:val="auto"/>
                <w:sz w:val="21"/>
                <w:szCs w:val="21"/>
              </w:rPr>
              <w:t>与《辽宁省生态环境厅关于加强新能源建设项目环境影响评价管理</w:t>
            </w:r>
            <w:r>
              <w:rPr>
                <w:rFonts w:hint="default" w:ascii="Times New Roman" w:hAnsi="Times New Roman" w:eastAsia="宋体" w:cs="Times New Roman"/>
                <w:b/>
                <w:bCs/>
                <w:color w:val="auto"/>
                <w:spacing w:val="-1"/>
                <w:sz w:val="21"/>
                <w:szCs w:val="21"/>
              </w:rPr>
              <w:t>工作的</w:t>
            </w:r>
            <w:r>
              <w:rPr>
                <w:rFonts w:hint="default" w:ascii="Times New Roman" w:hAnsi="Times New Roman" w:eastAsia="宋体" w:cs="Times New Roman"/>
                <w:b/>
                <w:bCs/>
                <w:color w:val="auto"/>
                <w:spacing w:val="2"/>
                <w:sz w:val="21"/>
                <w:szCs w:val="21"/>
              </w:rPr>
              <w:t>通知》辽环函</w:t>
            </w:r>
            <w:r>
              <w:rPr>
                <w:rFonts w:hint="eastAsia" w:ascii="Times New Roman" w:hAnsi="Times New Roman" w:eastAsia="宋体" w:cs="Times New Roman"/>
                <w:b/>
                <w:bCs/>
                <w:color w:val="auto"/>
                <w:spacing w:val="2"/>
                <w:sz w:val="21"/>
                <w:szCs w:val="21"/>
                <w:lang w:eastAsia="zh-CN"/>
              </w:rPr>
              <w:t>〔2021〕</w:t>
            </w:r>
            <w:r>
              <w:rPr>
                <w:rFonts w:hint="default" w:ascii="Times New Roman" w:hAnsi="Times New Roman" w:cs="Times New Roman"/>
                <w:b/>
                <w:bCs/>
                <w:color w:val="auto"/>
                <w:spacing w:val="2"/>
                <w:sz w:val="21"/>
                <w:szCs w:val="21"/>
              </w:rPr>
              <w:t xml:space="preserve">60 </w:t>
            </w:r>
            <w:r>
              <w:rPr>
                <w:rFonts w:hint="default" w:ascii="Times New Roman" w:hAnsi="Times New Roman" w:eastAsia="宋体" w:cs="Times New Roman"/>
                <w:b/>
                <w:bCs/>
                <w:color w:val="auto"/>
                <w:spacing w:val="2"/>
                <w:sz w:val="21"/>
                <w:szCs w:val="21"/>
              </w:rPr>
              <w:t>号相符性分析</w:t>
            </w:r>
          </w:p>
          <w:tbl>
            <w:tblPr>
              <w:tblStyle w:val="31"/>
              <w:tblW w:w="4992"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096"/>
              <w:gridCol w:w="2783"/>
              <w:gridCol w:w="60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0" w:hRule="atLeast"/>
              </w:trPr>
              <w:tc>
                <w:tcPr>
                  <w:tcW w:w="273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技术要点</w:t>
                  </w:r>
                </w:p>
              </w:tc>
              <w:tc>
                <w:tcPr>
                  <w:tcW w:w="185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说明</w:t>
                  </w:r>
                </w:p>
              </w:tc>
              <w:tc>
                <w:tcPr>
                  <w:tcW w:w="40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符合</w:t>
                  </w:r>
                  <w:r>
                    <w:rPr>
                      <w:rFonts w:hint="default" w:ascii="Times New Roman" w:hAnsi="Times New Roman" w:eastAsia="宋体" w:cs="Times New Roman"/>
                      <w:color w:val="auto"/>
                      <w:sz w:val="21"/>
                      <w:szCs w:val="21"/>
                    </w:rPr>
                    <w:t>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180" w:hRule="atLeast"/>
              </w:trPr>
              <w:tc>
                <w:tcPr>
                  <w:tcW w:w="273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9"/>
                      <w:sz w:val="21"/>
                      <w:szCs w:val="21"/>
                    </w:rPr>
                    <w:t>第二条项目符合生态环境保护与自然</w:t>
                  </w:r>
                  <w:r>
                    <w:rPr>
                      <w:rFonts w:hint="default" w:ascii="Times New Roman" w:hAnsi="Times New Roman" w:eastAsia="宋体" w:cs="Times New Roman"/>
                      <w:color w:val="auto"/>
                      <w:spacing w:val="8"/>
                      <w:sz w:val="21"/>
                      <w:szCs w:val="21"/>
                    </w:rPr>
                    <w:t>资源相关法律、法规、政策以及</w:t>
                  </w:r>
                  <w:r>
                    <w:rPr>
                      <w:rFonts w:hint="default" w:ascii="Times New Roman" w:hAnsi="Times New Roman" w:cs="Times New Roman"/>
                      <w:color w:val="auto"/>
                      <w:spacing w:val="8"/>
                      <w:sz w:val="21"/>
                      <w:szCs w:val="21"/>
                    </w:rPr>
                    <w:t>“</w:t>
                  </w:r>
                  <w:r>
                    <w:rPr>
                      <w:rFonts w:hint="default" w:ascii="Times New Roman" w:hAnsi="Times New Roman" w:eastAsia="宋体" w:cs="Times New Roman"/>
                      <w:color w:val="auto"/>
                      <w:spacing w:val="8"/>
                      <w:sz w:val="21"/>
                      <w:szCs w:val="21"/>
                    </w:rPr>
                    <w:t>三线一单</w:t>
                  </w:r>
                  <w:r>
                    <w:rPr>
                      <w:rFonts w:hint="default" w:ascii="Times New Roman" w:hAnsi="Times New Roman" w:cs="Times New Roman"/>
                      <w:color w:val="auto"/>
                      <w:spacing w:val="8"/>
                      <w:sz w:val="21"/>
                      <w:szCs w:val="21"/>
                    </w:rPr>
                    <w:t>”</w:t>
                  </w:r>
                  <w:r>
                    <w:rPr>
                      <w:rFonts w:hint="default" w:ascii="Times New Roman" w:hAnsi="Times New Roman" w:eastAsia="宋体" w:cs="Times New Roman"/>
                      <w:color w:val="auto"/>
                      <w:spacing w:val="8"/>
                      <w:sz w:val="21"/>
                      <w:szCs w:val="21"/>
                    </w:rPr>
                    <w:t>生态环境分区管控要求，与主体</w:t>
                  </w:r>
                  <w:r>
                    <w:rPr>
                      <w:rFonts w:hint="default" w:ascii="Times New Roman" w:hAnsi="Times New Roman" w:eastAsia="宋体" w:cs="Times New Roman"/>
                      <w:color w:val="auto"/>
                      <w:spacing w:val="6"/>
                      <w:sz w:val="21"/>
                      <w:szCs w:val="21"/>
                    </w:rPr>
                    <w:t>功能区规划、环境功能区划、生态环境</w:t>
                  </w:r>
                  <w:r>
                    <w:rPr>
                      <w:rFonts w:hint="default" w:ascii="Times New Roman" w:hAnsi="Times New Roman" w:eastAsia="宋体" w:cs="Times New Roman"/>
                      <w:color w:val="auto"/>
                      <w:spacing w:val="8"/>
                      <w:sz w:val="21"/>
                      <w:szCs w:val="21"/>
                    </w:rPr>
                    <w:t>保护规划、国土空间规划、交通规划、</w:t>
                  </w:r>
                  <w:r>
                    <w:rPr>
                      <w:rFonts w:hint="default" w:ascii="Times New Roman" w:hAnsi="Times New Roman" w:eastAsia="宋体" w:cs="Times New Roman"/>
                      <w:color w:val="auto"/>
                      <w:spacing w:val="5"/>
                      <w:sz w:val="21"/>
                      <w:szCs w:val="21"/>
                    </w:rPr>
                    <w:t>电力发展规划、配套电网建设规划等相</w:t>
                  </w:r>
                  <w:r>
                    <w:rPr>
                      <w:rFonts w:hint="default" w:ascii="Times New Roman" w:hAnsi="Times New Roman" w:eastAsia="宋体" w:cs="Times New Roman"/>
                      <w:color w:val="auto"/>
                      <w:spacing w:val="8"/>
                      <w:sz w:val="21"/>
                      <w:szCs w:val="21"/>
                    </w:rPr>
                    <w:t>协调，项目选址符合相关规划。</w:t>
                  </w:r>
                </w:p>
              </w:tc>
              <w:tc>
                <w:tcPr>
                  <w:tcW w:w="185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本项目选址符合生态环境保护与自然资源相关</w:t>
                  </w:r>
                  <w:r>
                    <w:rPr>
                      <w:rFonts w:hint="default" w:ascii="Times New Roman" w:hAnsi="Times New Roman" w:eastAsia="宋体" w:cs="Times New Roman"/>
                      <w:color w:val="auto"/>
                      <w:spacing w:val="7"/>
                      <w:sz w:val="21"/>
                      <w:szCs w:val="21"/>
                    </w:rPr>
                    <w:t>法律、法规、政策，选址符合相关规划要求，</w:t>
                  </w:r>
                  <w:r>
                    <w:rPr>
                      <w:rFonts w:hint="eastAsia" w:ascii="Times New Roman" w:hAnsi="Times New Roman" w:eastAsia="宋体" w:cs="Times New Roman"/>
                      <w:color w:val="auto"/>
                      <w:spacing w:val="7"/>
                      <w:sz w:val="21"/>
                      <w:szCs w:val="21"/>
                      <w:lang w:val="en-US" w:eastAsia="zh-CN"/>
                    </w:rPr>
                    <w:t>输电线路</w:t>
                  </w:r>
                  <w:r>
                    <w:rPr>
                      <w:rFonts w:hint="default" w:ascii="Times New Roman" w:hAnsi="Times New Roman" w:eastAsia="宋体" w:cs="Times New Roman"/>
                      <w:color w:val="auto"/>
                      <w:spacing w:val="7"/>
                      <w:sz w:val="21"/>
                      <w:szCs w:val="21"/>
                    </w:rPr>
                    <w:t>配套设施不占用生态保护红线，不会</w:t>
                  </w:r>
                  <w:r>
                    <w:rPr>
                      <w:rFonts w:hint="default" w:ascii="Times New Roman" w:hAnsi="Times New Roman" w:eastAsia="宋体" w:cs="Times New Roman"/>
                      <w:color w:val="auto"/>
                      <w:spacing w:val="9"/>
                      <w:sz w:val="21"/>
                      <w:szCs w:val="21"/>
                    </w:rPr>
                    <w:t>对生态保护红线产生影</w:t>
                  </w:r>
                  <w:r>
                    <w:rPr>
                      <w:rFonts w:hint="default" w:ascii="Times New Roman" w:hAnsi="Times New Roman" w:eastAsia="宋体" w:cs="Times New Roman"/>
                      <w:color w:val="auto"/>
                      <w:spacing w:val="6"/>
                      <w:sz w:val="21"/>
                      <w:szCs w:val="21"/>
                    </w:rPr>
                    <w:t>响</w:t>
                  </w:r>
                </w:p>
              </w:tc>
              <w:tc>
                <w:tcPr>
                  <w:tcW w:w="40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10" w:hRule="atLeast"/>
              </w:trPr>
              <w:tc>
                <w:tcPr>
                  <w:tcW w:w="273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6"/>
                      <w:sz w:val="21"/>
                      <w:szCs w:val="21"/>
                    </w:rPr>
                    <w:t>第三条项目选址选线、施工布置未占用</w:t>
                  </w:r>
                  <w:r>
                    <w:rPr>
                      <w:rFonts w:hint="default" w:ascii="Times New Roman" w:hAnsi="Times New Roman" w:eastAsia="宋体" w:cs="Times New Roman"/>
                      <w:color w:val="auto"/>
                      <w:spacing w:val="7"/>
                      <w:sz w:val="21"/>
                      <w:szCs w:val="21"/>
                    </w:rPr>
                    <w:t>自然保护区、风景名胜区、森林公园、</w:t>
                  </w:r>
                  <w:r>
                    <w:rPr>
                      <w:rFonts w:hint="default" w:ascii="Times New Roman" w:hAnsi="Times New Roman" w:eastAsia="宋体" w:cs="Times New Roman"/>
                      <w:color w:val="auto"/>
                      <w:spacing w:val="6"/>
                      <w:sz w:val="21"/>
                      <w:szCs w:val="21"/>
                    </w:rPr>
                    <w:t>地质公园、重要湿地、饮用水水源保护区、基本草原、永久基本农田、珍稀濒危野生动植物天然集中分布区，以及天然林、防护林和特种用途林地等环境敏感区中法律法规禁止占用的区域，与世界文化和自然遗产地、历史文化名城名镇名村、文物保护单位的生态环境保护要求相协调。</w:t>
                  </w:r>
                </w:p>
              </w:tc>
              <w:tc>
                <w:tcPr>
                  <w:tcW w:w="1858"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snapToGrid w:val="0"/>
                      <w:color w:val="auto"/>
                      <w:kern w:val="0"/>
                      <w:sz w:val="21"/>
                      <w:szCs w:val="21"/>
                      <w:lang w:val="en-US" w:eastAsia="en-US" w:bidi="ar-SA"/>
                    </w:rPr>
                  </w:pPr>
                  <w:r>
                    <w:rPr>
                      <w:rFonts w:hint="eastAsia"/>
                      <w:color w:val="auto"/>
                      <w:lang w:eastAsia="zh-CN"/>
                    </w:rPr>
                    <w:t>本项目占用基本农田采用只占不征，进行一次性经济补偿的方式，确保基本农田地力等级不降低，且仅塔基四角的基础占地，其余地方均可种植，实际占用耕地面积较小，不涉及农用地转用和征用土地，项目符合《中华人民共和国基本农田保护条例》的相关要求。</w:t>
                  </w:r>
                  <w:r>
                    <w:rPr>
                      <w:rFonts w:hint="eastAsia"/>
                      <w:color w:val="auto"/>
                      <w:spacing w:val="-2"/>
                      <w:lang w:eastAsia="zh-CN"/>
                    </w:rPr>
                    <w:t>本项目不占用其他环境敏感区。</w:t>
                  </w:r>
                </w:p>
              </w:tc>
              <w:tc>
                <w:tcPr>
                  <w:tcW w:w="405" w:type="pc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06" w:hRule="atLeast"/>
              </w:trPr>
              <w:tc>
                <w:tcPr>
                  <w:tcW w:w="2735"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9"/>
                      <w:sz w:val="21"/>
                      <w:szCs w:val="21"/>
                    </w:rPr>
                    <w:t>第四条风力发电项目未占用生态功能</w:t>
                  </w:r>
                  <w:r>
                    <w:rPr>
                      <w:rFonts w:hint="default" w:ascii="Times New Roman" w:hAnsi="Times New Roman" w:eastAsia="宋体" w:cs="Times New Roman"/>
                      <w:color w:val="auto"/>
                      <w:spacing w:val="6"/>
                      <w:sz w:val="21"/>
                      <w:szCs w:val="21"/>
                    </w:rPr>
                    <w:t>重要、生态脆弱敏感区域的林地，沙化土地封禁保护区、鸟类主要迁徙通道和</w:t>
                  </w:r>
                  <w:r>
                    <w:rPr>
                      <w:rFonts w:hint="default" w:ascii="Times New Roman" w:hAnsi="Times New Roman" w:eastAsia="宋体" w:cs="Times New Roman"/>
                      <w:color w:val="auto"/>
                      <w:spacing w:val="9"/>
                      <w:sz w:val="21"/>
                      <w:szCs w:val="21"/>
                    </w:rPr>
                    <w:t>栖息地等区域以及沿海基干林带和消</w:t>
                  </w:r>
                  <w:r>
                    <w:rPr>
                      <w:rFonts w:hint="default" w:ascii="Times New Roman" w:hAnsi="Times New Roman" w:eastAsia="宋体" w:cs="Times New Roman"/>
                      <w:color w:val="auto"/>
                      <w:spacing w:val="6"/>
                      <w:sz w:val="21"/>
                      <w:szCs w:val="21"/>
                    </w:rPr>
                    <w:t>浪林带等敏感范围，不影响保护生物多样性、维护生态系统平衡和防治水土流失。风机基础、施工和检修道路、升压</w:t>
                  </w:r>
                  <w:r>
                    <w:rPr>
                      <w:rFonts w:hint="default" w:ascii="Times New Roman" w:hAnsi="Times New Roman" w:eastAsia="宋体" w:cs="Times New Roman"/>
                      <w:color w:val="auto"/>
                      <w:spacing w:val="8"/>
                      <w:sz w:val="21"/>
                      <w:szCs w:val="21"/>
                    </w:rPr>
                    <w:t>站、集电线路等应优化选址选线，</w:t>
                  </w:r>
                  <w:r>
                    <w:rPr>
                      <w:rFonts w:hint="default" w:ascii="Times New Roman" w:hAnsi="Times New Roman" w:eastAsia="宋体" w:cs="Times New Roman"/>
                      <w:color w:val="auto"/>
                      <w:spacing w:val="6"/>
                      <w:sz w:val="21"/>
                      <w:szCs w:val="21"/>
                    </w:rPr>
                    <w:t>尽量避让耕地、林地等优质土地，未占</w:t>
                  </w:r>
                  <w:r>
                    <w:rPr>
                      <w:rFonts w:hint="default" w:ascii="Times New Roman" w:hAnsi="Times New Roman" w:eastAsia="宋体" w:cs="Times New Roman"/>
                      <w:color w:val="auto"/>
                      <w:spacing w:val="8"/>
                      <w:sz w:val="21"/>
                      <w:szCs w:val="21"/>
                    </w:rPr>
                    <w:t>用</w:t>
                  </w:r>
                  <w:r>
                    <w:rPr>
                      <w:rFonts w:hint="default" w:ascii="Times New Roman" w:hAnsi="Times New Roman" w:cs="Times New Roman"/>
                      <w:color w:val="auto"/>
                      <w:spacing w:val="8"/>
                      <w:sz w:val="21"/>
                      <w:szCs w:val="21"/>
                    </w:rPr>
                    <w:t>I</w:t>
                  </w:r>
                  <w:r>
                    <w:rPr>
                      <w:rFonts w:hint="default" w:ascii="Times New Roman" w:hAnsi="Times New Roman" w:eastAsia="宋体" w:cs="Times New Roman"/>
                      <w:color w:val="auto"/>
                      <w:spacing w:val="8"/>
                      <w:sz w:val="21"/>
                      <w:szCs w:val="21"/>
                    </w:rPr>
                    <w:t>级保护林地和一级国家级公益林</w:t>
                  </w:r>
                  <w:r>
                    <w:rPr>
                      <w:rFonts w:hint="default" w:ascii="Times New Roman" w:hAnsi="Times New Roman" w:eastAsia="宋体" w:cs="Times New Roman"/>
                      <w:color w:val="auto"/>
                      <w:sz w:val="21"/>
                      <w:szCs w:val="21"/>
                    </w:rPr>
                    <w:t>地。</w:t>
                  </w:r>
                  <w:r>
                    <w:rPr>
                      <w:rFonts w:hint="default" w:ascii="Times New Roman" w:hAnsi="Times New Roman" w:eastAsia="宋体" w:cs="Times New Roman"/>
                      <w:color w:val="auto"/>
                      <w:spacing w:val="9"/>
                      <w:sz w:val="21"/>
                      <w:szCs w:val="21"/>
                    </w:rPr>
                    <w:t>风机点位应按照国家标准与高速公路</w:t>
                  </w:r>
                  <w:r>
                    <w:rPr>
                      <w:rFonts w:hint="default" w:ascii="Times New Roman" w:hAnsi="Times New Roman" w:eastAsia="宋体" w:cs="Times New Roman"/>
                      <w:color w:val="auto"/>
                      <w:spacing w:val="6"/>
                      <w:sz w:val="21"/>
                      <w:szCs w:val="21"/>
                    </w:rPr>
                    <w:t>和铁路保持足够的安全距离；风机点位应为城乡规划区、沿海区域建设规划区</w:t>
                  </w:r>
                  <w:r>
                    <w:rPr>
                      <w:rFonts w:hint="default" w:ascii="Times New Roman" w:hAnsi="Times New Roman" w:eastAsia="宋体" w:cs="Times New Roman"/>
                      <w:color w:val="auto"/>
                      <w:spacing w:val="5"/>
                      <w:sz w:val="21"/>
                      <w:szCs w:val="21"/>
                    </w:rPr>
                    <w:t>留有足够的开发空间，不影响城乡发展</w:t>
                  </w:r>
                  <w:r>
                    <w:rPr>
                      <w:rFonts w:hint="default" w:ascii="Times New Roman" w:hAnsi="Times New Roman" w:eastAsia="宋体" w:cs="Times New Roman"/>
                      <w:color w:val="auto"/>
                      <w:spacing w:val="6"/>
                      <w:sz w:val="21"/>
                      <w:szCs w:val="21"/>
                    </w:rPr>
                    <w:t>和沿海区域发展，符合国土空间规划的城镇开发边界管控要求。风力发电机组</w:t>
                  </w:r>
                  <w:r>
                    <w:rPr>
                      <w:rFonts w:hint="default" w:ascii="Times New Roman" w:hAnsi="Times New Roman" w:eastAsia="宋体" w:cs="Times New Roman"/>
                      <w:color w:val="auto"/>
                      <w:spacing w:val="7"/>
                      <w:sz w:val="21"/>
                      <w:szCs w:val="21"/>
                    </w:rPr>
                    <w:t>布置满足噪声与光影防护距离要求，防</w:t>
                  </w:r>
                  <w:r>
                    <w:rPr>
                      <w:rFonts w:hint="default" w:ascii="Times New Roman" w:hAnsi="Times New Roman" w:eastAsia="宋体" w:cs="Times New Roman"/>
                      <w:color w:val="auto"/>
                      <w:spacing w:val="6"/>
                      <w:sz w:val="21"/>
                      <w:szCs w:val="21"/>
                    </w:rPr>
                    <w:t>护距离根据噪声源强、轮毅高度、叶片长度、地形地貌等因素进行核定，防护</w:t>
                  </w:r>
                  <w:r>
                    <w:rPr>
                      <w:rFonts w:hint="default" w:ascii="Times New Roman" w:hAnsi="Times New Roman" w:eastAsia="宋体" w:cs="Times New Roman"/>
                      <w:color w:val="auto"/>
                      <w:spacing w:val="8"/>
                      <w:sz w:val="21"/>
                      <w:szCs w:val="21"/>
                    </w:rPr>
                    <w:t>距离内没有噪声与光影敏感建筑。</w:t>
                  </w:r>
                </w:p>
              </w:tc>
              <w:tc>
                <w:tcPr>
                  <w:tcW w:w="1858"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8"/>
                      <w:sz w:val="21"/>
                      <w:szCs w:val="21"/>
                    </w:rPr>
                    <w:t>本项目</w:t>
                  </w:r>
                  <w:r>
                    <w:rPr>
                      <w:rFonts w:hint="eastAsia" w:ascii="Times New Roman" w:hAnsi="Times New Roman" w:eastAsia="宋体" w:cs="Times New Roman"/>
                      <w:color w:val="auto"/>
                      <w:spacing w:val="8"/>
                      <w:sz w:val="21"/>
                      <w:szCs w:val="21"/>
                      <w:lang w:val="en-US" w:eastAsia="zh-CN"/>
                    </w:rPr>
                    <w:t>仅为输变电线路，不涉及变压站，</w:t>
                  </w:r>
                  <w:r>
                    <w:rPr>
                      <w:rFonts w:hint="default" w:ascii="Times New Roman" w:hAnsi="Times New Roman" w:eastAsia="宋体" w:cs="Times New Roman"/>
                      <w:color w:val="auto"/>
                      <w:spacing w:val="8"/>
                      <w:sz w:val="21"/>
                      <w:szCs w:val="21"/>
                    </w:rPr>
                    <w:t>选址不占鸟类主要迁徙通道和栖息地、</w:t>
                  </w:r>
                  <w:r>
                    <w:rPr>
                      <w:rFonts w:hint="default" w:ascii="Times New Roman" w:hAnsi="Times New Roman" w:cs="Times New Roman"/>
                      <w:color w:val="auto"/>
                      <w:spacing w:val="8"/>
                      <w:sz w:val="21"/>
                      <w:szCs w:val="21"/>
                    </w:rPr>
                    <w:t>I</w:t>
                  </w:r>
                  <w:r>
                    <w:rPr>
                      <w:rFonts w:hint="default" w:ascii="Times New Roman" w:hAnsi="Times New Roman" w:eastAsia="宋体" w:cs="Times New Roman"/>
                      <w:color w:val="auto"/>
                      <w:spacing w:val="8"/>
                      <w:sz w:val="21"/>
                      <w:szCs w:val="21"/>
                    </w:rPr>
                    <w:t>级保护林地和一级国家</w:t>
                  </w:r>
                  <w:r>
                    <w:rPr>
                      <w:rFonts w:hint="default" w:ascii="Times New Roman" w:hAnsi="Times New Roman" w:eastAsia="宋体" w:cs="Times New Roman"/>
                      <w:color w:val="auto"/>
                      <w:spacing w:val="7"/>
                      <w:sz w:val="21"/>
                      <w:szCs w:val="21"/>
                    </w:rPr>
                    <w:t>级公益林地；本项目</w:t>
                  </w:r>
                  <w:r>
                    <w:rPr>
                      <w:rFonts w:hint="eastAsia" w:ascii="Times New Roman" w:hAnsi="Times New Roman" w:eastAsia="宋体" w:cs="Times New Roman"/>
                      <w:color w:val="auto"/>
                      <w:spacing w:val="7"/>
                      <w:sz w:val="21"/>
                      <w:szCs w:val="21"/>
                      <w:lang w:val="en-US" w:eastAsia="zh-CN"/>
                    </w:rPr>
                    <w:t>线路工程</w:t>
                  </w:r>
                  <w:r>
                    <w:rPr>
                      <w:rFonts w:hint="default" w:ascii="Times New Roman" w:hAnsi="Times New Roman" w:eastAsia="宋体" w:cs="Times New Roman"/>
                      <w:color w:val="auto"/>
                      <w:spacing w:val="7"/>
                      <w:sz w:val="21"/>
                      <w:szCs w:val="21"/>
                    </w:rPr>
                    <w:t>与附近的高速公路</w:t>
                  </w:r>
                  <w:r>
                    <w:rPr>
                      <w:rFonts w:hint="default" w:ascii="Times New Roman" w:hAnsi="Times New Roman" w:eastAsia="宋体" w:cs="Times New Roman"/>
                      <w:color w:val="auto"/>
                      <w:spacing w:val="8"/>
                      <w:sz w:val="21"/>
                      <w:szCs w:val="21"/>
                    </w:rPr>
                    <w:t>和铁路保持足够的安全</w:t>
                  </w:r>
                  <w:r>
                    <w:rPr>
                      <w:rFonts w:hint="default" w:ascii="Times New Roman" w:hAnsi="Times New Roman" w:eastAsia="宋体" w:cs="Times New Roman"/>
                      <w:color w:val="auto"/>
                      <w:spacing w:val="7"/>
                      <w:sz w:val="21"/>
                      <w:szCs w:val="21"/>
                    </w:rPr>
                    <w:t>距离；选址已为</w:t>
                  </w:r>
                  <w:r>
                    <w:rPr>
                      <w:rFonts w:hint="default" w:ascii="Times New Roman" w:hAnsi="Times New Roman" w:eastAsia="宋体" w:cs="Times New Roman"/>
                      <w:color w:val="auto"/>
                      <w:spacing w:val="8"/>
                      <w:sz w:val="21"/>
                      <w:szCs w:val="21"/>
                    </w:rPr>
                    <w:t>城乡规划区留有足够的</w:t>
                  </w:r>
                  <w:r>
                    <w:rPr>
                      <w:rFonts w:hint="default" w:ascii="Times New Roman" w:hAnsi="Times New Roman" w:eastAsia="宋体" w:cs="Times New Roman"/>
                      <w:color w:val="auto"/>
                      <w:spacing w:val="7"/>
                      <w:sz w:val="21"/>
                      <w:szCs w:val="21"/>
                    </w:rPr>
                    <w:t>开发空间，不影响城乡发</w:t>
                  </w:r>
                  <w:r>
                    <w:rPr>
                      <w:rFonts w:hint="default" w:ascii="Times New Roman" w:hAnsi="Times New Roman" w:eastAsia="宋体" w:cs="Times New Roman"/>
                      <w:color w:val="auto"/>
                      <w:spacing w:val="-1"/>
                      <w:sz w:val="21"/>
                      <w:szCs w:val="21"/>
                    </w:rPr>
                    <w:t>展；</w:t>
                  </w:r>
                  <w:r>
                    <w:rPr>
                      <w:rFonts w:hint="default" w:ascii="Times New Roman" w:hAnsi="Times New Roman" w:eastAsia="宋体" w:cs="Times New Roman"/>
                      <w:color w:val="auto"/>
                      <w:spacing w:val="8"/>
                      <w:sz w:val="21"/>
                      <w:szCs w:val="21"/>
                    </w:rPr>
                    <w:t>声敏感建筑为</w:t>
                  </w:r>
                  <w:r>
                    <w:rPr>
                      <w:rFonts w:hint="eastAsia" w:ascii="Times New Roman" w:hAnsi="Times New Roman" w:eastAsia="宋体" w:cs="Times New Roman"/>
                      <w:color w:val="auto"/>
                      <w:spacing w:val="8"/>
                      <w:sz w:val="21"/>
                      <w:szCs w:val="21"/>
                      <w:lang w:val="en-US" w:eastAsia="zh-CN"/>
                    </w:rPr>
                    <w:t>居民民房一处</w:t>
                  </w:r>
                  <w:r>
                    <w:rPr>
                      <w:rFonts w:hint="default" w:ascii="Times New Roman" w:hAnsi="Times New Roman" w:eastAsia="宋体" w:cs="Times New Roman"/>
                      <w:color w:val="auto"/>
                      <w:spacing w:val="7"/>
                      <w:sz w:val="21"/>
                      <w:szCs w:val="21"/>
                    </w:rPr>
                    <w:t>。</w:t>
                  </w:r>
                </w:p>
              </w:tc>
              <w:tc>
                <w:tcPr>
                  <w:tcW w:w="405"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3"/>
                      <w:sz w:val="21"/>
                      <w:szCs w:val="21"/>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02" w:hRule="atLeast"/>
              </w:trPr>
              <w:tc>
                <w:tcPr>
                  <w:tcW w:w="2735"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9"/>
                      <w:sz w:val="21"/>
                      <w:szCs w:val="21"/>
                    </w:rPr>
                    <w:t>第七条升压站、输电线路选址选线合</w:t>
                  </w:r>
                  <w:r>
                    <w:rPr>
                      <w:rFonts w:hint="default" w:ascii="Times New Roman" w:hAnsi="Times New Roman" w:eastAsia="宋体" w:cs="Times New Roman"/>
                      <w:color w:val="auto"/>
                      <w:spacing w:val="6"/>
                      <w:sz w:val="21"/>
                      <w:szCs w:val="21"/>
                    </w:rPr>
                    <w:t>理，升压站选用低噪声设备，并采取降噪措施，确保边界和周围环境保护目标</w:t>
                  </w:r>
                  <w:r>
                    <w:rPr>
                      <w:rFonts w:hint="default" w:ascii="Times New Roman" w:hAnsi="Times New Roman" w:eastAsia="宋体" w:cs="Times New Roman"/>
                      <w:color w:val="auto"/>
                      <w:spacing w:val="8"/>
                      <w:sz w:val="21"/>
                      <w:szCs w:val="21"/>
                    </w:rPr>
                    <w:t>的电磁环境和声环境满足相关标准要</w:t>
                  </w:r>
                  <w:r>
                    <w:rPr>
                      <w:rFonts w:hint="default" w:ascii="Times New Roman" w:hAnsi="Times New Roman" w:eastAsia="宋体" w:cs="Times New Roman"/>
                      <w:color w:val="auto"/>
                      <w:spacing w:val="-1"/>
                      <w:sz w:val="21"/>
                      <w:szCs w:val="21"/>
                    </w:rPr>
                    <w:t>求。</w:t>
                  </w:r>
                </w:p>
              </w:tc>
              <w:tc>
                <w:tcPr>
                  <w:tcW w:w="1858" w:type="pct"/>
                  <w:tcBorders>
                    <w:tl2br w:val="nil"/>
                    <w:tr2bl w:val="nil"/>
                  </w:tcBorders>
                  <w:shd w:val="clear" w:color="auto" w:fill="auto"/>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6"/>
                      <w:sz w:val="21"/>
                      <w:szCs w:val="21"/>
                    </w:rPr>
                    <w:t>输电线路选线已可能避让环境敏感目标，通过预测，输电线路周围环境保护目标的电磁环境和声环境满足相关标准要求。</w:t>
                  </w:r>
                </w:p>
              </w:tc>
              <w:tc>
                <w:tcPr>
                  <w:tcW w:w="405"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3"/>
                      <w:sz w:val="21"/>
                      <w:szCs w:val="21"/>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06" w:hRule="atLeast"/>
              </w:trPr>
              <w:tc>
                <w:tcPr>
                  <w:tcW w:w="2735"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6"/>
                      <w:sz w:val="21"/>
                      <w:szCs w:val="21"/>
                    </w:rPr>
                    <w:t>第八条风力发电、光伏发电项目不设置集中施工场地，使用预拌混凝土；施工期避开多雨期，不随意压占、扰动和破坏地表植被；采取剥离表土和回填复垦措施，对造成生态影响的区域及时清理并采取有效防护措施；对新建道路和施工临时道路采取硬化措施，以及生态恢</w:t>
                  </w:r>
                  <w:r>
                    <w:rPr>
                      <w:rFonts w:hint="default" w:ascii="Times New Roman" w:hAnsi="Times New Roman" w:eastAsia="宋体" w:cs="Times New Roman"/>
                      <w:color w:val="auto"/>
                      <w:spacing w:val="7"/>
                      <w:sz w:val="21"/>
                      <w:szCs w:val="21"/>
                    </w:rPr>
                    <w:t>复建设和绿化措施。</w:t>
                  </w:r>
                </w:p>
              </w:tc>
              <w:tc>
                <w:tcPr>
                  <w:tcW w:w="1858"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8"/>
                      <w:sz w:val="21"/>
                      <w:szCs w:val="21"/>
                    </w:rPr>
                    <w:t>本项目施工期不设置集</w:t>
                  </w:r>
                  <w:r>
                    <w:rPr>
                      <w:rFonts w:hint="default" w:ascii="Times New Roman" w:hAnsi="Times New Roman" w:eastAsia="宋体" w:cs="Times New Roman"/>
                      <w:color w:val="auto"/>
                      <w:spacing w:val="6"/>
                      <w:sz w:val="21"/>
                      <w:szCs w:val="21"/>
                    </w:rPr>
                    <w:t>中施工场地，使用预拌混</w:t>
                  </w:r>
                  <w:r>
                    <w:rPr>
                      <w:rFonts w:hint="default" w:ascii="Times New Roman" w:hAnsi="Times New Roman" w:eastAsia="宋体" w:cs="Times New Roman"/>
                      <w:color w:val="auto"/>
                      <w:spacing w:val="9"/>
                      <w:sz w:val="21"/>
                      <w:szCs w:val="21"/>
                    </w:rPr>
                    <w:t>凝土；施工期避开多雨</w:t>
                  </w:r>
                  <w:r>
                    <w:rPr>
                      <w:rFonts w:hint="default" w:ascii="Times New Roman" w:hAnsi="Times New Roman" w:eastAsia="宋体" w:cs="Times New Roman"/>
                      <w:color w:val="auto"/>
                      <w:spacing w:val="7"/>
                      <w:sz w:val="21"/>
                      <w:szCs w:val="21"/>
                    </w:rPr>
                    <w:t>期；本项目采取剥离表土和回填复垦措施，对造成</w:t>
                  </w:r>
                  <w:r>
                    <w:rPr>
                      <w:rFonts w:hint="default" w:ascii="Times New Roman" w:hAnsi="Times New Roman" w:eastAsia="宋体" w:cs="Times New Roman"/>
                      <w:color w:val="auto"/>
                      <w:spacing w:val="8"/>
                      <w:sz w:val="21"/>
                      <w:szCs w:val="21"/>
                    </w:rPr>
                    <w:t>生态影响的区域及时清</w:t>
                  </w:r>
                  <w:r>
                    <w:rPr>
                      <w:rFonts w:hint="default" w:ascii="Times New Roman" w:hAnsi="Times New Roman" w:eastAsia="宋体" w:cs="Times New Roman"/>
                      <w:color w:val="auto"/>
                      <w:spacing w:val="7"/>
                      <w:sz w:val="21"/>
                      <w:szCs w:val="21"/>
                    </w:rPr>
                    <w:t>理；对施工临</w:t>
                  </w:r>
                  <w:r>
                    <w:rPr>
                      <w:rFonts w:hint="default" w:ascii="Times New Roman" w:hAnsi="Times New Roman" w:eastAsia="宋体" w:cs="Times New Roman"/>
                      <w:color w:val="auto"/>
                      <w:spacing w:val="9"/>
                      <w:sz w:val="21"/>
                      <w:szCs w:val="21"/>
                    </w:rPr>
                    <w:t>时道路采取硬化措施，以及生态恢复建设和绿化</w:t>
                  </w:r>
                  <w:r>
                    <w:rPr>
                      <w:rFonts w:hint="default" w:ascii="Times New Roman" w:hAnsi="Times New Roman" w:eastAsia="宋体" w:cs="Times New Roman"/>
                      <w:color w:val="auto"/>
                      <w:spacing w:val="3"/>
                      <w:sz w:val="21"/>
                      <w:szCs w:val="21"/>
                    </w:rPr>
                    <w:t>措施。</w:t>
                  </w:r>
                </w:p>
              </w:tc>
              <w:tc>
                <w:tcPr>
                  <w:tcW w:w="405"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3"/>
                      <w:sz w:val="21"/>
                      <w:szCs w:val="21"/>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06" w:hRule="atLeast"/>
              </w:trPr>
              <w:tc>
                <w:tcPr>
                  <w:tcW w:w="2735"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9"/>
                      <w:sz w:val="21"/>
                      <w:szCs w:val="21"/>
                    </w:rPr>
                    <w:t>第十二条按相关导则及规定要求制定</w:t>
                  </w:r>
                  <w:r>
                    <w:rPr>
                      <w:rFonts w:hint="default" w:ascii="Times New Roman" w:hAnsi="Times New Roman" w:eastAsia="宋体" w:cs="Times New Roman"/>
                      <w:color w:val="auto"/>
                      <w:spacing w:val="5"/>
                      <w:sz w:val="21"/>
                      <w:szCs w:val="21"/>
                    </w:rPr>
                    <w:t>了噪声、大气、生态和电磁等环境要素</w:t>
                  </w:r>
                  <w:r>
                    <w:rPr>
                      <w:rFonts w:hint="default" w:ascii="Times New Roman" w:hAnsi="Times New Roman" w:eastAsia="宋体" w:cs="Times New Roman"/>
                      <w:color w:val="auto"/>
                      <w:spacing w:val="7"/>
                      <w:sz w:val="21"/>
                      <w:szCs w:val="21"/>
                    </w:rPr>
                    <w:t>的监测计划，明确了监测网点、因子、</w:t>
                  </w:r>
                  <w:r>
                    <w:rPr>
                      <w:rFonts w:hint="default" w:ascii="Times New Roman" w:hAnsi="Times New Roman" w:eastAsia="宋体" w:cs="Times New Roman"/>
                      <w:color w:val="auto"/>
                      <w:spacing w:val="6"/>
                      <w:sz w:val="21"/>
                      <w:szCs w:val="21"/>
                    </w:rPr>
                    <w:t>频次等有关要求，提出了根据监测评估结果优化生态环境保护措施的要求。根据需要和相关规定，提出了开展生态环境保护设计、科学研究、环境管理、环</w:t>
                  </w:r>
                  <w:r>
                    <w:rPr>
                      <w:rFonts w:hint="default" w:ascii="Times New Roman" w:hAnsi="Times New Roman" w:eastAsia="宋体" w:cs="Times New Roman"/>
                      <w:color w:val="auto"/>
                      <w:spacing w:val="7"/>
                      <w:sz w:val="21"/>
                      <w:szCs w:val="21"/>
                    </w:rPr>
                    <w:t>境影响后评价等要求。</w:t>
                  </w:r>
                </w:p>
              </w:tc>
              <w:tc>
                <w:tcPr>
                  <w:tcW w:w="1858"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9"/>
                      <w:sz w:val="21"/>
                      <w:szCs w:val="21"/>
                    </w:rPr>
                    <w:t>报告按相关导则及规定</w:t>
                  </w:r>
                  <w:r>
                    <w:rPr>
                      <w:rFonts w:hint="default" w:ascii="Times New Roman" w:hAnsi="Times New Roman" w:eastAsia="宋体" w:cs="Times New Roman"/>
                      <w:color w:val="auto"/>
                      <w:spacing w:val="8"/>
                      <w:sz w:val="21"/>
                      <w:szCs w:val="21"/>
                    </w:rPr>
                    <w:t>要求制定了噪声、大气、生态和电磁等环境要素</w:t>
                  </w:r>
                  <w:r>
                    <w:rPr>
                      <w:rFonts w:hint="default" w:ascii="Times New Roman" w:hAnsi="Times New Roman" w:eastAsia="宋体" w:cs="Times New Roman"/>
                      <w:color w:val="auto"/>
                      <w:spacing w:val="6"/>
                      <w:sz w:val="21"/>
                      <w:szCs w:val="21"/>
                    </w:rPr>
                    <w:t>的监测计划，明确了监测点位、因子、频次等有关</w:t>
                  </w:r>
                  <w:r>
                    <w:rPr>
                      <w:rFonts w:hint="default" w:ascii="Times New Roman" w:hAnsi="Times New Roman" w:eastAsia="宋体" w:cs="Times New Roman"/>
                      <w:color w:val="auto"/>
                      <w:spacing w:val="7"/>
                      <w:sz w:val="21"/>
                      <w:szCs w:val="21"/>
                    </w:rPr>
                    <w:t>要求，提出了根据监测评</w:t>
                  </w:r>
                  <w:r>
                    <w:rPr>
                      <w:rFonts w:hint="default" w:ascii="Times New Roman" w:hAnsi="Times New Roman" w:eastAsia="宋体" w:cs="Times New Roman"/>
                      <w:color w:val="auto"/>
                      <w:spacing w:val="8"/>
                      <w:sz w:val="21"/>
                      <w:szCs w:val="21"/>
                    </w:rPr>
                    <w:t>估结果优化生态环境保</w:t>
                  </w:r>
                  <w:r>
                    <w:rPr>
                      <w:rFonts w:hint="default" w:ascii="Times New Roman" w:hAnsi="Times New Roman" w:eastAsia="宋体" w:cs="Times New Roman"/>
                      <w:color w:val="auto"/>
                      <w:spacing w:val="7"/>
                      <w:sz w:val="21"/>
                      <w:szCs w:val="21"/>
                    </w:rPr>
                    <w:t>护措施的要求。根据需要和相关规定，并提出了开展生态环境保护设计、科学研究、环境管理、环境影响后评价等要求。</w:t>
                  </w:r>
                </w:p>
              </w:tc>
              <w:tc>
                <w:tcPr>
                  <w:tcW w:w="405" w:type="pct"/>
                  <w:tcBorders>
                    <w:tl2br w:val="nil"/>
                    <w:tr2bl w:val="nil"/>
                  </w:tcBorders>
                  <w:shd w:val="clear" w:color="auto" w:fill="auto"/>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firstLine="0"/>
                    <w:jc w:val="center"/>
                    <w:textAlignment w:val="baseline"/>
                    <w:rPr>
                      <w:rFonts w:hint="default" w:ascii="Times New Roman" w:hAnsi="Times New Roman" w:eastAsia="宋体" w:cs="Times New Roman"/>
                      <w:snapToGrid w:val="0"/>
                      <w:color w:val="auto"/>
                      <w:kern w:val="0"/>
                      <w:sz w:val="21"/>
                      <w:szCs w:val="21"/>
                      <w:lang w:val="en-US" w:eastAsia="en-US" w:bidi="ar-SA"/>
                    </w:rPr>
                  </w:pPr>
                  <w:r>
                    <w:rPr>
                      <w:rFonts w:hint="default" w:ascii="Times New Roman" w:hAnsi="Times New Roman" w:eastAsia="宋体" w:cs="Times New Roman"/>
                      <w:color w:val="auto"/>
                      <w:spacing w:val="3"/>
                      <w:sz w:val="21"/>
                      <w:szCs w:val="21"/>
                    </w:rPr>
                    <w:t>符合</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Times New Roman" w:hAnsi="Times New Roman" w:eastAsia="宋体" w:cs="Times New Roman"/>
                <w:b/>
                <w:bCs/>
                <w:color w:val="auto"/>
                <w:kern w:val="0"/>
                <w:sz w:val="24"/>
                <w:szCs w:val="24"/>
                <w:lang w:val="en-US" w:eastAsia="zh-CN" w:bidi="ar"/>
              </w:rPr>
            </w:pPr>
            <w:r>
              <w:rPr>
                <w:rFonts w:hint="eastAsia" w:ascii="Times New Roman" w:hAnsi="Times New Roman" w:eastAsia="宋体" w:cs="Times New Roman"/>
                <w:b/>
                <w:bCs/>
                <w:color w:val="auto"/>
                <w:kern w:val="0"/>
                <w:sz w:val="24"/>
                <w:szCs w:val="24"/>
                <w:lang w:val="en-US" w:eastAsia="zh-CN" w:bidi="ar"/>
              </w:rPr>
              <w:t>4.与防沙治沙相关政策相符性分析</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6" w:firstLineChars="200"/>
              <w:jc w:val="center"/>
              <w:textAlignment w:val="auto"/>
              <w:rPr>
                <w:rFonts w:hint="default" w:ascii="Times New Roman" w:hAnsi="Times New Roman" w:eastAsia="宋体" w:cs="Times New Roman"/>
                <w:b/>
                <w:bCs/>
                <w:color w:val="auto"/>
                <w:spacing w:val="6"/>
                <w:sz w:val="21"/>
                <w:szCs w:val="21"/>
              </w:rPr>
            </w:pPr>
            <w:r>
              <w:rPr>
                <w:rFonts w:hint="default" w:ascii="Times New Roman" w:hAnsi="Times New Roman" w:eastAsia="宋体" w:cs="Times New Roman"/>
                <w:b/>
                <w:bCs/>
                <w:color w:val="auto"/>
                <w:spacing w:val="6"/>
                <w:sz w:val="21"/>
                <w:szCs w:val="21"/>
              </w:rPr>
              <w:t>表</w:t>
            </w:r>
            <w:r>
              <w:rPr>
                <w:rFonts w:hint="default" w:ascii="Times New Roman" w:hAnsi="Times New Roman" w:eastAsia="宋体" w:cs="Times New Roman"/>
                <w:color w:val="auto"/>
                <w:spacing w:val="-26"/>
                <w:sz w:val="21"/>
                <w:szCs w:val="21"/>
              </w:rPr>
              <w:t xml:space="preserve"> </w:t>
            </w:r>
            <w:r>
              <w:rPr>
                <w:rFonts w:hint="default" w:ascii="Times New Roman" w:hAnsi="Times New Roman" w:cs="Times New Roman"/>
                <w:b/>
                <w:bCs/>
                <w:color w:val="auto"/>
                <w:spacing w:val="6"/>
                <w:sz w:val="21"/>
                <w:szCs w:val="21"/>
              </w:rPr>
              <w:t>1-</w:t>
            </w:r>
            <w:r>
              <w:rPr>
                <w:rFonts w:hint="eastAsia" w:ascii="Times New Roman" w:hAnsi="Times New Roman" w:cs="Times New Roman"/>
                <w:b/>
                <w:bCs/>
                <w:color w:val="auto"/>
                <w:spacing w:val="6"/>
                <w:sz w:val="21"/>
                <w:szCs w:val="21"/>
                <w:lang w:val="en-US" w:eastAsia="zh-CN"/>
              </w:rPr>
              <w:t>6</w:t>
            </w:r>
            <w:r>
              <w:rPr>
                <w:rFonts w:hint="default" w:ascii="Times New Roman" w:hAnsi="Times New Roman" w:cs="Times New Roman"/>
                <w:b/>
                <w:bCs/>
                <w:color w:val="auto"/>
                <w:spacing w:val="6"/>
                <w:sz w:val="21"/>
                <w:szCs w:val="21"/>
              </w:rPr>
              <w:t xml:space="preserve"> </w:t>
            </w:r>
            <w:r>
              <w:rPr>
                <w:rFonts w:hint="default" w:ascii="Times New Roman" w:hAnsi="Times New Roman" w:eastAsia="宋体" w:cs="Times New Roman"/>
                <w:b/>
                <w:bCs/>
                <w:color w:val="auto"/>
                <w:spacing w:val="6"/>
                <w:sz w:val="21"/>
                <w:szCs w:val="21"/>
              </w:rPr>
              <w:t>本项目与防沙治沙相符性分析表</w:t>
            </w:r>
          </w:p>
          <w:tbl>
            <w:tblPr>
              <w:tblStyle w:val="31"/>
              <w:tblW w:w="7431" w:type="dxa"/>
              <w:tblInd w:w="2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13"/>
              <w:gridCol w:w="3352"/>
              <w:gridCol w:w="2205"/>
              <w:gridCol w:w="96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0" w:hRule="atLeast"/>
              </w:trPr>
              <w:tc>
                <w:tcPr>
                  <w:tcW w:w="913"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z w:val="21"/>
                      <w:szCs w:val="21"/>
                    </w:rPr>
                  </w:pPr>
                  <w:r>
                    <w:rPr>
                      <w:rFonts w:ascii="宋体" w:hAnsi="宋体" w:eastAsia="宋体" w:cs="宋体"/>
                      <w:color w:val="auto"/>
                      <w:spacing w:val="3"/>
                      <w:sz w:val="21"/>
                      <w:szCs w:val="21"/>
                    </w:rPr>
                    <w:t>名称</w:t>
                  </w:r>
                </w:p>
              </w:tc>
              <w:tc>
                <w:tcPr>
                  <w:tcW w:w="3352"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z w:val="21"/>
                      <w:szCs w:val="21"/>
                    </w:rPr>
                  </w:pPr>
                  <w:r>
                    <w:rPr>
                      <w:rFonts w:ascii="宋体" w:hAnsi="宋体" w:eastAsia="宋体" w:cs="宋体"/>
                      <w:color w:val="auto"/>
                      <w:spacing w:val="7"/>
                      <w:sz w:val="21"/>
                      <w:szCs w:val="21"/>
                    </w:rPr>
                    <w:t>政策要求</w:t>
                  </w:r>
                </w:p>
              </w:tc>
              <w:tc>
                <w:tcPr>
                  <w:tcW w:w="2205"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z w:val="21"/>
                      <w:szCs w:val="21"/>
                    </w:rPr>
                  </w:pPr>
                  <w:r>
                    <w:rPr>
                      <w:rFonts w:ascii="宋体" w:hAnsi="宋体" w:eastAsia="宋体" w:cs="宋体"/>
                      <w:color w:val="auto"/>
                      <w:spacing w:val="6"/>
                      <w:sz w:val="21"/>
                      <w:szCs w:val="21"/>
                    </w:rPr>
                    <w:t>项目情况</w:t>
                  </w:r>
                </w:p>
              </w:tc>
              <w:tc>
                <w:tcPr>
                  <w:tcW w:w="961"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z w:val="21"/>
                      <w:szCs w:val="21"/>
                    </w:rPr>
                  </w:pPr>
                  <w:r>
                    <w:rPr>
                      <w:rFonts w:ascii="宋体" w:hAnsi="宋体" w:eastAsia="宋体" w:cs="宋体"/>
                      <w:color w:val="auto"/>
                      <w:spacing w:val="3"/>
                      <w:sz w:val="21"/>
                      <w:szCs w:val="21"/>
                    </w:rPr>
                    <w:t>符合</w:t>
                  </w:r>
                  <w:r>
                    <w:rPr>
                      <w:rFonts w:ascii="宋体" w:hAnsi="宋体" w:eastAsia="宋体" w:cs="宋体"/>
                      <w:color w:val="auto"/>
                      <w:sz w:val="21"/>
                      <w:szCs w:val="21"/>
                    </w:rPr>
                    <w:t>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6" w:hRule="atLeast"/>
              </w:trPr>
              <w:tc>
                <w:tcPr>
                  <w:tcW w:w="913" w:type="dxa"/>
                  <w:vMerge w:val="restar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z w:val="21"/>
                      <w:szCs w:val="21"/>
                    </w:rPr>
                  </w:pPr>
                  <w:r>
                    <w:rPr>
                      <w:rFonts w:hint="eastAsia" w:ascii="宋体" w:hAnsi="宋体" w:eastAsia="宋体" w:cs="宋体"/>
                      <w:color w:val="auto"/>
                      <w:spacing w:val="5"/>
                      <w:sz w:val="21"/>
                      <w:szCs w:val="21"/>
                      <w:lang w:eastAsia="zh-CN"/>
                    </w:rPr>
                    <w:t>《辽宁省防沙治沙条例》</w:t>
                  </w:r>
                </w:p>
              </w:tc>
              <w:tc>
                <w:tcPr>
                  <w:tcW w:w="3352"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z w:val="21"/>
                      <w:szCs w:val="21"/>
                    </w:rPr>
                  </w:pPr>
                  <w:r>
                    <w:rPr>
                      <w:rFonts w:ascii="宋体" w:hAnsi="宋体" w:eastAsia="宋体" w:cs="宋体"/>
                      <w:color w:val="auto"/>
                      <w:spacing w:val="9"/>
                      <w:sz w:val="21"/>
                      <w:szCs w:val="21"/>
                    </w:rPr>
                    <w:t>第二十条林业、畜牧、国土资源等行政主管部门应当加强沙化土地所在地区林地、草地资源的保护，严格限制征收、征用沙化土</w:t>
                  </w:r>
                  <w:r>
                    <w:rPr>
                      <w:rFonts w:ascii="宋体" w:hAnsi="宋体" w:eastAsia="宋体" w:cs="宋体"/>
                      <w:color w:val="auto"/>
                      <w:spacing w:val="8"/>
                      <w:sz w:val="21"/>
                      <w:szCs w:val="21"/>
                    </w:rPr>
                    <w:t>地所在地区的林地、草地。</w:t>
                  </w:r>
                </w:p>
              </w:tc>
              <w:tc>
                <w:tcPr>
                  <w:tcW w:w="2205"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z w:val="21"/>
                      <w:szCs w:val="21"/>
                    </w:rPr>
                  </w:pPr>
                  <w:r>
                    <w:rPr>
                      <w:rFonts w:ascii="宋体" w:hAnsi="宋体" w:eastAsia="宋体" w:cs="宋体"/>
                      <w:color w:val="auto"/>
                      <w:spacing w:val="8"/>
                      <w:sz w:val="21"/>
                      <w:szCs w:val="21"/>
                    </w:rPr>
                    <w:t>本项目不征收、征用沙化土地所在地区的林地、草地，项目建</w:t>
                  </w:r>
                  <w:r>
                    <w:rPr>
                      <w:rFonts w:ascii="宋体" w:hAnsi="宋体" w:eastAsia="宋体" w:cs="宋体"/>
                      <w:color w:val="auto"/>
                      <w:spacing w:val="7"/>
                      <w:sz w:val="21"/>
                      <w:szCs w:val="21"/>
                    </w:rPr>
                    <w:t>成后加强生态恢复。</w:t>
                  </w:r>
                </w:p>
              </w:tc>
              <w:tc>
                <w:tcPr>
                  <w:tcW w:w="961"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z w:val="21"/>
                      <w:szCs w:val="21"/>
                    </w:rPr>
                  </w:pPr>
                  <w:r>
                    <w:rPr>
                      <w:rFonts w:ascii="宋体" w:hAnsi="宋体" w:eastAsia="宋体" w:cs="宋体"/>
                      <w:color w:val="auto"/>
                      <w:spacing w:val="3"/>
                      <w:sz w:val="21"/>
                      <w:szCs w:val="21"/>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0" w:hRule="atLeast"/>
              </w:trPr>
              <w:tc>
                <w:tcPr>
                  <w:tcW w:w="913" w:type="dxa"/>
                  <w:vMerge w:val="continue"/>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3352"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z w:val="21"/>
                      <w:szCs w:val="21"/>
                    </w:rPr>
                  </w:pPr>
                  <w:r>
                    <w:rPr>
                      <w:rFonts w:ascii="宋体" w:hAnsi="宋体" w:eastAsia="宋体" w:cs="宋体"/>
                      <w:color w:val="auto"/>
                      <w:spacing w:val="9"/>
                      <w:sz w:val="21"/>
                      <w:szCs w:val="21"/>
                    </w:rPr>
                    <w:t>第二十二条：省及沙化土地所在地区的县以上人民政府应当采取有效措施，鼓励发展替代燃料，开发利用沼气、太阳能、风</w:t>
                  </w:r>
                  <w:r>
                    <w:rPr>
                      <w:rFonts w:ascii="宋体" w:hAnsi="宋体" w:eastAsia="宋体" w:cs="宋体"/>
                      <w:color w:val="auto"/>
                      <w:spacing w:val="8"/>
                      <w:sz w:val="21"/>
                      <w:szCs w:val="21"/>
                    </w:rPr>
                    <w:t>能等能源，推广节能技术，提高能源利用率；在安排对农业和农</w:t>
                  </w:r>
                  <w:r>
                    <w:rPr>
                      <w:rFonts w:ascii="宋体" w:hAnsi="宋体" w:eastAsia="宋体" w:cs="宋体"/>
                      <w:color w:val="auto"/>
                      <w:spacing w:val="9"/>
                      <w:sz w:val="21"/>
                      <w:szCs w:val="21"/>
                    </w:rPr>
                    <w:t>村节能技术、节能产品推广应用</w:t>
                  </w:r>
                  <w:r>
                    <w:rPr>
                      <w:rFonts w:ascii="宋体" w:hAnsi="宋体" w:eastAsia="宋体" w:cs="宋体"/>
                      <w:color w:val="auto"/>
                      <w:spacing w:val="8"/>
                      <w:sz w:val="21"/>
                      <w:szCs w:val="21"/>
                    </w:rPr>
                    <w:t>资金投入中，应当将沙化土地所</w:t>
                  </w:r>
                  <w:r>
                    <w:rPr>
                      <w:rFonts w:ascii="宋体" w:hAnsi="宋体" w:eastAsia="宋体" w:cs="宋体"/>
                      <w:color w:val="auto"/>
                      <w:spacing w:val="9"/>
                      <w:sz w:val="21"/>
                      <w:szCs w:val="21"/>
                    </w:rPr>
                    <w:t>在地区的新能源开发及节能技术、节能产品推广列为重要内</w:t>
                  </w:r>
                  <w:r>
                    <w:rPr>
                      <w:rFonts w:ascii="宋体" w:hAnsi="宋体" w:eastAsia="宋体" w:cs="宋体"/>
                      <w:color w:val="auto"/>
                      <w:spacing w:val="-1"/>
                      <w:sz w:val="21"/>
                      <w:szCs w:val="21"/>
                    </w:rPr>
                    <w:t>容。</w:t>
                  </w:r>
                </w:p>
              </w:tc>
              <w:tc>
                <w:tcPr>
                  <w:tcW w:w="2205"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z w:val="21"/>
                      <w:szCs w:val="21"/>
                    </w:rPr>
                  </w:pPr>
                  <w:r>
                    <w:rPr>
                      <w:rFonts w:ascii="宋体" w:hAnsi="宋体" w:eastAsia="宋体" w:cs="宋体"/>
                      <w:color w:val="auto"/>
                      <w:spacing w:val="8"/>
                      <w:sz w:val="21"/>
                      <w:szCs w:val="21"/>
                    </w:rPr>
                    <w:t>本项目为</w:t>
                  </w:r>
                  <w:r>
                    <w:rPr>
                      <w:rFonts w:hint="eastAsia" w:ascii="宋体" w:hAnsi="宋体" w:eastAsia="宋体" w:cs="宋体"/>
                      <w:color w:val="auto"/>
                      <w:spacing w:val="8"/>
                      <w:sz w:val="21"/>
                      <w:szCs w:val="21"/>
                      <w:lang w:val="en-US" w:eastAsia="zh-CN"/>
                    </w:rPr>
                    <w:t>输变电</w:t>
                  </w:r>
                  <w:r>
                    <w:rPr>
                      <w:rFonts w:ascii="宋体" w:hAnsi="宋体" w:eastAsia="宋体" w:cs="宋体"/>
                      <w:color w:val="auto"/>
                      <w:spacing w:val="8"/>
                      <w:sz w:val="21"/>
                      <w:szCs w:val="21"/>
                    </w:rPr>
                    <w:t>建设项目，属于鼓励发展</w:t>
                  </w:r>
                  <w:r>
                    <w:rPr>
                      <w:rFonts w:ascii="宋体" w:hAnsi="宋体" w:eastAsia="宋体" w:cs="宋体"/>
                      <w:color w:val="auto"/>
                      <w:sz w:val="21"/>
                      <w:szCs w:val="21"/>
                    </w:rPr>
                    <w:t>能源。</w:t>
                  </w:r>
                </w:p>
              </w:tc>
              <w:tc>
                <w:tcPr>
                  <w:tcW w:w="961"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z w:val="21"/>
                      <w:szCs w:val="21"/>
                    </w:rPr>
                  </w:pPr>
                  <w:r>
                    <w:rPr>
                      <w:rFonts w:ascii="宋体" w:hAnsi="宋体" w:eastAsia="宋体" w:cs="宋体"/>
                      <w:color w:val="auto"/>
                      <w:spacing w:val="3"/>
                      <w:sz w:val="21"/>
                      <w:szCs w:val="21"/>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78" w:hRule="atLeast"/>
              </w:trPr>
              <w:tc>
                <w:tcPr>
                  <w:tcW w:w="913" w:type="dxa"/>
                  <w:vMerge w:val="continue"/>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szCs w:val="21"/>
                    </w:rPr>
                  </w:pPr>
                </w:p>
              </w:tc>
              <w:tc>
                <w:tcPr>
                  <w:tcW w:w="3352"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ascii="宋体" w:hAnsi="宋体" w:eastAsia="宋体" w:cs="宋体"/>
                      <w:snapToGrid w:val="0"/>
                      <w:color w:val="auto"/>
                      <w:kern w:val="0"/>
                      <w:sz w:val="21"/>
                      <w:szCs w:val="21"/>
                      <w:lang w:val="en-US" w:eastAsia="en-US" w:bidi="ar-SA"/>
                    </w:rPr>
                  </w:pPr>
                  <w:r>
                    <w:rPr>
                      <w:rFonts w:ascii="宋体" w:hAnsi="宋体" w:eastAsia="宋体" w:cs="宋体"/>
                      <w:color w:val="auto"/>
                      <w:spacing w:val="9"/>
                      <w:sz w:val="21"/>
                      <w:szCs w:val="21"/>
                    </w:rPr>
                    <w:t>第二十三条：在沙化土地范围内从事开发建设活动的，必须依法进行环境影响评价，提交环境影</w:t>
                  </w:r>
                  <w:r>
                    <w:rPr>
                      <w:rFonts w:ascii="宋体" w:hAnsi="宋体" w:eastAsia="宋体" w:cs="宋体"/>
                      <w:color w:val="auto"/>
                      <w:spacing w:val="8"/>
                      <w:sz w:val="21"/>
                      <w:szCs w:val="21"/>
                    </w:rPr>
                    <w:t>响报告。环境影响报告应当包</w:t>
                  </w:r>
                  <w:r>
                    <w:rPr>
                      <w:rFonts w:ascii="宋体" w:hAnsi="宋体" w:eastAsia="宋体" w:cs="宋体"/>
                      <w:color w:val="auto"/>
                      <w:spacing w:val="9"/>
                      <w:sz w:val="21"/>
                      <w:szCs w:val="21"/>
                    </w:rPr>
                    <w:t>括有关防沙治沙的内容。环境保护行政主管部门在审批环境影</w:t>
                  </w:r>
                  <w:r>
                    <w:rPr>
                      <w:rFonts w:ascii="宋体" w:hAnsi="宋体" w:eastAsia="宋体" w:cs="宋体"/>
                      <w:color w:val="auto"/>
                      <w:spacing w:val="8"/>
                      <w:sz w:val="21"/>
                      <w:szCs w:val="21"/>
                    </w:rPr>
                    <w:t>响报告时，应当就报告中有关防</w:t>
                  </w:r>
                  <w:r>
                    <w:rPr>
                      <w:rFonts w:ascii="宋体" w:hAnsi="宋体" w:eastAsia="宋体" w:cs="宋体"/>
                      <w:color w:val="auto"/>
                      <w:spacing w:val="9"/>
                      <w:sz w:val="21"/>
                      <w:szCs w:val="21"/>
                    </w:rPr>
                    <w:t>沙治沙的内容征求同级林业行政主管部门的意见。开发建设项</w:t>
                  </w:r>
                  <w:r>
                    <w:rPr>
                      <w:rFonts w:ascii="宋体" w:hAnsi="宋体" w:eastAsia="宋体" w:cs="宋体"/>
                      <w:color w:val="auto"/>
                      <w:spacing w:val="6"/>
                      <w:sz w:val="21"/>
                      <w:szCs w:val="21"/>
                    </w:rPr>
                    <w:t>目中的防沙治沙工程设施建设</w:t>
                  </w:r>
                  <w:r>
                    <w:rPr>
                      <w:rFonts w:ascii="宋体" w:hAnsi="宋体" w:eastAsia="宋体" w:cs="宋体"/>
                      <w:color w:val="auto"/>
                      <w:spacing w:val="9"/>
                      <w:sz w:val="21"/>
                      <w:szCs w:val="21"/>
                    </w:rPr>
                    <w:t>和生态保护措施的实施，必须与</w:t>
                  </w:r>
                  <w:r>
                    <w:rPr>
                      <w:rFonts w:ascii="宋体" w:hAnsi="宋体" w:eastAsia="宋体" w:cs="宋体"/>
                      <w:color w:val="auto"/>
                      <w:spacing w:val="8"/>
                      <w:sz w:val="21"/>
                      <w:szCs w:val="21"/>
                    </w:rPr>
                    <w:t>开发建设同步进行</w:t>
                  </w:r>
                </w:p>
              </w:tc>
              <w:tc>
                <w:tcPr>
                  <w:tcW w:w="2205"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ascii="宋体" w:hAnsi="宋体" w:eastAsia="宋体" w:cs="宋体"/>
                      <w:color w:val="auto"/>
                      <w:sz w:val="21"/>
                      <w:szCs w:val="21"/>
                    </w:rPr>
                  </w:pPr>
                  <w:r>
                    <w:rPr>
                      <w:rFonts w:ascii="宋体" w:hAnsi="宋体" w:eastAsia="宋体" w:cs="宋体"/>
                      <w:color w:val="auto"/>
                      <w:spacing w:val="8"/>
                      <w:sz w:val="21"/>
                      <w:szCs w:val="21"/>
                    </w:rPr>
                    <w:t>本项目依法编制环境影响评价文件，提交环境影响报告，包括</w:t>
                  </w:r>
                  <w:r>
                    <w:rPr>
                      <w:rFonts w:ascii="宋体" w:hAnsi="宋体" w:eastAsia="宋体" w:cs="宋体"/>
                      <w:color w:val="auto"/>
                      <w:spacing w:val="5"/>
                      <w:sz w:val="21"/>
                      <w:szCs w:val="21"/>
                    </w:rPr>
                    <w:t>防沙治沙内容。</w:t>
                  </w:r>
                </w:p>
              </w:tc>
              <w:tc>
                <w:tcPr>
                  <w:tcW w:w="961"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宋体" w:hAnsi="宋体" w:eastAsia="宋体" w:cs="宋体"/>
                      <w:color w:val="auto"/>
                      <w:sz w:val="21"/>
                      <w:szCs w:val="21"/>
                    </w:rPr>
                  </w:pPr>
                  <w:r>
                    <w:rPr>
                      <w:rFonts w:ascii="宋体" w:hAnsi="宋体" w:eastAsia="宋体" w:cs="宋体"/>
                      <w:color w:val="auto"/>
                      <w:spacing w:val="3"/>
                      <w:sz w:val="21"/>
                      <w:szCs w:val="21"/>
                    </w:rPr>
                    <w:t>符合</w:t>
                  </w:r>
                </w:p>
              </w:tc>
            </w:tr>
          </w:tbl>
          <w:p>
            <w:pPr>
              <w:keepNext w:val="0"/>
              <w:keepLines w:val="0"/>
              <w:pageBreakBefore w:val="0"/>
              <w:widowControl w:val="0"/>
              <w:numPr>
                <w:ilvl w:val="0"/>
                <w:numId w:val="3"/>
              </w:numPr>
              <w:kinsoku/>
              <w:wordWrap/>
              <w:overflowPunct/>
              <w:topLinePunct w:val="0"/>
              <w:autoSpaceDE/>
              <w:autoSpaceDN/>
              <w:bidi w:val="0"/>
              <w:adjustRightInd/>
              <w:snapToGrid/>
              <w:spacing w:line="360" w:lineRule="auto"/>
              <w:jc w:val="left"/>
              <w:textAlignment w:val="auto"/>
              <w:rPr>
                <w:rFonts w:hint="eastAsia" w:ascii="Times New Roman" w:hAnsi="Times New Roman" w:eastAsia="宋体" w:cs="Times New Roman"/>
                <w:b/>
                <w:bCs/>
                <w:color w:val="auto"/>
                <w:kern w:val="0"/>
                <w:sz w:val="24"/>
                <w:szCs w:val="24"/>
                <w:lang w:val="en-US" w:eastAsia="zh-CN" w:bidi="ar"/>
              </w:rPr>
            </w:pPr>
            <w:r>
              <w:rPr>
                <w:rFonts w:hint="eastAsia" w:ascii="Times New Roman" w:hAnsi="Times New Roman" w:eastAsia="宋体" w:cs="Times New Roman"/>
                <w:b/>
                <w:bCs/>
                <w:color w:val="auto"/>
                <w:kern w:val="0"/>
                <w:sz w:val="24"/>
                <w:szCs w:val="24"/>
                <w:lang w:val="en-US" w:eastAsia="zh-CN" w:bidi="ar"/>
              </w:rPr>
              <w:t>项目建设与《输变电建设项目环境保护技术要求》 （HJ1113-2020） 的符合性分析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 w:val="0"/>
                <w:bCs w:val="0"/>
                <w:color w:val="auto"/>
                <w:kern w:val="0"/>
                <w:sz w:val="24"/>
                <w:szCs w:val="24"/>
                <w:lang w:val="en-US" w:eastAsia="zh-CN" w:bidi="ar"/>
              </w:rPr>
            </w:pPr>
            <w:r>
              <w:rPr>
                <w:rFonts w:hint="eastAsia" w:ascii="Times New Roman" w:hAnsi="Times New Roman" w:eastAsia="宋体" w:cs="Times New Roman"/>
                <w:b w:val="0"/>
                <w:bCs w:val="0"/>
                <w:color w:val="auto"/>
                <w:kern w:val="0"/>
                <w:sz w:val="24"/>
                <w:szCs w:val="24"/>
                <w:lang w:val="en-US" w:eastAsia="zh-CN" w:bidi="ar"/>
              </w:rPr>
              <w:t>本评价对项目设计、施工、运行阶段提出的电磁环境保护、声环境保护、生态环境保护、水环境保护、大气环境保护以及固体废物处置相关措施和要求严格按照《输变电建设项目环境保护技术要求》（HJ1113-2020）的相关内容执行，详见下表。</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6" w:firstLineChars="200"/>
              <w:jc w:val="center"/>
              <w:textAlignment w:val="auto"/>
              <w:rPr>
                <w:rFonts w:hint="default" w:ascii="Times New Roman" w:hAnsi="Times New Roman" w:eastAsia="宋体" w:cs="Times New Roman"/>
                <w:b/>
                <w:bCs/>
                <w:color w:val="auto"/>
                <w:spacing w:val="6"/>
                <w:sz w:val="21"/>
                <w:szCs w:val="21"/>
              </w:rPr>
            </w:pPr>
            <w:r>
              <w:rPr>
                <w:rFonts w:hint="default" w:ascii="Times New Roman" w:hAnsi="Times New Roman" w:eastAsia="宋体" w:cs="Times New Roman"/>
                <w:b/>
                <w:bCs/>
                <w:color w:val="auto"/>
                <w:spacing w:val="6"/>
                <w:sz w:val="21"/>
                <w:szCs w:val="21"/>
              </w:rPr>
              <w:t>表 1-</w:t>
            </w:r>
            <w:r>
              <w:rPr>
                <w:rFonts w:hint="eastAsia" w:ascii="Times New Roman" w:hAnsi="Times New Roman" w:eastAsia="宋体" w:cs="Times New Roman"/>
                <w:b/>
                <w:bCs/>
                <w:color w:val="auto"/>
                <w:spacing w:val="6"/>
                <w:sz w:val="21"/>
                <w:szCs w:val="21"/>
                <w:lang w:val="en-US" w:eastAsia="zh-CN"/>
              </w:rPr>
              <w:t>7</w:t>
            </w:r>
            <w:r>
              <w:rPr>
                <w:rFonts w:hint="default" w:ascii="Times New Roman" w:hAnsi="Times New Roman" w:eastAsia="宋体" w:cs="Times New Roman"/>
                <w:b/>
                <w:bCs/>
                <w:color w:val="auto"/>
                <w:spacing w:val="6"/>
                <w:sz w:val="21"/>
                <w:szCs w:val="21"/>
              </w:rPr>
              <w:t xml:space="preserve"> 相符性分析一览表</w:t>
            </w:r>
          </w:p>
          <w:tbl>
            <w:tblPr>
              <w:tblStyle w:val="31"/>
              <w:tblW w:w="4977"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3988"/>
              <w:gridCol w:w="2677"/>
              <w:gridCol w:w="79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2672"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《输变电建设项目环境保护技</w:t>
                  </w:r>
                  <w:r>
                    <w:rPr>
                      <w:rFonts w:hint="default" w:ascii="Times New Roman" w:hAnsi="Times New Roman" w:eastAsia="宋体" w:cs="Times New Roman"/>
                      <w:color w:val="auto"/>
                      <w:spacing w:val="4"/>
                      <w:sz w:val="21"/>
                      <w:szCs w:val="21"/>
                    </w:rPr>
                    <w:t>术要求》</w:t>
                  </w:r>
                </w:p>
              </w:tc>
              <w:tc>
                <w:tcPr>
                  <w:tcW w:w="1793"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本项目</w:t>
                  </w:r>
                </w:p>
              </w:tc>
              <w:tc>
                <w:tcPr>
                  <w:tcW w:w="533"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符合</w:t>
                  </w:r>
                  <w:r>
                    <w:rPr>
                      <w:rFonts w:hint="default" w:ascii="Times New Roman" w:hAnsi="Times New Roman" w:eastAsia="宋体" w:cs="Times New Roman"/>
                      <w:color w:val="auto"/>
                      <w:sz w:val="21"/>
                      <w:szCs w:val="21"/>
                    </w:rPr>
                    <w:t>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5000" w:type="pct"/>
                  <w:gridSpan w:val="3"/>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5选址选线</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98" w:hRule="atLeast"/>
              </w:trPr>
              <w:tc>
                <w:tcPr>
                  <w:tcW w:w="2672"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5.2输变电建设项目选址选线应</w:t>
                  </w:r>
                  <w:r>
                    <w:rPr>
                      <w:rFonts w:hint="default" w:ascii="Times New Roman" w:hAnsi="Times New Roman" w:eastAsia="宋体" w:cs="Times New Roman"/>
                      <w:color w:val="auto"/>
                      <w:spacing w:val="3"/>
                      <w:sz w:val="21"/>
                      <w:szCs w:val="21"/>
                    </w:rPr>
                    <w:t>符合生态保护红线管控要求，避让自然保护区、饮用水水源保护区等环境敏感区。确实因自然条</w:t>
                  </w:r>
                  <w:r>
                    <w:rPr>
                      <w:rFonts w:hint="default" w:ascii="Times New Roman" w:hAnsi="Times New Roman" w:eastAsia="宋体" w:cs="Times New Roman"/>
                      <w:color w:val="auto"/>
                      <w:spacing w:val="19"/>
                      <w:sz w:val="21"/>
                      <w:szCs w:val="21"/>
                    </w:rPr>
                    <w:t>件等因素限制无法避让自然保</w:t>
                  </w:r>
                  <w:r>
                    <w:rPr>
                      <w:rFonts w:hint="default" w:ascii="Times New Roman" w:hAnsi="Times New Roman" w:eastAsia="宋体" w:cs="Times New Roman"/>
                      <w:color w:val="auto"/>
                      <w:spacing w:val="3"/>
                      <w:sz w:val="21"/>
                      <w:szCs w:val="21"/>
                    </w:rPr>
                    <w:t>护区实验区、饮用水水源二级保</w:t>
                  </w:r>
                  <w:r>
                    <w:rPr>
                      <w:rFonts w:hint="default" w:ascii="Times New Roman" w:hAnsi="Times New Roman" w:eastAsia="宋体" w:cs="Times New Roman"/>
                      <w:color w:val="auto"/>
                      <w:spacing w:val="5"/>
                      <w:sz w:val="21"/>
                      <w:szCs w:val="21"/>
                    </w:rPr>
                    <w:t>护区等环境敏感区的输电线路，</w:t>
                  </w:r>
                  <w:r>
                    <w:rPr>
                      <w:rFonts w:hint="default" w:ascii="Times New Roman" w:hAnsi="Times New Roman" w:eastAsia="宋体" w:cs="Times New Roman"/>
                      <w:color w:val="auto"/>
                      <w:spacing w:val="19"/>
                      <w:sz w:val="21"/>
                      <w:szCs w:val="21"/>
                    </w:rPr>
                    <w:t>应在满足相关法律法规及管理要求的前提下对线路方案进行</w:t>
                  </w:r>
                  <w:r>
                    <w:rPr>
                      <w:rFonts w:hint="default" w:ascii="Times New Roman" w:hAnsi="Times New Roman" w:eastAsia="宋体" w:cs="Times New Roman"/>
                      <w:color w:val="auto"/>
                      <w:spacing w:val="3"/>
                      <w:sz w:val="21"/>
                      <w:szCs w:val="21"/>
                    </w:rPr>
                    <w:t>唯一性论证，并采取无害化方式通过。</w:t>
                  </w:r>
                </w:p>
              </w:tc>
              <w:tc>
                <w:tcPr>
                  <w:tcW w:w="1793"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pacing w:val="19"/>
                      <w:sz w:val="21"/>
                      <w:szCs w:val="21"/>
                    </w:rPr>
                    <w:t>本项目位于朝阳市龙城区边</w:t>
                  </w:r>
                  <w:r>
                    <w:rPr>
                      <w:rFonts w:hint="default" w:ascii="Times New Roman" w:hAnsi="Times New Roman" w:eastAsia="宋体" w:cs="Times New Roman"/>
                      <w:color w:val="auto"/>
                      <w:spacing w:val="2"/>
                      <w:sz w:val="21"/>
                      <w:szCs w:val="21"/>
                    </w:rPr>
                    <w:t>杖子镇新房村，线路不占生态保护红线，</w:t>
                  </w:r>
                  <w:r>
                    <w:rPr>
                      <w:rFonts w:hint="eastAsia" w:ascii="Times New Roman" w:hAnsi="Times New Roman" w:eastAsia="宋体" w:cs="Times New Roman"/>
                      <w:color w:val="auto"/>
                      <w:spacing w:val="2"/>
                      <w:sz w:val="21"/>
                      <w:szCs w:val="21"/>
                      <w:lang w:val="en-US" w:eastAsia="zh-CN"/>
                    </w:rPr>
                    <w:t>同时</w:t>
                  </w:r>
                  <w:r>
                    <w:rPr>
                      <w:rFonts w:hint="default" w:ascii="Times New Roman" w:hAnsi="Times New Roman" w:eastAsia="宋体" w:cs="Times New Roman"/>
                      <w:color w:val="auto"/>
                      <w:spacing w:val="2"/>
                      <w:sz w:val="21"/>
                      <w:szCs w:val="21"/>
                    </w:rPr>
                    <w:t>生态评价范围内</w:t>
                  </w:r>
                  <w:r>
                    <w:rPr>
                      <w:rFonts w:hint="eastAsia" w:ascii="Times New Roman" w:hAnsi="Times New Roman" w:eastAsia="宋体" w:cs="Times New Roman"/>
                      <w:color w:val="auto"/>
                      <w:spacing w:val="2"/>
                      <w:sz w:val="21"/>
                      <w:szCs w:val="21"/>
                      <w:lang w:val="en-US" w:eastAsia="zh-CN"/>
                    </w:rPr>
                    <w:t>也不</w:t>
                  </w:r>
                  <w:r>
                    <w:rPr>
                      <w:rFonts w:hint="default" w:ascii="Times New Roman" w:hAnsi="Times New Roman" w:eastAsia="宋体" w:cs="Times New Roman"/>
                      <w:color w:val="auto"/>
                      <w:spacing w:val="2"/>
                      <w:sz w:val="21"/>
                      <w:szCs w:val="21"/>
                    </w:rPr>
                    <w:t>涉及生态保护红线、基本草原。线路不涉及饮用水水源保护区等环境敏感区</w:t>
                  </w:r>
                  <w:r>
                    <w:rPr>
                      <w:rFonts w:hint="default" w:ascii="Times New Roman" w:hAnsi="Times New Roman" w:eastAsia="宋体" w:cs="Times New Roman"/>
                      <w:color w:val="auto"/>
                      <w:spacing w:val="8"/>
                      <w:sz w:val="21"/>
                      <w:szCs w:val="21"/>
                    </w:rPr>
                    <w:t>。本次环评“方案比选”内容中对选址选线进行了唯一性</w:t>
                  </w:r>
                  <w:r>
                    <w:rPr>
                      <w:rFonts w:hint="eastAsia" w:ascii="Times New Roman" w:hAnsi="Times New Roman" w:eastAsia="宋体" w:cs="Times New Roman"/>
                      <w:color w:val="auto"/>
                      <w:spacing w:val="8"/>
                      <w:sz w:val="21"/>
                      <w:szCs w:val="21"/>
                      <w:lang w:eastAsia="zh-CN"/>
                    </w:rPr>
                    <w:t>论</w:t>
                  </w:r>
                  <w:r>
                    <w:rPr>
                      <w:rFonts w:hint="default" w:ascii="Times New Roman" w:hAnsi="Times New Roman" w:eastAsia="宋体" w:cs="Times New Roman"/>
                      <w:color w:val="auto"/>
                      <w:spacing w:val="8"/>
                      <w:sz w:val="21"/>
                      <w:szCs w:val="21"/>
                    </w:rPr>
                    <w:t>证</w:t>
                  </w:r>
                  <w:r>
                    <w:rPr>
                      <w:rFonts w:hint="eastAsia" w:ascii="Times New Roman" w:hAnsi="Times New Roman" w:eastAsia="宋体" w:cs="Times New Roman"/>
                      <w:color w:val="auto"/>
                      <w:spacing w:val="8"/>
                      <w:sz w:val="21"/>
                      <w:szCs w:val="21"/>
                      <w:lang w:eastAsia="zh-CN"/>
                    </w:rPr>
                    <w:t>。</w:t>
                  </w:r>
                </w:p>
              </w:tc>
              <w:tc>
                <w:tcPr>
                  <w:tcW w:w="533"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37" w:hRule="atLeast"/>
              </w:trPr>
              <w:tc>
                <w:tcPr>
                  <w:tcW w:w="2672"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5.3变电工程在选址时应按照终</w:t>
                  </w:r>
                  <w:r>
                    <w:rPr>
                      <w:rFonts w:hint="default" w:ascii="Times New Roman" w:hAnsi="Times New Roman" w:eastAsia="宋体" w:cs="Times New Roman"/>
                      <w:color w:val="auto"/>
                      <w:spacing w:val="19"/>
                      <w:sz w:val="21"/>
                      <w:szCs w:val="21"/>
                    </w:rPr>
                    <w:t>期规模综合考虑进出线走廊规划，避免进出线进入自然保护区、饮用水保护区等环境敏感</w:t>
                  </w:r>
                  <w:r>
                    <w:rPr>
                      <w:rFonts w:hint="default" w:ascii="Times New Roman" w:hAnsi="Times New Roman" w:eastAsia="宋体" w:cs="Times New Roman"/>
                      <w:color w:val="auto"/>
                      <w:sz w:val="21"/>
                      <w:szCs w:val="21"/>
                    </w:rPr>
                    <w:t>区。</w:t>
                  </w:r>
                </w:p>
              </w:tc>
              <w:tc>
                <w:tcPr>
                  <w:tcW w:w="1793"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本项目</w:t>
                  </w:r>
                  <w:r>
                    <w:rPr>
                      <w:rFonts w:hint="default" w:ascii="Times New Roman" w:hAnsi="Times New Roman" w:eastAsia="宋体" w:cs="Times New Roman"/>
                      <w:color w:val="auto"/>
                      <w:spacing w:val="3"/>
                      <w:sz w:val="21"/>
                      <w:szCs w:val="21"/>
                    </w:rPr>
                    <w:t>输电线路</w:t>
                  </w:r>
                  <w:r>
                    <w:rPr>
                      <w:rFonts w:hint="eastAsia" w:ascii="Times New Roman" w:hAnsi="Times New Roman" w:eastAsia="宋体" w:cs="Times New Roman"/>
                      <w:color w:val="auto"/>
                      <w:spacing w:val="3"/>
                      <w:sz w:val="21"/>
                      <w:szCs w:val="21"/>
                      <w:lang w:val="en-US" w:eastAsia="zh-CN"/>
                    </w:rPr>
                    <w:t>不涉及</w:t>
                  </w:r>
                  <w:r>
                    <w:rPr>
                      <w:rFonts w:hint="default" w:ascii="Times New Roman" w:hAnsi="Times New Roman" w:eastAsia="宋体" w:cs="Times New Roman"/>
                      <w:color w:val="auto"/>
                      <w:spacing w:val="20"/>
                      <w:sz w:val="21"/>
                      <w:szCs w:val="21"/>
                    </w:rPr>
                    <w:t>自然保护区和饮用水源</w:t>
                  </w:r>
                  <w:r>
                    <w:rPr>
                      <w:rFonts w:hint="default" w:ascii="Times New Roman" w:hAnsi="Times New Roman" w:eastAsia="宋体" w:cs="Times New Roman"/>
                      <w:color w:val="auto"/>
                      <w:spacing w:val="5"/>
                      <w:sz w:val="21"/>
                      <w:szCs w:val="21"/>
                    </w:rPr>
                    <w:t>保护区</w:t>
                  </w:r>
                </w:p>
              </w:tc>
              <w:tc>
                <w:tcPr>
                  <w:tcW w:w="53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37" w:hRule="atLeast"/>
              </w:trPr>
              <w:tc>
                <w:tcPr>
                  <w:tcW w:w="2672"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5.4户外变电工程及规划架空进</w:t>
                  </w:r>
                  <w:r>
                    <w:rPr>
                      <w:rFonts w:hint="default" w:ascii="Times New Roman" w:hAnsi="Times New Roman" w:eastAsia="宋体" w:cs="Times New Roman"/>
                      <w:color w:val="auto"/>
                      <w:spacing w:val="19"/>
                      <w:sz w:val="21"/>
                      <w:szCs w:val="21"/>
                    </w:rPr>
                    <w:t>出线选址选线时，应关注以居</w:t>
                  </w:r>
                  <w:r>
                    <w:rPr>
                      <w:rFonts w:hint="default" w:ascii="Times New Roman" w:hAnsi="Times New Roman" w:eastAsia="宋体" w:cs="Times New Roman"/>
                      <w:color w:val="auto"/>
                      <w:spacing w:val="-6"/>
                      <w:sz w:val="21"/>
                      <w:szCs w:val="21"/>
                    </w:rPr>
                    <w:t>住、医疗卫生、文化教育、科研、</w:t>
                  </w:r>
                  <w:r>
                    <w:rPr>
                      <w:rFonts w:hint="default" w:ascii="Times New Roman" w:hAnsi="Times New Roman" w:eastAsia="宋体" w:cs="Times New Roman"/>
                      <w:color w:val="auto"/>
                      <w:spacing w:val="8"/>
                      <w:sz w:val="21"/>
                      <w:szCs w:val="21"/>
                    </w:rPr>
                    <w:t>行政办公等为主要功能的区域，</w:t>
                  </w:r>
                  <w:r>
                    <w:rPr>
                      <w:rFonts w:hint="default" w:ascii="Times New Roman" w:hAnsi="Times New Roman" w:eastAsia="宋体" w:cs="Times New Roman"/>
                      <w:color w:val="auto"/>
                      <w:spacing w:val="3"/>
                      <w:sz w:val="21"/>
                      <w:szCs w:val="21"/>
                    </w:rPr>
                    <w:t>采取综合措施，减少电磁和声环</w:t>
                  </w:r>
                  <w:r>
                    <w:rPr>
                      <w:rFonts w:hint="default" w:ascii="Times New Roman" w:hAnsi="Times New Roman" w:eastAsia="宋体" w:cs="Times New Roman"/>
                      <w:color w:val="auto"/>
                      <w:spacing w:val="5"/>
                      <w:sz w:val="21"/>
                      <w:szCs w:val="21"/>
                    </w:rPr>
                    <w:t>境影响。</w:t>
                  </w:r>
                </w:p>
              </w:tc>
              <w:tc>
                <w:tcPr>
                  <w:tcW w:w="1793"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本项目运行后，加强设备日常</w:t>
                  </w:r>
                  <w:r>
                    <w:rPr>
                      <w:rFonts w:hint="default" w:ascii="Times New Roman" w:hAnsi="Times New Roman" w:eastAsia="宋体" w:cs="Times New Roman"/>
                      <w:color w:val="auto"/>
                      <w:spacing w:val="3"/>
                      <w:sz w:val="21"/>
                      <w:szCs w:val="21"/>
                    </w:rPr>
                    <w:t>管理和维护，使设备保持良好的运行状态，以减少电磁和声</w:t>
                  </w:r>
                  <w:r>
                    <w:rPr>
                      <w:rFonts w:hint="default" w:ascii="Times New Roman" w:hAnsi="Times New Roman" w:eastAsia="宋体" w:cs="Times New Roman"/>
                      <w:color w:val="auto"/>
                      <w:spacing w:val="5"/>
                      <w:sz w:val="21"/>
                      <w:szCs w:val="21"/>
                    </w:rPr>
                    <w:t>环境影响。</w:t>
                  </w:r>
                </w:p>
              </w:tc>
              <w:tc>
                <w:tcPr>
                  <w:tcW w:w="533"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2672"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1"/>
                      <w:sz w:val="21"/>
                      <w:szCs w:val="21"/>
                    </w:rPr>
                    <w:t>5.6原则上避免在0类声环境功</w:t>
                  </w:r>
                  <w:r>
                    <w:rPr>
                      <w:rFonts w:hint="default" w:ascii="Times New Roman" w:hAnsi="Times New Roman" w:eastAsia="宋体" w:cs="Times New Roman"/>
                      <w:color w:val="auto"/>
                      <w:spacing w:val="6"/>
                      <w:sz w:val="21"/>
                      <w:szCs w:val="21"/>
                    </w:rPr>
                    <w:t>能区建设变电工程。</w:t>
                  </w:r>
                </w:p>
              </w:tc>
              <w:tc>
                <w:tcPr>
                  <w:tcW w:w="1793"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6"/>
                      <w:sz w:val="21"/>
                      <w:szCs w:val="21"/>
                    </w:rPr>
                    <w:t>本项目不涉及0类声环境功</w:t>
                  </w:r>
                  <w:r>
                    <w:rPr>
                      <w:rFonts w:hint="default" w:ascii="Times New Roman" w:hAnsi="Times New Roman" w:eastAsia="宋体" w:cs="Times New Roman"/>
                      <w:color w:val="auto"/>
                      <w:sz w:val="21"/>
                      <w:szCs w:val="21"/>
                    </w:rPr>
                    <w:t>能区。</w:t>
                  </w:r>
                </w:p>
              </w:tc>
              <w:tc>
                <w:tcPr>
                  <w:tcW w:w="533"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2672" w:type="pct"/>
                  <w:vAlign w:val="center"/>
                </w:tcPr>
                <w:p>
                  <w:pPr>
                    <w:pStyle w:val="28"/>
                    <w:jc w:val="both"/>
                    <w:rPr>
                      <w:rFonts w:hint="default" w:ascii="Times New Roman" w:hAnsi="Times New Roman" w:eastAsia="宋体" w:cs="Times New Roman"/>
                      <w:b w:val="0"/>
                      <w:bCs w:val="0"/>
                      <w:color w:val="auto"/>
                      <w:spacing w:val="11"/>
                      <w:kern w:val="2"/>
                      <w:sz w:val="21"/>
                      <w:szCs w:val="21"/>
                      <w:lang w:val="en-US" w:eastAsia="en-US" w:bidi="ar-SA"/>
                    </w:rPr>
                  </w:pPr>
                  <w:r>
                    <w:rPr>
                      <w:rFonts w:hint="eastAsia" w:ascii="Times New Roman" w:hAnsi="Times New Roman" w:eastAsia="宋体" w:cs="Times New Roman"/>
                      <w:b w:val="0"/>
                      <w:bCs w:val="0"/>
                      <w:color w:val="auto"/>
                      <w:spacing w:val="11"/>
                      <w:kern w:val="2"/>
                      <w:sz w:val="21"/>
                      <w:szCs w:val="21"/>
                      <w:lang w:val="en-US" w:eastAsia="zh-CN" w:bidi="ar-SA"/>
                    </w:rPr>
                    <w:t>5.7变电工程选址时，应综合考虑减少土地占用、植被砍伐和弃土弃渣等，以减少对生态环境的</w:t>
                  </w:r>
                  <w:r>
                    <w:rPr>
                      <w:rFonts w:hint="eastAsia" w:ascii="Times New Roman" w:hAnsi="Times New Roman" w:eastAsia="宋体" w:cs="Times New Roman"/>
                      <w:b w:val="0"/>
                      <w:bCs w:val="0"/>
                      <w:color w:val="auto"/>
                      <w:spacing w:val="11"/>
                      <w:kern w:val="2"/>
                      <w:sz w:val="21"/>
                      <w:szCs w:val="21"/>
                      <w:lang w:val="en-US" w:eastAsia="en-US" w:bidi="ar-SA"/>
                    </w:rPr>
                    <w:t>不利影响。</w:t>
                  </w:r>
                </w:p>
              </w:tc>
              <w:tc>
                <w:tcPr>
                  <w:tcW w:w="1793" w:type="pct"/>
                  <w:vMerge w:val="restar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16"/>
                      <w:sz w:val="21"/>
                      <w:szCs w:val="21"/>
                    </w:rPr>
                  </w:pPr>
                  <w:r>
                    <w:rPr>
                      <w:rFonts w:hint="default" w:ascii="Times New Roman" w:hAnsi="Times New Roman" w:eastAsia="宋体" w:cs="Times New Roman"/>
                      <w:color w:val="auto"/>
                      <w:spacing w:val="16"/>
                      <w:sz w:val="21"/>
                      <w:szCs w:val="21"/>
                    </w:rPr>
                    <w:t>本项目输电线路设计选址时，综合考虑了项目占地、沿线植被为当地常见植物，不涉及国家及地方重点保护野生植物及名木名树。建设时避让集中林区，采取高跨方式，减少林木砍伐、植被破坏，保护生态环境。</w:t>
                  </w:r>
                </w:p>
              </w:tc>
              <w:tc>
                <w:tcPr>
                  <w:tcW w:w="533"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color w:val="auto"/>
                      <w:spacing w:val="3"/>
                      <w:sz w:val="21"/>
                      <w:szCs w:val="21"/>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2672" w:type="pct"/>
                  <w:vAlign w:val="center"/>
                </w:tcPr>
                <w:p>
                  <w:pPr>
                    <w:pStyle w:val="28"/>
                    <w:ind w:firstLine="0" w:firstLineChars="0"/>
                    <w:jc w:val="both"/>
                    <w:rPr>
                      <w:rFonts w:hint="default" w:ascii="Times New Roman" w:hAnsi="Times New Roman" w:eastAsia="宋体" w:cs="Times New Roman"/>
                      <w:b w:val="0"/>
                      <w:bCs w:val="0"/>
                      <w:color w:val="auto"/>
                      <w:spacing w:val="11"/>
                      <w:kern w:val="2"/>
                      <w:sz w:val="21"/>
                      <w:szCs w:val="21"/>
                      <w:lang w:val="en-US" w:eastAsia="en-US" w:bidi="ar-SA"/>
                    </w:rPr>
                  </w:pPr>
                  <w:r>
                    <w:rPr>
                      <w:rFonts w:hint="default" w:ascii="Times New Roman" w:hAnsi="Times New Roman" w:eastAsia="宋体" w:cs="Times New Roman"/>
                      <w:b w:val="0"/>
                      <w:bCs w:val="0"/>
                      <w:color w:val="auto"/>
                      <w:spacing w:val="11"/>
                      <w:kern w:val="2"/>
                      <w:sz w:val="21"/>
                      <w:szCs w:val="21"/>
                      <w:lang w:val="en-US" w:eastAsia="zh-CN" w:bidi="ar-SA"/>
                    </w:rPr>
                    <w:t>5.8</w:t>
                  </w:r>
                  <w:r>
                    <w:rPr>
                      <w:rFonts w:hint="eastAsia" w:ascii="Times New Roman" w:hAnsi="Times New Roman" w:eastAsia="宋体" w:cs="Times New Roman"/>
                      <w:b w:val="0"/>
                      <w:bCs w:val="0"/>
                      <w:color w:val="auto"/>
                      <w:spacing w:val="11"/>
                      <w:kern w:val="2"/>
                      <w:sz w:val="21"/>
                      <w:szCs w:val="21"/>
                      <w:lang w:val="en-US" w:eastAsia="zh-CN" w:bidi="ar-SA"/>
                    </w:rPr>
                    <w:t>输电线路宜避让集中林区，以减少林木砍伐，保护生态环境。</w:t>
                  </w:r>
                </w:p>
              </w:tc>
              <w:tc>
                <w:tcPr>
                  <w:tcW w:w="1793" w:type="pct"/>
                  <w:vMerge w:val="continue"/>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6"/>
                      <w:sz w:val="21"/>
                      <w:szCs w:val="21"/>
                    </w:rPr>
                  </w:pPr>
                </w:p>
              </w:tc>
              <w:tc>
                <w:tcPr>
                  <w:tcW w:w="533"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color w:val="auto"/>
                      <w:spacing w:val="3"/>
                      <w:sz w:val="21"/>
                      <w:szCs w:val="21"/>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2672" w:type="pct"/>
                  <w:vAlign w:val="center"/>
                </w:tcPr>
                <w:p>
                  <w:pPr>
                    <w:pStyle w:val="28"/>
                    <w:ind w:firstLine="0" w:firstLineChars="0"/>
                    <w:jc w:val="both"/>
                    <w:rPr>
                      <w:rFonts w:hint="default" w:ascii="Times New Roman" w:hAnsi="Times New Roman" w:eastAsia="宋体" w:cs="Times New Roman"/>
                      <w:b w:val="0"/>
                      <w:bCs w:val="0"/>
                      <w:color w:val="auto"/>
                      <w:spacing w:val="11"/>
                      <w:kern w:val="2"/>
                      <w:sz w:val="21"/>
                      <w:szCs w:val="21"/>
                      <w:lang w:val="en-US" w:eastAsia="en-US" w:bidi="ar-SA"/>
                    </w:rPr>
                  </w:pPr>
                  <w:r>
                    <w:rPr>
                      <w:rFonts w:hint="default" w:ascii="Times New Roman" w:hAnsi="Times New Roman" w:eastAsia="宋体" w:cs="Times New Roman"/>
                      <w:b w:val="0"/>
                      <w:bCs w:val="0"/>
                      <w:color w:val="auto"/>
                      <w:spacing w:val="11"/>
                      <w:kern w:val="2"/>
                      <w:sz w:val="21"/>
                      <w:szCs w:val="21"/>
                      <w:lang w:val="en-US" w:eastAsia="zh-CN" w:bidi="ar-SA"/>
                    </w:rPr>
                    <w:t>5.9</w:t>
                  </w:r>
                  <w:r>
                    <w:rPr>
                      <w:rFonts w:hint="eastAsia" w:ascii="Times New Roman" w:hAnsi="Times New Roman" w:eastAsia="宋体" w:cs="Times New Roman"/>
                      <w:b w:val="0"/>
                      <w:bCs w:val="0"/>
                      <w:color w:val="auto"/>
                      <w:spacing w:val="11"/>
                      <w:kern w:val="2"/>
                      <w:sz w:val="21"/>
                      <w:szCs w:val="21"/>
                      <w:lang w:val="en-US" w:eastAsia="zh-CN" w:bidi="ar-SA"/>
                    </w:rPr>
                    <w:t>进入自然保护区的输电线路，应按照</w:t>
                  </w:r>
                  <w:r>
                    <w:rPr>
                      <w:rFonts w:hint="default" w:ascii="Times New Roman" w:hAnsi="Times New Roman" w:eastAsia="宋体" w:cs="Times New Roman"/>
                      <w:b w:val="0"/>
                      <w:bCs w:val="0"/>
                      <w:color w:val="auto"/>
                      <w:spacing w:val="11"/>
                      <w:kern w:val="2"/>
                      <w:sz w:val="21"/>
                      <w:szCs w:val="21"/>
                      <w:lang w:val="en-US" w:eastAsia="zh-CN" w:bidi="ar-SA"/>
                    </w:rPr>
                    <w:t>HJ19</w:t>
                  </w:r>
                  <w:r>
                    <w:rPr>
                      <w:rFonts w:hint="eastAsia" w:ascii="Times New Roman" w:hAnsi="Times New Roman" w:eastAsia="宋体" w:cs="Times New Roman"/>
                      <w:b w:val="0"/>
                      <w:bCs w:val="0"/>
                      <w:color w:val="auto"/>
                      <w:spacing w:val="11"/>
                      <w:kern w:val="2"/>
                      <w:sz w:val="21"/>
                      <w:szCs w:val="21"/>
                      <w:lang w:val="en-US" w:eastAsia="zh-CN" w:bidi="ar-SA"/>
                    </w:rPr>
                    <w:t>的要求开展生态现状调查，避让保护对象的集中分布区。</w:t>
                  </w:r>
                </w:p>
              </w:tc>
              <w:tc>
                <w:tcPr>
                  <w:tcW w:w="1793"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6"/>
                      <w:sz w:val="21"/>
                      <w:szCs w:val="21"/>
                      <w:lang w:val="en-US" w:eastAsia="zh-CN"/>
                    </w:rPr>
                  </w:pPr>
                  <w:r>
                    <w:rPr>
                      <w:rFonts w:hint="eastAsia" w:ascii="Times New Roman" w:hAnsi="Times New Roman" w:eastAsia="宋体" w:cs="Times New Roman"/>
                      <w:color w:val="auto"/>
                      <w:spacing w:val="16"/>
                      <w:sz w:val="21"/>
                      <w:szCs w:val="21"/>
                      <w:lang w:val="en-US" w:eastAsia="zh-CN"/>
                    </w:rPr>
                    <w:t>本项目输变电线路，不涉及自然保护区。</w:t>
                  </w:r>
                </w:p>
              </w:tc>
              <w:tc>
                <w:tcPr>
                  <w:tcW w:w="533"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color w:val="auto"/>
                      <w:spacing w:val="3"/>
                      <w:sz w:val="21"/>
                      <w:szCs w:val="21"/>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5000" w:type="pct"/>
                  <w:gridSpan w:val="3"/>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position w:val="1"/>
                      <w:sz w:val="21"/>
                      <w:szCs w:val="21"/>
                    </w:rPr>
                    <w:t>6设计</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13" w:hRule="atLeast"/>
              </w:trPr>
              <w:tc>
                <w:tcPr>
                  <w:tcW w:w="2672" w:type="pct"/>
                  <w:vAlign w:val="center"/>
                </w:tcPr>
                <w:p>
                  <w:pPr>
                    <w:pStyle w:val="28"/>
                    <w:jc w:val="both"/>
                    <w:rPr>
                      <w:rFonts w:hint="default" w:ascii="Times New Roman" w:hAnsi="Times New Roman" w:eastAsia="宋体" w:cs="Times New Roman"/>
                      <w:b w:val="0"/>
                      <w:bCs w:val="0"/>
                      <w:color w:val="auto"/>
                      <w:spacing w:val="3"/>
                      <w:kern w:val="2"/>
                      <w:sz w:val="21"/>
                      <w:szCs w:val="21"/>
                      <w:lang w:val="en-US" w:eastAsia="zh-CN" w:bidi="ar-SA"/>
                    </w:rPr>
                  </w:pPr>
                  <w:r>
                    <w:rPr>
                      <w:rFonts w:hint="default" w:ascii="Times New Roman" w:hAnsi="Times New Roman" w:eastAsia="宋体" w:cs="Times New Roman"/>
                      <w:b w:val="0"/>
                      <w:bCs w:val="0"/>
                      <w:color w:val="auto"/>
                      <w:spacing w:val="3"/>
                      <w:kern w:val="2"/>
                      <w:sz w:val="21"/>
                      <w:szCs w:val="21"/>
                      <w:lang w:val="en-US" w:eastAsia="zh-CN" w:bidi="ar-SA"/>
                    </w:rPr>
                    <w:t>6.1</w:t>
                  </w:r>
                  <w:r>
                    <w:rPr>
                      <w:rFonts w:hint="eastAsia" w:ascii="Times New Roman" w:hAnsi="Times New Roman" w:eastAsia="宋体" w:cs="Times New Roman"/>
                      <w:b w:val="0"/>
                      <w:bCs w:val="0"/>
                      <w:color w:val="auto"/>
                      <w:spacing w:val="3"/>
                      <w:kern w:val="2"/>
                      <w:sz w:val="21"/>
                      <w:szCs w:val="21"/>
                      <w:lang w:val="en-US" w:eastAsia="zh-CN" w:bidi="ar-SA"/>
                    </w:rPr>
                    <w:t>总体要求</w:t>
                  </w:r>
                </w:p>
                <w:p>
                  <w:pPr>
                    <w:pStyle w:val="28"/>
                    <w:ind w:firstLine="0" w:firstLineChars="0"/>
                    <w:jc w:val="both"/>
                    <w:rPr>
                      <w:rFonts w:hint="eastAsia" w:ascii="Times New Roman" w:hAnsi="Times New Roman" w:eastAsia="宋体" w:cs="Times New Roman"/>
                      <w:b w:val="0"/>
                      <w:bCs w:val="0"/>
                      <w:color w:val="auto"/>
                      <w:spacing w:val="3"/>
                      <w:kern w:val="2"/>
                      <w:sz w:val="21"/>
                      <w:szCs w:val="21"/>
                      <w:lang w:val="en-US" w:eastAsia="zh-CN" w:bidi="ar-SA"/>
                    </w:rPr>
                  </w:pPr>
                  <w:r>
                    <w:rPr>
                      <w:rFonts w:hint="default" w:ascii="Times New Roman" w:hAnsi="Times New Roman" w:eastAsia="宋体" w:cs="Times New Roman"/>
                      <w:b w:val="0"/>
                      <w:bCs w:val="0"/>
                      <w:color w:val="auto"/>
                      <w:spacing w:val="3"/>
                      <w:kern w:val="2"/>
                      <w:sz w:val="21"/>
                      <w:szCs w:val="21"/>
                      <w:lang w:val="en-US" w:eastAsia="zh-CN" w:bidi="ar-SA"/>
                    </w:rPr>
                    <w:t>6.1.1</w:t>
                  </w:r>
                  <w:r>
                    <w:rPr>
                      <w:rFonts w:hint="eastAsia" w:ascii="Times New Roman" w:hAnsi="Times New Roman" w:eastAsia="宋体" w:cs="Times New Roman"/>
                      <w:b w:val="0"/>
                      <w:bCs w:val="0"/>
                      <w:color w:val="auto"/>
                      <w:spacing w:val="3"/>
                      <w:kern w:val="2"/>
                      <w:sz w:val="21"/>
                      <w:szCs w:val="21"/>
                      <w:lang w:val="en-US" w:eastAsia="zh-CN" w:bidi="ar-SA"/>
                    </w:rPr>
                    <w:t>输变电建设项目的初步设计、施工图设计文件中应包含相关的环境保护内容，编制环境保护篇章、开展环境保护专项设计，落实防治环境污染和生态破坏的措施、设施及相应资金。</w:t>
                  </w:r>
                </w:p>
                <w:p>
                  <w:pPr>
                    <w:pStyle w:val="28"/>
                    <w:ind w:firstLine="0" w:firstLineChars="0"/>
                    <w:jc w:val="both"/>
                    <w:rPr>
                      <w:rFonts w:hint="default" w:ascii="Times New Roman" w:hAnsi="Times New Roman" w:eastAsia="宋体" w:cs="Times New Roman"/>
                      <w:b w:val="0"/>
                      <w:bCs w:val="0"/>
                      <w:color w:val="auto"/>
                      <w:spacing w:val="3"/>
                      <w:kern w:val="2"/>
                      <w:sz w:val="21"/>
                      <w:szCs w:val="21"/>
                      <w:lang w:val="en-US" w:eastAsia="zh-CN" w:bidi="ar-SA"/>
                    </w:rPr>
                  </w:pPr>
                  <w:r>
                    <w:rPr>
                      <w:rFonts w:hint="default" w:ascii="Times New Roman" w:hAnsi="Times New Roman" w:eastAsia="宋体" w:cs="Times New Roman"/>
                      <w:b w:val="0"/>
                      <w:bCs w:val="0"/>
                      <w:color w:val="auto"/>
                      <w:spacing w:val="3"/>
                      <w:kern w:val="2"/>
                      <w:sz w:val="21"/>
                      <w:szCs w:val="21"/>
                      <w:lang w:val="en-US" w:eastAsia="zh-CN" w:bidi="ar-SA"/>
                    </w:rPr>
                    <w:t>6.1.4变电工程应设置足够容量的事故油池及其配套的拦截、防雨、防渗等措施和设施。一旦发</w:t>
                  </w:r>
                </w:p>
                <w:p>
                  <w:pPr>
                    <w:pStyle w:val="28"/>
                    <w:ind w:firstLine="0" w:firstLineChars="0"/>
                    <w:jc w:val="both"/>
                    <w:rPr>
                      <w:rFonts w:hint="default" w:ascii="Times New Roman" w:hAnsi="Times New Roman" w:eastAsia="宋体" w:cs="Times New Roman"/>
                      <w:b w:val="0"/>
                      <w:bCs w:val="0"/>
                      <w:color w:val="auto"/>
                      <w:spacing w:val="3"/>
                      <w:kern w:val="2"/>
                      <w:sz w:val="21"/>
                      <w:szCs w:val="21"/>
                      <w:lang w:val="en-US" w:eastAsia="zh-CN" w:bidi="ar-SA"/>
                    </w:rPr>
                  </w:pPr>
                  <w:r>
                    <w:rPr>
                      <w:rFonts w:hint="default" w:ascii="Times New Roman" w:hAnsi="Times New Roman" w:eastAsia="宋体" w:cs="Times New Roman"/>
                      <w:b w:val="0"/>
                      <w:bCs w:val="0"/>
                      <w:color w:val="auto"/>
                      <w:spacing w:val="3"/>
                      <w:kern w:val="2"/>
                      <w:sz w:val="21"/>
                      <w:szCs w:val="21"/>
                      <w:lang w:val="en-US" w:eastAsia="zh-CN" w:bidi="ar-SA"/>
                    </w:rPr>
                    <w:t>生泄漏，应能及时进行拦截和处理，确保油及油水混合物全部收集、不外排。</w:t>
                  </w:r>
                </w:p>
              </w:tc>
              <w:tc>
                <w:tcPr>
                  <w:tcW w:w="1793" w:type="pct"/>
                  <w:vAlign w:val="center"/>
                </w:tcPr>
                <w:p>
                  <w:pPr>
                    <w:pStyle w:val="28"/>
                    <w:ind w:firstLine="0" w:firstLineChars="0"/>
                    <w:jc w:val="both"/>
                    <w:rPr>
                      <w:rFonts w:hint="eastAsia" w:ascii="Times New Roman" w:hAnsi="Times New Roman" w:eastAsia="宋体" w:cs="Times New Roman"/>
                      <w:b w:val="0"/>
                      <w:bCs w:val="0"/>
                      <w:color w:val="auto"/>
                      <w:spacing w:val="3"/>
                      <w:kern w:val="2"/>
                      <w:sz w:val="21"/>
                      <w:szCs w:val="21"/>
                      <w:lang w:val="en-US" w:eastAsia="zh-CN" w:bidi="ar-SA"/>
                    </w:rPr>
                  </w:pPr>
                  <w:r>
                    <w:rPr>
                      <w:rFonts w:hint="eastAsia" w:ascii="Times New Roman" w:hAnsi="Times New Roman" w:eastAsia="宋体" w:cs="Times New Roman"/>
                      <w:b w:val="0"/>
                      <w:bCs w:val="0"/>
                      <w:color w:val="auto"/>
                      <w:spacing w:val="3"/>
                      <w:kern w:val="2"/>
                      <w:sz w:val="21"/>
                      <w:szCs w:val="21"/>
                      <w:lang w:val="en-US" w:eastAsia="zh-CN" w:bidi="ar-SA"/>
                    </w:rPr>
                    <w:t>本项目在可行性研究报告和初设报告中均设置环境保护篇章，在初设阶段和施工方案中开展了环境保护专项设计和相应资金。</w:t>
                  </w:r>
                </w:p>
                <w:p>
                  <w:pPr>
                    <w:pStyle w:val="28"/>
                    <w:ind w:firstLine="0" w:firstLineChars="0"/>
                    <w:jc w:val="both"/>
                    <w:rPr>
                      <w:rFonts w:hint="default" w:ascii="Times New Roman" w:hAnsi="Times New Roman" w:eastAsia="宋体" w:cs="Times New Roman"/>
                      <w:b w:val="0"/>
                      <w:bCs w:val="0"/>
                      <w:color w:val="auto"/>
                      <w:spacing w:val="3"/>
                      <w:kern w:val="2"/>
                      <w:sz w:val="21"/>
                      <w:szCs w:val="21"/>
                      <w:lang w:val="en-US" w:eastAsia="en-US" w:bidi="ar-SA"/>
                    </w:rPr>
                  </w:pPr>
                  <w:r>
                    <w:rPr>
                      <w:rFonts w:hint="eastAsia" w:ascii="Times New Roman" w:hAnsi="Times New Roman" w:eastAsia="宋体" w:cs="Times New Roman"/>
                      <w:b w:val="0"/>
                      <w:bCs w:val="0"/>
                      <w:color w:val="auto"/>
                      <w:spacing w:val="3"/>
                      <w:kern w:val="2"/>
                      <w:sz w:val="21"/>
                      <w:szCs w:val="21"/>
                      <w:lang w:val="en-US" w:eastAsia="zh-CN" w:bidi="ar-SA"/>
                    </w:rPr>
                    <w:t>本项目仅为线路工程，无须设置事故油池。</w:t>
                  </w:r>
                </w:p>
              </w:tc>
              <w:tc>
                <w:tcPr>
                  <w:tcW w:w="533"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13" w:hRule="atLeast"/>
              </w:trPr>
              <w:tc>
                <w:tcPr>
                  <w:tcW w:w="2672"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3"/>
                      <w:position w:val="1"/>
                      <w:sz w:val="21"/>
                      <w:szCs w:val="21"/>
                    </w:rPr>
                    <w:t>6.2电磁环境保护</w:t>
                  </w:r>
                  <w:r>
                    <w:rPr>
                      <w:rFonts w:hint="default" w:ascii="Times New Roman" w:hAnsi="Times New Roman" w:eastAsia="宋体" w:cs="Times New Roman"/>
                      <w:color w:val="auto"/>
                      <w:spacing w:val="11"/>
                      <w:sz w:val="21"/>
                      <w:szCs w:val="21"/>
                    </w:rPr>
                    <w:t>6.2.1工程设计应对产生的工频</w:t>
                  </w:r>
                  <w:r>
                    <w:rPr>
                      <w:rFonts w:hint="default" w:ascii="Times New Roman" w:hAnsi="Times New Roman" w:eastAsia="宋体" w:cs="Times New Roman"/>
                      <w:color w:val="auto"/>
                      <w:spacing w:val="3"/>
                      <w:sz w:val="21"/>
                      <w:szCs w:val="21"/>
                    </w:rPr>
                    <w:t>电场、工频磁场、直流合成电场</w:t>
                  </w:r>
                  <w:r>
                    <w:rPr>
                      <w:rFonts w:hint="default" w:ascii="Times New Roman" w:hAnsi="Times New Roman" w:eastAsia="宋体" w:cs="Times New Roman"/>
                      <w:color w:val="auto"/>
                      <w:spacing w:val="5"/>
                      <w:sz w:val="21"/>
                      <w:szCs w:val="21"/>
                    </w:rPr>
                    <w:t>等电磁环境影响因子进行验算，</w:t>
                  </w:r>
                  <w:r>
                    <w:rPr>
                      <w:rFonts w:hint="default" w:ascii="Times New Roman" w:hAnsi="Times New Roman" w:eastAsia="宋体" w:cs="Times New Roman"/>
                      <w:color w:val="auto"/>
                      <w:spacing w:val="3"/>
                      <w:sz w:val="21"/>
                      <w:szCs w:val="21"/>
                    </w:rPr>
                    <w:t>采取相应防护措施，确保电磁环</w:t>
                  </w:r>
                  <w:r>
                    <w:rPr>
                      <w:rFonts w:hint="default" w:ascii="Times New Roman" w:hAnsi="Times New Roman" w:eastAsia="宋体" w:cs="Times New Roman"/>
                      <w:color w:val="auto"/>
                      <w:spacing w:val="8"/>
                      <w:sz w:val="21"/>
                      <w:szCs w:val="21"/>
                    </w:rPr>
                    <w:t>境影响满足国家标准要求。</w:t>
                  </w:r>
                  <w:r>
                    <w:rPr>
                      <w:rFonts w:hint="default" w:ascii="Times New Roman" w:hAnsi="Times New Roman" w:eastAsia="宋体" w:cs="Times New Roman"/>
                      <w:color w:val="auto"/>
                      <w:spacing w:val="11"/>
                      <w:sz w:val="21"/>
                      <w:szCs w:val="21"/>
                    </w:rPr>
                    <w:t>6.2.5变电工程的布置设计应考</w:t>
                  </w:r>
                  <w:r>
                    <w:rPr>
                      <w:rFonts w:hint="default" w:ascii="Times New Roman" w:hAnsi="Times New Roman" w:eastAsia="宋体" w:cs="Times New Roman"/>
                      <w:color w:val="auto"/>
                      <w:spacing w:val="19"/>
                      <w:sz w:val="21"/>
                      <w:szCs w:val="21"/>
                    </w:rPr>
                    <w:t>虑进出线对周围电磁环境的影</w:t>
                  </w:r>
                  <w:r>
                    <w:rPr>
                      <w:rFonts w:hint="default" w:ascii="Times New Roman" w:hAnsi="Times New Roman" w:eastAsia="宋体" w:cs="Times New Roman"/>
                      <w:color w:val="auto"/>
                      <w:spacing w:val="19"/>
                      <w:sz w:val="21"/>
                      <w:szCs w:val="21"/>
                      <w:lang w:val="en-US" w:eastAsia="zh-CN"/>
                    </w:rPr>
                    <w:t>响</w:t>
                  </w:r>
                </w:p>
              </w:tc>
              <w:tc>
                <w:tcPr>
                  <w:tcW w:w="1793"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sz w:val="21"/>
                      <w:szCs w:val="21"/>
                    </w:rPr>
                    <w:t>本项目在设计阶段，设计单位</w:t>
                  </w:r>
                  <w:r>
                    <w:rPr>
                      <w:rFonts w:hint="default" w:ascii="Times New Roman" w:hAnsi="Times New Roman" w:eastAsia="宋体" w:cs="Times New Roman"/>
                      <w:color w:val="auto"/>
                      <w:spacing w:val="19"/>
                      <w:sz w:val="21"/>
                      <w:szCs w:val="21"/>
                    </w:rPr>
                    <w:t>已根据相关要求对电磁环境</w:t>
                  </w:r>
                  <w:r>
                    <w:rPr>
                      <w:rFonts w:hint="default" w:ascii="Times New Roman" w:hAnsi="Times New Roman" w:eastAsia="宋体" w:cs="Times New Roman"/>
                      <w:color w:val="auto"/>
                      <w:spacing w:val="3"/>
                      <w:sz w:val="21"/>
                      <w:szCs w:val="21"/>
                    </w:rPr>
                    <w:t>影响因子进行验算，采取相应的防护措施，加强设备日常管理和维护，电磁环境影响能够</w:t>
                  </w:r>
                  <w:r>
                    <w:rPr>
                      <w:rFonts w:hint="default" w:ascii="Times New Roman" w:hAnsi="Times New Roman" w:eastAsia="宋体" w:cs="Times New Roman"/>
                      <w:color w:val="auto"/>
                      <w:spacing w:val="7"/>
                      <w:sz w:val="21"/>
                      <w:szCs w:val="21"/>
                    </w:rPr>
                    <w:t>满足相关标准要求。</w:t>
                  </w:r>
                </w:p>
              </w:tc>
              <w:tc>
                <w:tcPr>
                  <w:tcW w:w="533"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13" w:hRule="atLeast"/>
              </w:trPr>
              <w:tc>
                <w:tcPr>
                  <w:tcW w:w="2672" w:type="pct"/>
                  <w:tcBorders>
                    <w:bottom w:val="single" w:color="000000" w:sz="6" w:space="0"/>
                  </w:tcBorders>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5"/>
                      <w:position w:val="1"/>
                      <w:sz w:val="21"/>
                      <w:szCs w:val="21"/>
                    </w:rPr>
                    <w:t>6.3声环境保护</w:t>
                  </w:r>
                  <w:r>
                    <w:rPr>
                      <w:rFonts w:hint="default" w:ascii="Times New Roman" w:hAnsi="Times New Roman" w:eastAsia="宋体" w:cs="Times New Roman"/>
                      <w:color w:val="auto"/>
                      <w:spacing w:val="11"/>
                      <w:sz w:val="21"/>
                      <w:szCs w:val="21"/>
                    </w:rPr>
                    <w:t>6.3.1变电工程噪声控制设计应</w:t>
                  </w:r>
                  <w:r>
                    <w:rPr>
                      <w:rFonts w:hint="default" w:ascii="Times New Roman" w:hAnsi="Times New Roman" w:eastAsia="宋体" w:cs="Times New Roman"/>
                      <w:color w:val="auto"/>
                      <w:spacing w:val="3"/>
                      <w:sz w:val="21"/>
                      <w:szCs w:val="21"/>
                    </w:rPr>
                    <w:t>首先从噪声源强上进行控制，选择低噪声设备；对于声源上无法</w:t>
                  </w:r>
                  <w:r>
                    <w:rPr>
                      <w:rFonts w:hint="default" w:ascii="Times New Roman" w:hAnsi="Times New Roman" w:eastAsia="宋体" w:cs="Times New Roman"/>
                      <w:color w:val="auto"/>
                      <w:spacing w:val="-6"/>
                      <w:sz w:val="21"/>
                      <w:szCs w:val="21"/>
                    </w:rPr>
                    <w:t>根治的噪声，应采用隔声、吸声、</w:t>
                  </w:r>
                  <w:r>
                    <w:rPr>
                      <w:rFonts w:hint="default" w:ascii="Times New Roman" w:hAnsi="Times New Roman" w:eastAsia="宋体" w:cs="Times New Roman"/>
                      <w:color w:val="auto"/>
                      <w:spacing w:val="8"/>
                      <w:sz w:val="21"/>
                      <w:szCs w:val="21"/>
                    </w:rPr>
                    <w:t>消声、防振、减振等降噪措施，</w:t>
                  </w:r>
                  <w:r>
                    <w:rPr>
                      <w:rFonts w:hint="default" w:ascii="Times New Roman" w:hAnsi="Times New Roman" w:eastAsia="宋体" w:cs="Times New Roman"/>
                      <w:color w:val="auto"/>
                      <w:spacing w:val="19"/>
                      <w:sz w:val="21"/>
                      <w:szCs w:val="21"/>
                    </w:rPr>
                    <w:t>确保厂界排放噪声和周围声环</w:t>
                  </w:r>
                  <w:r>
                    <w:rPr>
                      <w:rFonts w:hint="default" w:ascii="Times New Roman" w:hAnsi="Times New Roman" w:eastAsia="宋体" w:cs="Times New Roman"/>
                      <w:color w:val="auto"/>
                      <w:spacing w:val="14"/>
                      <w:sz w:val="21"/>
                      <w:szCs w:val="21"/>
                    </w:rPr>
                    <w:t>境敏感目标分别满足</w:t>
                  </w:r>
                  <w:r>
                    <w:rPr>
                      <w:rFonts w:hint="default" w:ascii="Times New Roman" w:hAnsi="Times New Roman" w:eastAsia="宋体" w:cs="Times New Roman"/>
                      <w:color w:val="auto"/>
                      <w:sz w:val="21"/>
                      <w:szCs w:val="21"/>
                    </w:rPr>
                    <w:t>GB</w:t>
                  </w:r>
                  <w:r>
                    <w:rPr>
                      <w:rFonts w:hint="default" w:ascii="Times New Roman" w:hAnsi="Times New Roman" w:eastAsia="宋体" w:cs="Times New Roman"/>
                      <w:color w:val="auto"/>
                      <w:spacing w:val="14"/>
                      <w:sz w:val="21"/>
                      <w:szCs w:val="21"/>
                    </w:rPr>
                    <w:t>12348</w:t>
                  </w:r>
                  <w:r>
                    <w:rPr>
                      <w:rFonts w:hint="default" w:ascii="Times New Roman" w:hAnsi="Times New Roman" w:eastAsia="宋体" w:cs="Times New Roman"/>
                      <w:color w:val="auto"/>
                      <w:spacing w:val="5"/>
                      <w:sz w:val="21"/>
                      <w:szCs w:val="21"/>
                    </w:rPr>
                    <w:t>和</w:t>
                  </w:r>
                  <w:r>
                    <w:rPr>
                      <w:rFonts w:hint="default" w:ascii="Times New Roman" w:hAnsi="Times New Roman" w:eastAsia="宋体" w:cs="Times New Roman"/>
                      <w:color w:val="auto"/>
                      <w:sz w:val="21"/>
                      <w:szCs w:val="21"/>
                    </w:rPr>
                    <w:t>GB</w:t>
                  </w:r>
                  <w:r>
                    <w:rPr>
                      <w:rFonts w:hint="default" w:ascii="Times New Roman" w:hAnsi="Times New Roman" w:eastAsia="宋体" w:cs="Times New Roman"/>
                      <w:color w:val="auto"/>
                      <w:spacing w:val="5"/>
                      <w:sz w:val="21"/>
                      <w:szCs w:val="21"/>
                    </w:rPr>
                    <w:t>3096要求。</w:t>
                  </w:r>
                </w:p>
              </w:tc>
              <w:tc>
                <w:tcPr>
                  <w:tcW w:w="1793" w:type="pct"/>
                  <w:tcBorders>
                    <w:bottom w:val="single" w:color="000000" w:sz="6" w:space="0"/>
                  </w:tcBorders>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both"/>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kern w:val="2"/>
                      <w:sz w:val="21"/>
                      <w:szCs w:val="21"/>
                      <w:lang w:val="en-US" w:eastAsia="en-US" w:bidi="ar-SA"/>
                    </w:rPr>
                    <w:t>本项目为输变电线路，运营期噪声为电晕噪声，噪声较小；架空线路建设时通过选用加工工艺水平高、表面光滑的导线减少电晕放电，并采取提高导线对地高度等措施，以降低可听噪声；本项目能够满足GB12348和GB3096要求。</w:t>
                  </w:r>
                </w:p>
              </w:tc>
              <w:tc>
                <w:tcPr>
                  <w:tcW w:w="533" w:type="pct"/>
                  <w:tcBorders>
                    <w:bottom w:val="single" w:color="000000" w:sz="6" w:space="0"/>
                  </w:tcBorders>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13" w:hRule="atLeast"/>
              </w:trPr>
              <w:tc>
                <w:tcPr>
                  <w:tcW w:w="2672"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1"/>
                      <w:sz w:val="21"/>
                      <w:szCs w:val="21"/>
                    </w:rPr>
                    <w:t>6.3.2户外变电工程总体布置应</w:t>
                  </w:r>
                  <w:r>
                    <w:rPr>
                      <w:rFonts w:hint="default" w:ascii="Times New Roman" w:hAnsi="Times New Roman" w:eastAsia="宋体" w:cs="Times New Roman"/>
                      <w:color w:val="auto"/>
                      <w:spacing w:val="3"/>
                      <w:sz w:val="21"/>
                      <w:szCs w:val="21"/>
                    </w:rPr>
                    <w:t>综合考虑声环境总体因素，合理规划，利用建筑物、地形等阻挡噪声传播，减少对声环境敏感目</w:t>
                  </w:r>
                  <w:r>
                    <w:rPr>
                      <w:rFonts w:hint="default" w:ascii="Times New Roman" w:hAnsi="Times New Roman" w:eastAsia="宋体" w:cs="Times New Roman"/>
                      <w:color w:val="auto"/>
                      <w:spacing w:val="5"/>
                      <w:sz w:val="21"/>
                      <w:szCs w:val="21"/>
                    </w:rPr>
                    <w:t>标的影响。</w:t>
                  </w:r>
                </w:p>
              </w:tc>
              <w:tc>
                <w:tcPr>
                  <w:tcW w:w="1793"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0"/>
                      <w:sz w:val="21"/>
                      <w:szCs w:val="21"/>
                    </w:rPr>
                    <w:t>本项目</w:t>
                  </w:r>
                  <w:r>
                    <w:rPr>
                      <w:rFonts w:hint="eastAsia" w:ascii="Times New Roman" w:hAnsi="Times New Roman" w:eastAsia="宋体" w:cs="Times New Roman"/>
                      <w:color w:val="auto"/>
                      <w:spacing w:val="20"/>
                      <w:sz w:val="21"/>
                      <w:szCs w:val="21"/>
                      <w:lang w:val="en-US" w:eastAsia="zh-CN"/>
                    </w:rPr>
                    <w:t>为线路工程，营运期不涉及噪声设备</w:t>
                  </w:r>
                  <w:r>
                    <w:rPr>
                      <w:rFonts w:hint="default" w:ascii="Times New Roman" w:hAnsi="Times New Roman" w:eastAsia="宋体" w:cs="Times New Roman"/>
                      <w:color w:val="auto"/>
                      <w:spacing w:val="7"/>
                      <w:sz w:val="21"/>
                      <w:szCs w:val="21"/>
                    </w:rPr>
                    <w:t>。</w:t>
                  </w:r>
                </w:p>
              </w:tc>
              <w:tc>
                <w:tcPr>
                  <w:tcW w:w="533"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13" w:hRule="atLeast"/>
              </w:trPr>
              <w:tc>
                <w:tcPr>
                  <w:tcW w:w="2672"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8"/>
                      <w:sz w:val="21"/>
                      <w:szCs w:val="21"/>
                    </w:rPr>
                    <w:t>6.3.4变电工程位于1类或周围</w:t>
                  </w:r>
                  <w:r>
                    <w:rPr>
                      <w:rFonts w:hint="default" w:ascii="Times New Roman" w:hAnsi="Times New Roman" w:eastAsia="宋体" w:cs="Times New Roman"/>
                      <w:color w:val="auto"/>
                      <w:spacing w:val="16"/>
                      <w:sz w:val="21"/>
                      <w:szCs w:val="21"/>
                    </w:rPr>
                    <w:t>敏感建筑物较多的2类声环境</w:t>
                  </w:r>
                  <w:r>
                    <w:rPr>
                      <w:rFonts w:hint="default" w:ascii="Times New Roman" w:hAnsi="Times New Roman" w:eastAsia="宋体" w:cs="Times New Roman"/>
                      <w:color w:val="auto"/>
                      <w:spacing w:val="3"/>
                      <w:sz w:val="21"/>
                      <w:szCs w:val="21"/>
                    </w:rPr>
                    <w:t>功能区时，建设单位应严格控制主变压器、换流变压器、高压电</w:t>
                  </w:r>
                  <w:r>
                    <w:rPr>
                      <w:rFonts w:hint="default" w:ascii="Times New Roman" w:hAnsi="Times New Roman" w:eastAsia="宋体" w:cs="Times New Roman"/>
                      <w:color w:val="auto"/>
                      <w:spacing w:val="19"/>
                      <w:sz w:val="21"/>
                      <w:szCs w:val="21"/>
                    </w:rPr>
                    <w:t>抗器等主要噪声源设备的噪声</w:t>
                  </w:r>
                  <w:r>
                    <w:rPr>
                      <w:rFonts w:hint="default" w:ascii="Times New Roman" w:hAnsi="Times New Roman" w:eastAsia="宋体" w:cs="Times New Roman"/>
                      <w:color w:val="auto"/>
                      <w:spacing w:val="8"/>
                      <w:sz w:val="21"/>
                      <w:szCs w:val="21"/>
                    </w:rPr>
                    <w:t>水平，并在满足</w:t>
                  </w:r>
                  <w:r>
                    <w:rPr>
                      <w:rFonts w:hint="default" w:ascii="Times New Roman" w:hAnsi="Times New Roman" w:eastAsia="宋体" w:cs="Times New Roman"/>
                      <w:color w:val="auto"/>
                      <w:sz w:val="21"/>
                      <w:szCs w:val="21"/>
                    </w:rPr>
                    <w:t>GB</w:t>
                  </w:r>
                  <w:r>
                    <w:rPr>
                      <w:rFonts w:hint="default" w:ascii="Times New Roman" w:hAnsi="Times New Roman" w:eastAsia="宋体" w:cs="Times New Roman"/>
                      <w:color w:val="auto"/>
                      <w:spacing w:val="8"/>
                      <w:sz w:val="21"/>
                      <w:szCs w:val="21"/>
                    </w:rPr>
                    <w:t>12348的基</w:t>
                  </w:r>
                  <w:r>
                    <w:rPr>
                      <w:rFonts w:hint="default" w:ascii="Times New Roman" w:hAnsi="Times New Roman" w:eastAsia="宋体" w:cs="Times New Roman"/>
                      <w:color w:val="auto"/>
                      <w:spacing w:val="7"/>
                      <w:sz w:val="21"/>
                      <w:szCs w:val="21"/>
                    </w:rPr>
                    <w:t>础上保留适当裕度。</w:t>
                  </w:r>
                </w:p>
              </w:tc>
              <w:tc>
                <w:tcPr>
                  <w:tcW w:w="1793"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default" w:ascii="Times New Roman" w:hAnsi="Times New Roman" w:eastAsia="宋体" w:cs="Times New Roman"/>
                      <w:color w:val="auto"/>
                      <w:kern w:val="2"/>
                      <w:sz w:val="21"/>
                      <w:szCs w:val="21"/>
                      <w:lang w:val="en-US" w:eastAsia="en-US" w:bidi="ar-SA"/>
                    </w:rPr>
                  </w:pPr>
                  <w:r>
                    <w:rPr>
                      <w:rFonts w:hint="eastAsia" w:ascii="Times New Roman" w:hAnsi="Times New Roman" w:eastAsia="宋体" w:cs="Times New Roman"/>
                      <w:color w:val="auto"/>
                      <w:spacing w:val="20"/>
                      <w:sz w:val="21"/>
                      <w:szCs w:val="21"/>
                      <w:lang w:val="en-US" w:eastAsia="zh-CN"/>
                    </w:rPr>
                    <w:t>本项目仅为线路工程，不涉及变电站</w:t>
                  </w:r>
                  <w:r>
                    <w:rPr>
                      <w:rFonts w:hint="default" w:ascii="Times New Roman" w:hAnsi="Times New Roman" w:eastAsia="宋体" w:cs="Times New Roman"/>
                      <w:color w:val="auto"/>
                      <w:spacing w:val="7"/>
                      <w:sz w:val="21"/>
                      <w:szCs w:val="21"/>
                    </w:rPr>
                    <w:t>。</w:t>
                  </w:r>
                </w:p>
              </w:tc>
              <w:tc>
                <w:tcPr>
                  <w:tcW w:w="533"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13" w:hRule="atLeast"/>
              </w:trPr>
              <w:tc>
                <w:tcPr>
                  <w:tcW w:w="2672"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default" w:ascii="Times New Roman" w:hAnsi="Times New Roman" w:eastAsia="宋体" w:cs="Times New Roman"/>
                      <w:color w:val="auto"/>
                      <w:spacing w:val="6"/>
                      <w:position w:val="1"/>
                      <w:sz w:val="21"/>
                      <w:szCs w:val="21"/>
                    </w:rPr>
                  </w:pPr>
                  <w:r>
                    <w:rPr>
                      <w:rFonts w:hint="default" w:ascii="Times New Roman" w:hAnsi="Times New Roman" w:eastAsia="宋体" w:cs="Times New Roman"/>
                      <w:color w:val="auto"/>
                      <w:spacing w:val="6"/>
                      <w:position w:val="1"/>
                      <w:sz w:val="21"/>
                      <w:szCs w:val="21"/>
                    </w:rPr>
                    <w:t>6.4生态环境保护</w:t>
                  </w:r>
                </w:p>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1"/>
                      <w:sz w:val="21"/>
                      <w:szCs w:val="21"/>
                    </w:rPr>
                    <w:t>6.4.1输变电建设项目在设计过</w:t>
                  </w:r>
                  <w:r>
                    <w:rPr>
                      <w:rFonts w:hint="default" w:ascii="Times New Roman" w:hAnsi="Times New Roman" w:eastAsia="宋体" w:cs="Times New Roman"/>
                      <w:color w:val="auto"/>
                      <w:spacing w:val="3"/>
                      <w:sz w:val="21"/>
                      <w:szCs w:val="21"/>
                    </w:rPr>
                    <w:t>程中应按照避让、减缓、恢复</w:t>
                  </w:r>
                  <w:r>
                    <w:rPr>
                      <w:rFonts w:hint="eastAsia" w:ascii="Times New Roman" w:hAnsi="Times New Roman" w:eastAsia="宋体" w:cs="Times New Roman"/>
                      <w:color w:val="auto"/>
                      <w:spacing w:val="3"/>
                      <w:sz w:val="21"/>
                      <w:szCs w:val="21"/>
                      <w:lang w:val="en-US" w:eastAsia="zh-CN"/>
                    </w:rPr>
                    <w:t>的</w:t>
                  </w:r>
                  <w:r>
                    <w:rPr>
                      <w:rFonts w:hint="default" w:ascii="Times New Roman" w:hAnsi="Times New Roman" w:eastAsia="宋体" w:cs="Times New Roman"/>
                      <w:color w:val="auto"/>
                      <w:spacing w:val="19"/>
                      <w:sz w:val="21"/>
                      <w:szCs w:val="21"/>
                    </w:rPr>
                    <w:t>次序提出生态影响防护与恢复</w:t>
                  </w:r>
                  <w:r>
                    <w:rPr>
                      <w:rFonts w:hint="default" w:ascii="Times New Roman" w:hAnsi="Times New Roman" w:eastAsia="宋体" w:cs="Times New Roman"/>
                      <w:color w:val="auto"/>
                      <w:spacing w:val="5"/>
                      <w:sz w:val="21"/>
                      <w:szCs w:val="21"/>
                    </w:rPr>
                    <w:t>的措施。</w:t>
                  </w:r>
                </w:p>
              </w:tc>
              <w:tc>
                <w:tcPr>
                  <w:tcW w:w="1793"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5"/>
                      <w:sz w:val="21"/>
                      <w:szCs w:val="21"/>
                    </w:rPr>
                    <w:t>施工结束后，及时清理现场，</w:t>
                  </w:r>
                  <w:r>
                    <w:rPr>
                      <w:rFonts w:hint="default" w:ascii="Times New Roman" w:hAnsi="Times New Roman" w:eastAsia="宋体" w:cs="Times New Roman"/>
                      <w:color w:val="auto"/>
                      <w:spacing w:val="7"/>
                      <w:sz w:val="21"/>
                      <w:szCs w:val="21"/>
                    </w:rPr>
                    <w:t>恢复原有土地功能。</w:t>
                  </w:r>
                  <w:r>
                    <w:rPr>
                      <w:rFonts w:hint="default" w:ascii="Times New Roman" w:hAnsi="Times New Roman" w:eastAsia="宋体" w:cs="Times New Roman"/>
                      <w:color w:val="auto"/>
                      <w:spacing w:val="3"/>
                      <w:sz w:val="21"/>
                      <w:szCs w:val="21"/>
                    </w:rPr>
                    <w:t>施工中对土壤分层开挖，分别堆放，分层回填，施工结束后拆除施工临时设施，恢复原有</w:t>
                  </w:r>
                  <w:r>
                    <w:rPr>
                      <w:rFonts w:hint="default" w:ascii="Times New Roman" w:hAnsi="Times New Roman" w:eastAsia="宋体" w:cs="Times New Roman"/>
                      <w:color w:val="auto"/>
                      <w:spacing w:val="5"/>
                      <w:sz w:val="21"/>
                      <w:szCs w:val="21"/>
                    </w:rPr>
                    <w:t>土地功能。</w:t>
                  </w:r>
                </w:p>
              </w:tc>
              <w:tc>
                <w:tcPr>
                  <w:tcW w:w="533"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2672"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kern w:val="2"/>
                      <w:sz w:val="21"/>
                      <w:szCs w:val="21"/>
                      <w:lang w:val="en-US" w:eastAsia="en-US" w:bidi="ar-SA"/>
                    </w:rPr>
                    <w:t>6.4.2输电线路应因地制宜合理选择塔基基础，在山丘区应采用全方位长短腿与不等高基础设计，以减少土石方开挖。输电线路无法避让集中林区时，应采取控制导线高度设计，以减少林木砍伐，保护生态环境。</w:t>
                  </w:r>
                </w:p>
              </w:tc>
              <w:tc>
                <w:tcPr>
                  <w:tcW w:w="1793"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both"/>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kern w:val="2"/>
                      <w:sz w:val="21"/>
                      <w:szCs w:val="21"/>
                      <w:lang w:val="en-US" w:eastAsia="en-US" w:bidi="ar-SA"/>
                    </w:rPr>
                    <w:t>在设计阶段，已避让集中林区，经过林区尽量采取高跨的方式，减少林木砍伐，保护生态环境。对带油料的机械器具做好防护，避免因跑、冒、滴、漏造成土壤及水体的污染。施工结束后，及时清理现场恢复原有土地功能。</w:t>
                  </w:r>
                </w:p>
              </w:tc>
              <w:tc>
                <w:tcPr>
                  <w:tcW w:w="533"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93" w:hRule="atLeast"/>
              </w:trPr>
              <w:tc>
                <w:tcPr>
                  <w:tcW w:w="2672"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6.4.3输变电建设项目临时占</w:t>
                  </w:r>
                  <w:r>
                    <w:rPr>
                      <w:rFonts w:hint="default" w:ascii="Times New Roman" w:hAnsi="Times New Roman" w:eastAsia="宋体" w:cs="Times New Roman"/>
                      <w:color w:val="auto"/>
                      <w:spacing w:val="3"/>
                      <w:sz w:val="21"/>
                      <w:szCs w:val="21"/>
                    </w:rPr>
                    <w:t>地，应因地制宜进行土地功能恢</w:t>
                  </w:r>
                  <w:r>
                    <w:rPr>
                      <w:rFonts w:hint="default" w:ascii="Times New Roman" w:hAnsi="Times New Roman" w:eastAsia="宋体" w:cs="Times New Roman"/>
                      <w:color w:val="auto"/>
                      <w:spacing w:val="5"/>
                      <w:sz w:val="21"/>
                      <w:szCs w:val="21"/>
                    </w:rPr>
                    <w:t>复设计。</w:t>
                  </w:r>
                </w:p>
              </w:tc>
              <w:tc>
                <w:tcPr>
                  <w:tcW w:w="1793"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kern w:val="2"/>
                      <w:sz w:val="21"/>
                      <w:szCs w:val="21"/>
                      <w:lang w:val="en-US" w:eastAsia="en-US" w:bidi="ar-SA"/>
                    </w:rPr>
                    <w:t>施工中对土壤分层开挖，分别堆放，分层复原，施工结束后拆除施工临时道路及其他临时设施，恢复原有土地功能。</w:t>
                  </w:r>
                </w:p>
              </w:tc>
              <w:tc>
                <w:tcPr>
                  <w:tcW w:w="533"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03" w:hRule="atLeast"/>
              </w:trPr>
              <w:tc>
                <w:tcPr>
                  <w:tcW w:w="2672"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color w:val="auto"/>
                      <w:spacing w:val="-3"/>
                      <w:sz w:val="21"/>
                      <w:szCs w:val="21"/>
                    </w:rPr>
                    <w:t>6.4.4进入自然保护区的输电线路，应根据生态现状调查结果，制定相应的保护方案。塔基定位应避让珍稀濒危物种、保护植物和保护动物的栖息地，根据保护对象的特性设计相应的生态环境保护措施、设施等。</w:t>
                  </w:r>
                </w:p>
              </w:tc>
              <w:tc>
                <w:tcPr>
                  <w:tcW w:w="1793"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本项目不涉及自然保护区。</w:t>
                  </w:r>
                  <w:r>
                    <w:rPr>
                      <w:rFonts w:hint="default" w:ascii="Times New Roman" w:hAnsi="Times New Roman" w:eastAsia="宋体" w:cs="Times New Roman"/>
                      <w:color w:val="auto"/>
                      <w:spacing w:val="-3"/>
                      <w:sz w:val="21"/>
                      <w:szCs w:val="21"/>
                    </w:rPr>
                    <w:t>塔基定位避让</w:t>
                  </w:r>
                  <w:r>
                    <w:rPr>
                      <w:rFonts w:hint="eastAsia" w:ascii="Times New Roman" w:hAnsi="Times New Roman" w:eastAsia="宋体" w:cs="Times New Roman"/>
                      <w:color w:val="auto"/>
                      <w:spacing w:val="-3"/>
                      <w:sz w:val="21"/>
                      <w:szCs w:val="21"/>
                      <w:lang w:val="en-US" w:eastAsia="zh-CN"/>
                    </w:rPr>
                    <w:t>了</w:t>
                  </w:r>
                  <w:r>
                    <w:rPr>
                      <w:rFonts w:hint="default" w:ascii="Times New Roman" w:hAnsi="Times New Roman" w:eastAsia="宋体" w:cs="Times New Roman"/>
                      <w:color w:val="auto"/>
                      <w:spacing w:val="-3"/>
                      <w:sz w:val="21"/>
                      <w:szCs w:val="21"/>
                    </w:rPr>
                    <w:t>珍稀濒危物种、保护植物和保护动物的栖息地</w:t>
                  </w:r>
                  <w:r>
                    <w:rPr>
                      <w:rFonts w:hint="eastAsia" w:ascii="Times New Roman" w:hAnsi="Times New Roman" w:eastAsia="宋体" w:cs="Times New Roman"/>
                      <w:color w:val="auto"/>
                      <w:spacing w:val="-3"/>
                      <w:sz w:val="21"/>
                      <w:szCs w:val="21"/>
                      <w:lang w:eastAsia="zh-CN"/>
                    </w:rPr>
                    <w:t>。</w:t>
                  </w:r>
                </w:p>
              </w:tc>
              <w:tc>
                <w:tcPr>
                  <w:tcW w:w="533"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5000" w:type="pct"/>
                  <w:gridSpan w:val="3"/>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color w:val="auto"/>
                      <w:spacing w:val="2"/>
                      <w:sz w:val="21"/>
                      <w:szCs w:val="21"/>
                    </w:rPr>
                    <w:t>7施工</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16" w:hRule="atLeast"/>
              </w:trPr>
              <w:tc>
                <w:tcPr>
                  <w:tcW w:w="2672"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5"/>
                      <w:position w:val="1"/>
                      <w:sz w:val="21"/>
                      <w:szCs w:val="21"/>
                    </w:rPr>
                    <w:t>7.2声环境保护</w:t>
                  </w:r>
                  <w:r>
                    <w:rPr>
                      <w:rFonts w:hint="default" w:ascii="Times New Roman" w:hAnsi="Times New Roman" w:eastAsia="宋体" w:cs="Times New Roman"/>
                      <w:color w:val="auto"/>
                      <w:spacing w:val="11"/>
                      <w:sz w:val="21"/>
                      <w:szCs w:val="21"/>
                    </w:rPr>
                    <w:t>7.2.1变电工程施工过程中厂界</w:t>
                  </w:r>
                  <w:r>
                    <w:rPr>
                      <w:rFonts w:hint="default" w:ascii="Times New Roman" w:hAnsi="Times New Roman" w:eastAsia="宋体" w:cs="Times New Roman"/>
                      <w:color w:val="auto"/>
                      <w:spacing w:val="14"/>
                      <w:sz w:val="21"/>
                      <w:szCs w:val="21"/>
                    </w:rPr>
                    <w:t>环境噪声排放应满足</w:t>
                  </w:r>
                  <w:r>
                    <w:rPr>
                      <w:rFonts w:hint="default" w:ascii="Times New Roman" w:hAnsi="Times New Roman" w:eastAsia="宋体" w:cs="Times New Roman"/>
                      <w:color w:val="auto"/>
                      <w:sz w:val="21"/>
                      <w:szCs w:val="21"/>
                    </w:rPr>
                    <w:t>GB</w:t>
                  </w:r>
                  <w:r>
                    <w:rPr>
                      <w:rFonts w:hint="default" w:ascii="Times New Roman" w:hAnsi="Times New Roman" w:eastAsia="宋体" w:cs="Times New Roman"/>
                      <w:color w:val="auto"/>
                      <w:spacing w:val="14"/>
                      <w:sz w:val="21"/>
                      <w:szCs w:val="21"/>
                    </w:rPr>
                    <w:t>12523</w:t>
                  </w:r>
                  <w:r>
                    <w:rPr>
                      <w:rFonts w:hint="default" w:ascii="Times New Roman" w:hAnsi="Times New Roman" w:eastAsia="宋体" w:cs="Times New Roman"/>
                      <w:color w:val="auto"/>
                      <w:spacing w:val="5"/>
                      <w:sz w:val="21"/>
                      <w:szCs w:val="21"/>
                    </w:rPr>
                    <w:t>中的要求。</w:t>
                  </w:r>
                  <w:r>
                    <w:rPr>
                      <w:rFonts w:hint="default" w:ascii="Times New Roman" w:hAnsi="Times New Roman" w:eastAsia="宋体" w:cs="Times New Roman"/>
                      <w:color w:val="auto"/>
                      <w:spacing w:val="11"/>
                      <w:sz w:val="21"/>
                      <w:szCs w:val="21"/>
                    </w:rPr>
                    <w:t>7.2.2在城市市区噪声敏感建筑</w:t>
                  </w:r>
                  <w:r>
                    <w:rPr>
                      <w:rFonts w:hint="default" w:ascii="Times New Roman" w:hAnsi="Times New Roman" w:eastAsia="宋体" w:cs="Times New Roman"/>
                      <w:color w:val="auto"/>
                      <w:spacing w:val="3"/>
                      <w:sz w:val="21"/>
                      <w:szCs w:val="21"/>
                    </w:rPr>
                    <w:t>物集中区域内，禁止夜间进行产</w:t>
                  </w:r>
                  <w:r>
                    <w:rPr>
                      <w:rFonts w:hint="default" w:ascii="Times New Roman" w:hAnsi="Times New Roman" w:eastAsia="宋体" w:cs="Times New Roman"/>
                      <w:color w:val="auto"/>
                      <w:spacing w:val="18"/>
                      <w:sz w:val="21"/>
                      <w:szCs w:val="21"/>
                    </w:rPr>
                    <w:t>生环境噪声污染的建筑施工作</w:t>
                  </w:r>
                  <w:r>
                    <w:rPr>
                      <w:rFonts w:hint="default" w:ascii="Times New Roman" w:hAnsi="Times New Roman" w:eastAsia="宋体" w:cs="Times New Roman"/>
                      <w:color w:val="auto"/>
                      <w:spacing w:val="3"/>
                      <w:sz w:val="21"/>
                      <w:szCs w:val="21"/>
                    </w:rPr>
                    <w:t>业，但抢修、抢险作业和因生产</w:t>
                  </w:r>
                  <w:r>
                    <w:rPr>
                      <w:rFonts w:hint="default" w:ascii="Times New Roman" w:hAnsi="Times New Roman" w:eastAsia="宋体" w:cs="Times New Roman"/>
                      <w:color w:val="auto"/>
                      <w:spacing w:val="19"/>
                      <w:sz w:val="21"/>
                      <w:szCs w:val="21"/>
                    </w:rPr>
                    <w:t>工艺上要求或者特殊需要必须</w:t>
                  </w:r>
                  <w:r>
                    <w:rPr>
                      <w:rFonts w:hint="default" w:ascii="Times New Roman" w:hAnsi="Times New Roman" w:eastAsia="宋体" w:cs="Times New Roman"/>
                      <w:color w:val="auto"/>
                      <w:spacing w:val="3"/>
                      <w:sz w:val="21"/>
                      <w:szCs w:val="21"/>
                    </w:rPr>
                    <w:t>连续作业的除外。夜间作业必须</w:t>
                  </w:r>
                  <w:r>
                    <w:rPr>
                      <w:rFonts w:hint="default" w:ascii="Times New Roman" w:hAnsi="Times New Roman" w:eastAsia="宋体" w:cs="Times New Roman"/>
                      <w:color w:val="auto"/>
                      <w:spacing w:val="7"/>
                      <w:sz w:val="21"/>
                      <w:szCs w:val="21"/>
                    </w:rPr>
                    <w:t>公告附近居民。</w:t>
                  </w:r>
                </w:p>
              </w:tc>
              <w:tc>
                <w:tcPr>
                  <w:tcW w:w="1793"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0"/>
                      <w:sz w:val="21"/>
                      <w:szCs w:val="21"/>
                    </w:rPr>
                    <w:t>施工过程中选用低噪声的设</w:t>
                  </w:r>
                  <w:r>
                    <w:rPr>
                      <w:rFonts w:hint="default" w:ascii="Times New Roman" w:hAnsi="Times New Roman" w:eastAsia="宋体" w:cs="Times New Roman"/>
                      <w:color w:val="auto"/>
                      <w:spacing w:val="3"/>
                      <w:sz w:val="21"/>
                      <w:szCs w:val="21"/>
                    </w:rPr>
                    <w:t>备，在噪声源处设置围挡，合理安排施工作业时间，确需夜间施工作业的，必须提前向当地行政审批部门提出申请，经审核批准后，方可施工，并由施工单位公告当地居民，同时</w:t>
                  </w:r>
                  <w:r>
                    <w:rPr>
                      <w:rFonts w:hint="default" w:ascii="Times New Roman" w:hAnsi="Times New Roman" w:eastAsia="宋体" w:cs="Times New Roman"/>
                      <w:color w:val="auto"/>
                      <w:spacing w:val="20"/>
                      <w:sz w:val="21"/>
                      <w:szCs w:val="21"/>
                    </w:rPr>
                    <w:t>在夜间施工时禁止使用产生较大噪声的机械设备如推土</w:t>
                  </w:r>
                  <w:r>
                    <w:rPr>
                      <w:rFonts w:hint="default" w:ascii="Times New Roman" w:hAnsi="Times New Roman" w:eastAsia="宋体" w:cs="Times New Roman"/>
                      <w:color w:val="auto"/>
                      <w:spacing w:val="3"/>
                      <w:sz w:val="21"/>
                      <w:szCs w:val="21"/>
                    </w:rPr>
                    <w:t>机、挖掘机等。在采取一系列噪声污染防治措施后，施工噪</w:t>
                  </w:r>
                  <w:r>
                    <w:rPr>
                      <w:rFonts w:hint="default" w:ascii="Times New Roman" w:hAnsi="Times New Roman" w:eastAsia="宋体" w:cs="Times New Roman"/>
                      <w:color w:val="auto"/>
                      <w:spacing w:val="20"/>
                      <w:sz w:val="21"/>
                      <w:szCs w:val="21"/>
                    </w:rPr>
                    <w:t>声对外环境的影响将被减至</w:t>
                  </w:r>
                  <w:r>
                    <w:rPr>
                      <w:rFonts w:hint="default" w:ascii="Times New Roman" w:hAnsi="Times New Roman" w:eastAsia="宋体" w:cs="Times New Roman"/>
                      <w:color w:val="auto"/>
                      <w:spacing w:val="6"/>
                      <w:sz w:val="21"/>
                      <w:szCs w:val="21"/>
                    </w:rPr>
                    <w:t>最低程度。</w:t>
                  </w:r>
                </w:p>
              </w:tc>
              <w:tc>
                <w:tcPr>
                  <w:tcW w:w="533"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13" w:hRule="atLeast"/>
              </w:trPr>
              <w:tc>
                <w:tcPr>
                  <w:tcW w:w="2672"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6"/>
                      <w:position w:val="1"/>
                      <w:sz w:val="21"/>
                      <w:szCs w:val="21"/>
                    </w:rPr>
                    <w:t>7.3生态环境保护</w:t>
                  </w:r>
                  <w:r>
                    <w:rPr>
                      <w:rFonts w:hint="default" w:ascii="Times New Roman" w:hAnsi="Times New Roman" w:eastAsia="宋体" w:cs="Times New Roman"/>
                      <w:color w:val="auto"/>
                      <w:spacing w:val="11"/>
                      <w:sz w:val="21"/>
                      <w:szCs w:val="21"/>
                    </w:rPr>
                    <w:t>7.3.1输变电建设项目施工期临</w:t>
                  </w:r>
                  <w:r>
                    <w:rPr>
                      <w:rFonts w:hint="default" w:ascii="Times New Roman" w:hAnsi="Times New Roman" w:eastAsia="宋体" w:cs="Times New Roman"/>
                      <w:color w:val="auto"/>
                      <w:spacing w:val="3"/>
                      <w:sz w:val="21"/>
                      <w:szCs w:val="21"/>
                    </w:rPr>
                    <w:t>时用地应永临结合，优先利用荒</w:t>
                  </w:r>
                  <w:r>
                    <w:rPr>
                      <w:rFonts w:hint="default" w:ascii="Times New Roman" w:hAnsi="Times New Roman" w:eastAsia="宋体" w:cs="Times New Roman"/>
                      <w:color w:val="auto"/>
                      <w:spacing w:val="5"/>
                      <w:sz w:val="21"/>
                      <w:szCs w:val="21"/>
                    </w:rPr>
                    <w:t>地、劣地。</w:t>
                  </w:r>
                  <w:r>
                    <w:rPr>
                      <w:rFonts w:hint="default" w:ascii="Times New Roman" w:hAnsi="Times New Roman" w:eastAsia="宋体" w:cs="Times New Roman"/>
                      <w:color w:val="auto"/>
                      <w:spacing w:val="11"/>
                      <w:sz w:val="21"/>
                      <w:szCs w:val="21"/>
                    </w:rPr>
                    <w:t>7.3.2输变电建设项目施工占用</w:t>
                  </w:r>
                  <w:r>
                    <w:rPr>
                      <w:rFonts w:hint="default" w:ascii="Times New Roman" w:hAnsi="Times New Roman" w:eastAsia="宋体" w:cs="Times New Roman"/>
                      <w:color w:val="auto"/>
                      <w:spacing w:val="3"/>
                      <w:sz w:val="21"/>
                      <w:szCs w:val="21"/>
                    </w:rPr>
                    <w:t>耕地、园地、林地和草地，应做好表土剥离、分类存放和回填利</w:t>
                  </w:r>
                  <w:r>
                    <w:rPr>
                      <w:rFonts w:hint="default" w:ascii="Times New Roman" w:hAnsi="Times New Roman" w:eastAsia="宋体" w:cs="Times New Roman"/>
                      <w:color w:val="auto"/>
                      <w:sz w:val="21"/>
                      <w:szCs w:val="21"/>
                    </w:rPr>
                    <w:t>用。</w:t>
                  </w:r>
                  <w:r>
                    <w:rPr>
                      <w:rFonts w:hint="default" w:ascii="Times New Roman" w:hAnsi="Times New Roman" w:eastAsia="宋体" w:cs="Times New Roman"/>
                      <w:color w:val="auto"/>
                      <w:spacing w:val="11"/>
                      <w:sz w:val="21"/>
                      <w:szCs w:val="21"/>
                    </w:rPr>
                    <w:t>7.3.6施工临时道路应尽可能利</w:t>
                  </w:r>
                  <w:r>
                    <w:rPr>
                      <w:rFonts w:hint="default" w:ascii="Times New Roman" w:hAnsi="Times New Roman" w:eastAsia="宋体" w:cs="Times New Roman"/>
                      <w:color w:val="auto"/>
                      <w:spacing w:val="19"/>
                      <w:sz w:val="21"/>
                      <w:szCs w:val="21"/>
                    </w:rPr>
                    <w:t>用机耕路、林区小路等现有道</w:t>
                  </w:r>
                  <w:r>
                    <w:rPr>
                      <w:rFonts w:hint="default" w:ascii="Times New Roman" w:hAnsi="Times New Roman" w:eastAsia="宋体" w:cs="Times New Roman"/>
                      <w:color w:val="auto"/>
                      <w:spacing w:val="3"/>
                      <w:sz w:val="21"/>
                      <w:szCs w:val="21"/>
                    </w:rPr>
                    <w:t>路，新建道路应严格控制道路宽</w:t>
                  </w:r>
                  <w:r>
                    <w:rPr>
                      <w:rFonts w:hint="default" w:ascii="Times New Roman" w:hAnsi="Times New Roman" w:eastAsia="宋体" w:cs="Times New Roman"/>
                      <w:color w:val="auto"/>
                      <w:sz w:val="21"/>
                      <w:szCs w:val="21"/>
                    </w:rPr>
                    <w:t>度，</w:t>
                  </w:r>
                  <w:r>
                    <w:rPr>
                      <w:rFonts w:hint="default" w:ascii="Times New Roman" w:hAnsi="Times New Roman" w:eastAsia="宋体" w:cs="Times New Roman"/>
                      <w:color w:val="auto"/>
                      <w:spacing w:val="17"/>
                      <w:sz w:val="21"/>
                      <w:szCs w:val="21"/>
                    </w:rPr>
                    <w:t>以减少临时工程对生态环境的</w:t>
                  </w:r>
                  <w:r>
                    <w:rPr>
                      <w:rFonts w:hint="default" w:ascii="Times New Roman" w:hAnsi="Times New Roman" w:eastAsia="宋体" w:cs="Times New Roman"/>
                      <w:color w:val="auto"/>
                      <w:spacing w:val="3"/>
                      <w:sz w:val="21"/>
                      <w:szCs w:val="21"/>
                    </w:rPr>
                    <w:t>影响。</w:t>
                  </w:r>
                  <w:r>
                    <w:rPr>
                      <w:rFonts w:hint="default" w:ascii="Times New Roman" w:hAnsi="Times New Roman" w:eastAsia="宋体" w:cs="Times New Roman"/>
                      <w:color w:val="auto"/>
                      <w:spacing w:val="11"/>
                      <w:sz w:val="21"/>
                      <w:szCs w:val="21"/>
                    </w:rPr>
                    <w:t>7.3.7施工现场使用带油料的机</w:t>
                  </w:r>
                  <w:r>
                    <w:rPr>
                      <w:rFonts w:hint="default" w:ascii="Times New Roman" w:hAnsi="Times New Roman" w:eastAsia="宋体" w:cs="Times New Roman"/>
                      <w:color w:val="auto"/>
                      <w:spacing w:val="19"/>
                      <w:sz w:val="21"/>
                      <w:szCs w:val="21"/>
                    </w:rPr>
                    <w:t>械器具，应采取措施防止油料</w:t>
                  </w:r>
                  <w:r>
                    <w:rPr>
                      <w:rFonts w:hint="default" w:ascii="Times New Roman" w:hAnsi="Times New Roman" w:eastAsia="宋体" w:cs="Times New Roman"/>
                      <w:color w:val="auto"/>
                      <w:spacing w:val="3"/>
                      <w:sz w:val="21"/>
                      <w:szCs w:val="21"/>
                    </w:rPr>
                    <w:t>跑、冒、滴、漏，防止对土壤和</w:t>
                  </w:r>
                  <w:r>
                    <w:rPr>
                      <w:rFonts w:hint="default" w:ascii="Times New Roman" w:hAnsi="Times New Roman" w:eastAsia="宋体" w:cs="Times New Roman"/>
                      <w:color w:val="auto"/>
                      <w:spacing w:val="7"/>
                      <w:sz w:val="21"/>
                      <w:szCs w:val="21"/>
                    </w:rPr>
                    <w:t>水体造成污染。</w:t>
                  </w:r>
                  <w:r>
                    <w:rPr>
                      <w:rFonts w:hint="default" w:ascii="Times New Roman" w:hAnsi="Times New Roman" w:eastAsia="宋体" w:cs="Times New Roman"/>
                      <w:color w:val="auto"/>
                      <w:spacing w:val="11"/>
                      <w:sz w:val="21"/>
                      <w:szCs w:val="21"/>
                    </w:rPr>
                    <w:t>7.3.8施工结束后，应及时清理</w:t>
                  </w:r>
                  <w:r>
                    <w:rPr>
                      <w:rFonts w:hint="default" w:ascii="Times New Roman" w:hAnsi="Times New Roman" w:eastAsia="宋体" w:cs="Times New Roman"/>
                      <w:color w:val="auto"/>
                      <w:spacing w:val="3"/>
                      <w:sz w:val="21"/>
                      <w:szCs w:val="21"/>
                    </w:rPr>
                    <w:t>施工现场，因地制宜进行土地功</w:t>
                  </w:r>
                  <w:r>
                    <w:rPr>
                      <w:rFonts w:hint="default" w:ascii="Times New Roman" w:hAnsi="Times New Roman" w:eastAsia="宋体" w:cs="Times New Roman"/>
                      <w:color w:val="auto"/>
                      <w:spacing w:val="5"/>
                      <w:sz w:val="21"/>
                      <w:szCs w:val="21"/>
                    </w:rPr>
                    <w:t>能恢复。</w:t>
                  </w:r>
                </w:p>
              </w:tc>
              <w:tc>
                <w:tcPr>
                  <w:tcW w:w="1793"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6"/>
                      <w:sz w:val="21"/>
                      <w:szCs w:val="21"/>
                    </w:rPr>
                    <w:t>本项目施工过程中剥离表土、</w:t>
                  </w:r>
                  <w:r>
                    <w:rPr>
                      <w:rFonts w:hint="default" w:ascii="Times New Roman" w:hAnsi="Times New Roman" w:eastAsia="宋体" w:cs="Times New Roman"/>
                      <w:color w:val="auto"/>
                      <w:spacing w:val="3"/>
                      <w:sz w:val="21"/>
                      <w:szCs w:val="21"/>
                    </w:rPr>
                    <w:t>分层堆放，施工结束后，及时</w:t>
                  </w:r>
                  <w:r>
                    <w:rPr>
                      <w:rFonts w:hint="default" w:ascii="Times New Roman" w:hAnsi="Times New Roman" w:eastAsia="宋体" w:cs="Times New Roman"/>
                      <w:color w:val="auto"/>
                      <w:spacing w:val="20"/>
                      <w:sz w:val="21"/>
                      <w:szCs w:val="21"/>
                    </w:rPr>
                    <w:t>清理施工现场，恢复土地功</w:t>
                  </w:r>
                  <w:r>
                    <w:rPr>
                      <w:rFonts w:hint="default" w:ascii="Times New Roman" w:hAnsi="Times New Roman" w:eastAsia="宋体" w:cs="Times New Roman"/>
                      <w:color w:val="auto"/>
                      <w:sz w:val="21"/>
                      <w:szCs w:val="21"/>
                    </w:rPr>
                    <w:t>能。</w:t>
                  </w:r>
                  <w:r>
                    <w:rPr>
                      <w:rFonts w:hint="default" w:ascii="Times New Roman" w:hAnsi="Times New Roman" w:eastAsia="宋体" w:cs="Times New Roman"/>
                      <w:color w:val="auto"/>
                      <w:spacing w:val="20"/>
                      <w:sz w:val="21"/>
                      <w:szCs w:val="21"/>
                    </w:rPr>
                    <w:t>施工中对带油料的机械器具</w:t>
                  </w:r>
                  <w:r>
                    <w:rPr>
                      <w:rFonts w:hint="default" w:ascii="Times New Roman" w:hAnsi="Times New Roman" w:eastAsia="宋体" w:cs="Times New Roman"/>
                      <w:color w:val="auto"/>
                      <w:spacing w:val="3"/>
                      <w:sz w:val="21"/>
                      <w:szCs w:val="21"/>
                    </w:rPr>
                    <w:t>采取防止油料跑、冒、滴、漏的措施，防止施工过程对土壤</w:t>
                  </w:r>
                  <w:r>
                    <w:rPr>
                      <w:rFonts w:hint="default" w:ascii="Times New Roman" w:hAnsi="Times New Roman" w:eastAsia="宋体" w:cs="Times New Roman"/>
                      <w:color w:val="auto"/>
                      <w:spacing w:val="7"/>
                      <w:sz w:val="21"/>
                      <w:szCs w:val="21"/>
                    </w:rPr>
                    <w:t>和水体造成污染。</w:t>
                  </w:r>
                </w:p>
              </w:tc>
              <w:tc>
                <w:tcPr>
                  <w:tcW w:w="533"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4" w:hRule="atLeast"/>
              </w:trPr>
              <w:tc>
                <w:tcPr>
                  <w:tcW w:w="2672"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6"/>
                      <w:position w:val="1"/>
                      <w:sz w:val="21"/>
                      <w:szCs w:val="21"/>
                    </w:rPr>
                    <w:t>7.4水环境保护</w:t>
                  </w:r>
                  <w:r>
                    <w:rPr>
                      <w:rFonts w:hint="default" w:ascii="Times New Roman" w:hAnsi="Times New Roman" w:eastAsia="宋体" w:cs="Times New Roman"/>
                      <w:color w:val="auto"/>
                      <w:spacing w:val="11"/>
                      <w:sz w:val="21"/>
                      <w:szCs w:val="21"/>
                    </w:rPr>
                    <w:t>7.4.1在饮用水水源保护区和其</w:t>
                  </w:r>
                  <w:r>
                    <w:rPr>
                      <w:rFonts w:hint="default" w:ascii="Times New Roman" w:hAnsi="Times New Roman" w:eastAsia="宋体" w:cs="Times New Roman"/>
                      <w:color w:val="auto"/>
                      <w:spacing w:val="5"/>
                      <w:sz w:val="21"/>
                      <w:szCs w:val="21"/>
                    </w:rPr>
                    <w:t>他水体保护区内或附近施工时，</w:t>
                  </w:r>
                  <w:r>
                    <w:rPr>
                      <w:rFonts w:hint="default" w:ascii="Times New Roman" w:hAnsi="Times New Roman" w:eastAsia="宋体" w:cs="Times New Roman"/>
                      <w:color w:val="auto"/>
                      <w:spacing w:val="19"/>
                      <w:sz w:val="21"/>
                      <w:szCs w:val="21"/>
                    </w:rPr>
                    <w:t>应加强管理，做好污水防治措</w:t>
                  </w:r>
                  <w:r>
                    <w:rPr>
                      <w:rFonts w:hint="default" w:ascii="Times New Roman" w:hAnsi="Times New Roman" w:eastAsia="宋体" w:cs="Times New Roman"/>
                      <w:color w:val="auto"/>
                      <w:spacing w:val="8"/>
                      <w:sz w:val="21"/>
                      <w:szCs w:val="21"/>
                    </w:rPr>
                    <w:t>施，确保水环境不受影响。</w:t>
                  </w:r>
                  <w:r>
                    <w:rPr>
                      <w:rFonts w:hint="default" w:ascii="Times New Roman" w:hAnsi="Times New Roman" w:eastAsia="宋体" w:cs="Times New Roman"/>
                      <w:color w:val="auto"/>
                      <w:spacing w:val="13"/>
                      <w:sz w:val="21"/>
                      <w:szCs w:val="21"/>
                    </w:rPr>
                    <w:t>7.4.2施工期间禁止向水体排</w:t>
                  </w:r>
                  <w:r>
                    <w:rPr>
                      <w:rFonts w:hint="default" w:ascii="Times New Roman" w:hAnsi="Times New Roman" w:eastAsia="宋体" w:cs="Times New Roman"/>
                      <w:color w:val="auto"/>
                      <w:spacing w:val="3"/>
                      <w:sz w:val="21"/>
                      <w:szCs w:val="21"/>
                    </w:rPr>
                    <w:t>放、倾倒垃圾、弃土、弃渣，禁</w:t>
                  </w:r>
                  <w:r>
                    <w:rPr>
                      <w:rFonts w:hint="default" w:ascii="Times New Roman" w:hAnsi="Times New Roman" w:eastAsia="宋体" w:cs="Times New Roman"/>
                      <w:color w:val="auto"/>
                      <w:spacing w:val="19"/>
                      <w:sz w:val="21"/>
                      <w:szCs w:val="21"/>
                    </w:rPr>
                    <w:t>止排放未经处理的钻浆等废弃</w:t>
                  </w:r>
                  <w:r>
                    <w:rPr>
                      <w:rFonts w:hint="default" w:ascii="Times New Roman" w:hAnsi="Times New Roman" w:eastAsia="宋体" w:cs="Times New Roman"/>
                      <w:color w:val="auto"/>
                      <w:sz w:val="21"/>
                      <w:szCs w:val="21"/>
                    </w:rPr>
                    <w:t>物。</w:t>
                  </w:r>
                </w:p>
              </w:tc>
              <w:tc>
                <w:tcPr>
                  <w:tcW w:w="1793"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0"/>
                      <w:sz w:val="21"/>
                      <w:szCs w:val="21"/>
                    </w:rPr>
                    <w:t>本项目不涉及饮用水水源保</w:t>
                  </w:r>
                  <w:r>
                    <w:rPr>
                      <w:rFonts w:hint="default" w:ascii="Times New Roman" w:hAnsi="Times New Roman" w:eastAsia="宋体" w:cs="Times New Roman"/>
                      <w:color w:val="auto"/>
                      <w:spacing w:val="3"/>
                      <w:sz w:val="21"/>
                      <w:szCs w:val="21"/>
                    </w:rPr>
                    <w:t>护区和其他水体，施工人员生活污水利用临时旱厕，定期清</w:t>
                  </w:r>
                  <w:r>
                    <w:rPr>
                      <w:rFonts w:hint="default" w:ascii="Times New Roman" w:hAnsi="Times New Roman" w:eastAsia="宋体" w:cs="Times New Roman"/>
                      <w:color w:val="auto"/>
                      <w:spacing w:val="6"/>
                      <w:sz w:val="21"/>
                      <w:szCs w:val="21"/>
                    </w:rPr>
                    <w:t>掏，对附近水环境影响较小。</w:t>
                  </w:r>
                  <w:r>
                    <w:rPr>
                      <w:rFonts w:hint="default" w:ascii="Times New Roman" w:hAnsi="Times New Roman" w:eastAsia="宋体" w:cs="Times New Roman"/>
                      <w:color w:val="auto"/>
                      <w:spacing w:val="20"/>
                      <w:sz w:val="21"/>
                      <w:szCs w:val="21"/>
                    </w:rPr>
                    <w:t>施工过程中产生的建筑垃圾</w:t>
                  </w:r>
                  <w:r>
                    <w:rPr>
                      <w:rFonts w:hint="default" w:ascii="Times New Roman" w:hAnsi="Times New Roman" w:eastAsia="宋体" w:cs="Times New Roman"/>
                      <w:color w:val="auto"/>
                      <w:spacing w:val="3"/>
                      <w:sz w:val="21"/>
                      <w:szCs w:val="21"/>
                    </w:rPr>
                    <w:t>和生活垃圾分开堆放，分别集</w:t>
                  </w:r>
                  <w:r>
                    <w:rPr>
                      <w:rFonts w:hint="default" w:ascii="Times New Roman" w:hAnsi="Times New Roman" w:eastAsia="宋体" w:cs="Times New Roman"/>
                      <w:color w:val="auto"/>
                      <w:spacing w:val="20"/>
                      <w:sz w:val="21"/>
                      <w:szCs w:val="21"/>
                    </w:rPr>
                    <w:t>中收集后及时清运至指定垃</w:t>
                  </w:r>
                  <w:r>
                    <w:rPr>
                      <w:rFonts w:hint="default" w:ascii="Times New Roman" w:hAnsi="Times New Roman" w:eastAsia="宋体" w:cs="Times New Roman"/>
                      <w:color w:val="auto"/>
                      <w:spacing w:val="3"/>
                      <w:sz w:val="21"/>
                      <w:szCs w:val="21"/>
                    </w:rPr>
                    <w:t>圾处置场所，严禁向水体排放</w:t>
                  </w:r>
                  <w:r>
                    <w:rPr>
                      <w:rFonts w:hint="default" w:ascii="Times New Roman" w:hAnsi="Times New Roman" w:eastAsia="宋体" w:cs="Times New Roman"/>
                      <w:color w:val="auto"/>
                      <w:spacing w:val="8"/>
                      <w:sz w:val="21"/>
                      <w:szCs w:val="21"/>
                    </w:rPr>
                    <w:t>建筑垃圾和生活垃圾等。</w:t>
                  </w:r>
                </w:p>
              </w:tc>
              <w:tc>
                <w:tcPr>
                  <w:tcW w:w="533"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13" w:hRule="atLeast"/>
              </w:trPr>
              <w:tc>
                <w:tcPr>
                  <w:tcW w:w="2672"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6"/>
                      <w:sz w:val="21"/>
                      <w:szCs w:val="21"/>
                    </w:rPr>
                    <w:t>7.5大气环境保护</w:t>
                  </w:r>
                  <w:r>
                    <w:rPr>
                      <w:rFonts w:hint="default" w:ascii="Times New Roman" w:hAnsi="Times New Roman" w:eastAsia="宋体" w:cs="Times New Roman"/>
                      <w:color w:val="auto"/>
                      <w:spacing w:val="11"/>
                      <w:sz w:val="21"/>
                      <w:szCs w:val="21"/>
                    </w:rPr>
                    <w:t>7.5.1施工过程中，应当加强对</w:t>
                  </w:r>
                  <w:r>
                    <w:rPr>
                      <w:rFonts w:hint="default" w:ascii="Times New Roman" w:hAnsi="Times New Roman" w:eastAsia="宋体" w:cs="Times New Roman"/>
                      <w:color w:val="auto"/>
                      <w:spacing w:val="3"/>
                      <w:sz w:val="21"/>
                      <w:szCs w:val="21"/>
                    </w:rPr>
                    <w:t>施工现场和物料运输的管理，在施工工地设置硬质围挡，保持道</w:t>
                  </w:r>
                  <w:r>
                    <w:rPr>
                      <w:rFonts w:hint="default" w:ascii="Times New Roman" w:hAnsi="Times New Roman" w:eastAsia="宋体" w:cs="Times New Roman"/>
                      <w:color w:val="auto"/>
                      <w:spacing w:val="5"/>
                      <w:sz w:val="21"/>
                      <w:szCs w:val="21"/>
                    </w:rPr>
                    <w:t>路清洁，管控料堆和渣土堆放，</w:t>
                  </w:r>
                  <w:r>
                    <w:rPr>
                      <w:rFonts w:hint="default" w:ascii="Times New Roman" w:hAnsi="Times New Roman" w:eastAsia="宋体" w:cs="Times New Roman"/>
                      <w:color w:val="auto"/>
                      <w:spacing w:val="7"/>
                      <w:sz w:val="21"/>
                      <w:szCs w:val="21"/>
                    </w:rPr>
                    <w:t>防治扬尘污染。</w:t>
                  </w:r>
                  <w:r>
                    <w:rPr>
                      <w:rFonts w:hint="default" w:ascii="Times New Roman" w:hAnsi="Times New Roman" w:eastAsia="宋体" w:cs="Times New Roman"/>
                      <w:color w:val="auto"/>
                      <w:spacing w:val="11"/>
                      <w:sz w:val="21"/>
                      <w:szCs w:val="21"/>
                    </w:rPr>
                    <w:t>7.5.4施工现场禁止将包装物、</w:t>
                  </w:r>
                  <w:r>
                    <w:rPr>
                      <w:rFonts w:hint="default" w:ascii="Times New Roman" w:hAnsi="Times New Roman" w:eastAsia="宋体" w:cs="Times New Roman"/>
                      <w:color w:val="auto"/>
                      <w:spacing w:val="19"/>
                      <w:sz w:val="21"/>
                      <w:szCs w:val="21"/>
                    </w:rPr>
                    <w:t>可燃垃圾等固体废弃物就地焚</w:t>
                  </w:r>
                  <w:r>
                    <w:rPr>
                      <w:rFonts w:hint="default" w:ascii="Times New Roman" w:hAnsi="Times New Roman" w:eastAsia="宋体" w:cs="Times New Roman"/>
                      <w:color w:val="auto"/>
                      <w:sz w:val="21"/>
                      <w:szCs w:val="21"/>
                    </w:rPr>
                    <w:t>烧。</w:t>
                  </w:r>
                </w:p>
              </w:tc>
              <w:tc>
                <w:tcPr>
                  <w:tcW w:w="1793"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0"/>
                      <w:sz w:val="21"/>
                      <w:szCs w:val="21"/>
                    </w:rPr>
                    <w:t>本项目施工过程中采用防尘网进行苫盖及洒水降尘方式</w:t>
                  </w:r>
                  <w:r>
                    <w:rPr>
                      <w:rFonts w:hint="default" w:ascii="Times New Roman" w:hAnsi="Times New Roman" w:eastAsia="宋体" w:cs="Times New Roman"/>
                      <w:color w:val="auto"/>
                      <w:spacing w:val="16"/>
                      <w:sz w:val="21"/>
                      <w:szCs w:val="21"/>
                    </w:rPr>
                    <w:t>降低扬尘污染。本项目包装</w:t>
                  </w:r>
                  <w:r>
                    <w:rPr>
                      <w:rFonts w:hint="default" w:ascii="Times New Roman" w:hAnsi="Times New Roman" w:eastAsia="宋体" w:cs="Times New Roman"/>
                      <w:color w:val="auto"/>
                      <w:spacing w:val="3"/>
                      <w:sz w:val="21"/>
                      <w:szCs w:val="21"/>
                    </w:rPr>
                    <w:t>物、可燃垃圾集中收集后应及时清运至指定场所处理，现场</w:t>
                  </w:r>
                  <w:r>
                    <w:rPr>
                      <w:rFonts w:hint="default" w:ascii="Times New Roman" w:hAnsi="Times New Roman" w:eastAsia="宋体" w:cs="Times New Roman"/>
                      <w:color w:val="auto"/>
                      <w:spacing w:val="5"/>
                      <w:sz w:val="21"/>
                      <w:szCs w:val="21"/>
                    </w:rPr>
                    <w:t>禁止焚烧。</w:t>
                  </w:r>
                </w:p>
              </w:tc>
              <w:tc>
                <w:tcPr>
                  <w:tcW w:w="533"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94" w:hRule="atLeast"/>
              </w:trPr>
              <w:tc>
                <w:tcPr>
                  <w:tcW w:w="2672"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4"/>
                      <w:position w:val="1"/>
                      <w:sz w:val="21"/>
                      <w:szCs w:val="21"/>
                    </w:rPr>
                  </w:pPr>
                  <w:r>
                    <w:rPr>
                      <w:rFonts w:hint="default" w:ascii="Times New Roman" w:hAnsi="Times New Roman" w:eastAsia="宋体" w:cs="Times New Roman"/>
                      <w:color w:val="auto"/>
                      <w:spacing w:val="4"/>
                      <w:position w:val="1"/>
                      <w:sz w:val="21"/>
                      <w:szCs w:val="21"/>
                    </w:rPr>
                    <w:t>7.6固体废物处置</w:t>
                  </w:r>
                  <w:r>
                    <w:rPr>
                      <w:rFonts w:hint="default" w:ascii="Times New Roman" w:hAnsi="Times New Roman" w:eastAsia="宋体" w:cs="Times New Roman"/>
                      <w:color w:val="auto"/>
                      <w:spacing w:val="16"/>
                      <w:position w:val="1"/>
                      <w:sz w:val="21"/>
                      <w:szCs w:val="21"/>
                    </w:rPr>
                    <w:t>7.6.1施工过程中产生的土石</w:t>
                  </w:r>
                </w:p>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方、建筑垃圾、生活垃圾应分类集中收集，并按国家和地方有关规定定期进行清运处置，施工完</w:t>
                  </w:r>
                  <w:r>
                    <w:rPr>
                      <w:rFonts w:hint="default" w:ascii="Times New Roman" w:hAnsi="Times New Roman" w:eastAsia="宋体" w:cs="Times New Roman"/>
                      <w:color w:val="auto"/>
                      <w:spacing w:val="8"/>
                      <w:sz w:val="21"/>
                      <w:szCs w:val="21"/>
                    </w:rPr>
                    <w:t>成后及时做好迹地清理工作。</w:t>
                  </w:r>
                  <w:r>
                    <w:rPr>
                      <w:rFonts w:hint="default" w:ascii="Times New Roman" w:hAnsi="Times New Roman" w:eastAsia="宋体" w:cs="Times New Roman"/>
                      <w:color w:val="auto"/>
                      <w:spacing w:val="11"/>
                      <w:sz w:val="21"/>
                      <w:szCs w:val="21"/>
                    </w:rPr>
                    <w:t>7.6.2在农田和经济作物区施工</w:t>
                  </w:r>
                  <w:r>
                    <w:rPr>
                      <w:rFonts w:hint="default" w:ascii="Times New Roman" w:hAnsi="Times New Roman" w:eastAsia="宋体" w:cs="Times New Roman"/>
                      <w:color w:val="auto"/>
                      <w:spacing w:val="3"/>
                      <w:sz w:val="21"/>
                      <w:szCs w:val="21"/>
                    </w:rPr>
                    <w:t>时，施工临时占地宜采取隔离保护措施，施工结束后应将混凝土余料和残渣及时清除，以免影响</w:t>
                  </w:r>
                  <w:r>
                    <w:rPr>
                      <w:rFonts w:hint="default" w:ascii="Times New Roman" w:hAnsi="Times New Roman" w:eastAsia="宋体" w:cs="Times New Roman"/>
                      <w:color w:val="auto"/>
                      <w:spacing w:val="7"/>
                      <w:sz w:val="21"/>
                      <w:szCs w:val="21"/>
                    </w:rPr>
                    <w:t>后期土地功能的恢复。</w:t>
                  </w:r>
                </w:p>
              </w:tc>
              <w:tc>
                <w:tcPr>
                  <w:tcW w:w="1793"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5"/>
                      <w:sz w:val="21"/>
                      <w:szCs w:val="21"/>
                    </w:rPr>
                    <w:t>本项目的施工地点比较集中，</w:t>
                  </w:r>
                  <w:r>
                    <w:rPr>
                      <w:rFonts w:hint="default" w:ascii="Times New Roman" w:hAnsi="Times New Roman" w:eastAsia="宋体" w:cs="Times New Roman"/>
                      <w:color w:val="auto"/>
                      <w:spacing w:val="3"/>
                      <w:sz w:val="21"/>
                      <w:szCs w:val="21"/>
                    </w:rPr>
                    <w:t>建筑垃圾和生活垃圾，分开堆放，分别收集后及时清运至指定垃圾处置场所，施工结束后</w:t>
                  </w:r>
                  <w:r>
                    <w:rPr>
                      <w:rFonts w:hint="default" w:ascii="Times New Roman" w:hAnsi="Times New Roman" w:eastAsia="宋体" w:cs="Times New Roman"/>
                      <w:color w:val="auto"/>
                      <w:spacing w:val="8"/>
                      <w:sz w:val="21"/>
                      <w:szCs w:val="21"/>
                    </w:rPr>
                    <w:t>应及时做好迹地清理工作。</w:t>
                  </w:r>
                </w:p>
              </w:tc>
              <w:tc>
                <w:tcPr>
                  <w:tcW w:w="533"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7" w:hRule="atLeast"/>
              </w:trPr>
              <w:tc>
                <w:tcPr>
                  <w:tcW w:w="5000" w:type="pct"/>
                  <w:gridSpan w:val="3"/>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color w:val="auto"/>
                      <w:position w:val="1"/>
                      <w:sz w:val="21"/>
                      <w:szCs w:val="21"/>
                    </w:rPr>
                    <w:t>8运行</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13" w:hRule="atLeast"/>
              </w:trPr>
              <w:tc>
                <w:tcPr>
                  <w:tcW w:w="2672"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8"/>
                      <w:sz w:val="21"/>
                      <w:szCs w:val="21"/>
                    </w:rPr>
                    <w:t>8.1运行</w:t>
                  </w:r>
                  <w:r>
                    <w:rPr>
                      <w:rFonts w:hint="eastAsia" w:ascii="Times New Roman" w:hAnsi="Times New Roman" w:eastAsia="宋体" w:cs="Times New Roman"/>
                      <w:color w:val="auto"/>
                      <w:spacing w:val="8"/>
                      <w:sz w:val="21"/>
                      <w:szCs w:val="21"/>
                      <w:lang w:eastAsia="zh-CN"/>
                    </w:rPr>
                    <w:t>期间</w:t>
                  </w:r>
                  <w:r>
                    <w:rPr>
                      <w:rFonts w:hint="default" w:ascii="Times New Roman" w:hAnsi="Times New Roman" w:eastAsia="宋体" w:cs="Times New Roman"/>
                      <w:color w:val="auto"/>
                      <w:spacing w:val="8"/>
                      <w:sz w:val="21"/>
                      <w:szCs w:val="21"/>
                    </w:rPr>
                    <w:t>做好环境保护设施的</w:t>
                  </w:r>
                  <w:r>
                    <w:rPr>
                      <w:rFonts w:hint="default" w:ascii="Times New Roman" w:hAnsi="Times New Roman" w:eastAsia="宋体" w:cs="Times New Roman"/>
                      <w:color w:val="auto"/>
                      <w:spacing w:val="3"/>
                      <w:sz w:val="21"/>
                      <w:szCs w:val="21"/>
                    </w:rPr>
                    <w:t>维护和运行管理，加强巡查和检查，保障发挥环境保护作用。定期开展环境监测，确保电磁、噪</w:t>
                  </w:r>
                  <w:r>
                    <w:rPr>
                      <w:rFonts w:hint="default" w:ascii="Times New Roman" w:hAnsi="Times New Roman" w:eastAsia="宋体" w:cs="Times New Roman"/>
                      <w:color w:val="auto"/>
                      <w:spacing w:val="13"/>
                      <w:sz w:val="21"/>
                      <w:szCs w:val="21"/>
                    </w:rPr>
                    <w:t>声、废水排放符合</w:t>
                  </w:r>
                  <w:r>
                    <w:rPr>
                      <w:rFonts w:hint="default" w:ascii="Times New Roman" w:hAnsi="Times New Roman" w:eastAsia="宋体" w:cs="Times New Roman"/>
                      <w:color w:val="auto"/>
                      <w:sz w:val="21"/>
                      <w:szCs w:val="21"/>
                    </w:rPr>
                    <w:t>GB</w:t>
                  </w:r>
                  <w:r>
                    <w:rPr>
                      <w:rFonts w:hint="default" w:ascii="Times New Roman" w:hAnsi="Times New Roman" w:eastAsia="宋体" w:cs="Times New Roman"/>
                      <w:color w:val="auto"/>
                      <w:spacing w:val="13"/>
                      <w:sz w:val="21"/>
                      <w:szCs w:val="21"/>
                    </w:rPr>
                    <w:t>8702、</w:t>
                  </w:r>
                  <w:r>
                    <w:rPr>
                      <w:rFonts w:hint="default" w:ascii="Times New Roman" w:hAnsi="Times New Roman" w:eastAsia="宋体" w:cs="Times New Roman"/>
                      <w:color w:val="auto"/>
                      <w:sz w:val="21"/>
                      <w:szCs w:val="21"/>
                    </w:rPr>
                    <w:t>GB</w:t>
                  </w:r>
                  <w:r>
                    <w:rPr>
                      <w:rFonts w:hint="default" w:ascii="Times New Roman" w:hAnsi="Times New Roman" w:eastAsia="宋体" w:cs="Times New Roman"/>
                      <w:color w:val="auto"/>
                      <w:spacing w:val="6"/>
                      <w:sz w:val="21"/>
                      <w:szCs w:val="21"/>
                    </w:rPr>
                    <w:t>12348、</w:t>
                  </w:r>
                  <w:r>
                    <w:rPr>
                      <w:rFonts w:hint="default" w:ascii="Times New Roman" w:hAnsi="Times New Roman" w:eastAsia="宋体" w:cs="Times New Roman"/>
                      <w:color w:val="auto"/>
                      <w:sz w:val="21"/>
                      <w:szCs w:val="21"/>
                    </w:rPr>
                    <w:t>GB</w:t>
                  </w:r>
                  <w:r>
                    <w:rPr>
                      <w:rFonts w:hint="default" w:ascii="Times New Roman" w:hAnsi="Times New Roman" w:eastAsia="宋体" w:cs="Times New Roman"/>
                      <w:color w:val="auto"/>
                      <w:spacing w:val="6"/>
                      <w:sz w:val="21"/>
                      <w:szCs w:val="21"/>
                    </w:rPr>
                    <w:t>8978等国家标准</w:t>
                  </w:r>
                  <w:r>
                    <w:rPr>
                      <w:rFonts w:hint="default" w:ascii="Times New Roman" w:hAnsi="Times New Roman" w:eastAsia="宋体" w:cs="Times New Roman"/>
                      <w:color w:val="auto"/>
                      <w:spacing w:val="3"/>
                      <w:sz w:val="21"/>
                      <w:szCs w:val="21"/>
                    </w:rPr>
                    <w:t>要求，并及时解决公众合理的环</w:t>
                  </w:r>
                  <w:r>
                    <w:rPr>
                      <w:rFonts w:hint="default" w:ascii="Times New Roman" w:hAnsi="Times New Roman" w:eastAsia="宋体" w:cs="Times New Roman"/>
                      <w:color w:val="auto"/>
                      <w:spacing w:val="6"/>
                      <w:sz w:val="21"/>
                      <w:szCs w:val="21"/>
                    </w:rPr>
                    <w:t>境保护诉求。</w:t>
                  </w:r>
                </w:p>
              </w:tc>
              <w:tc>
                <w:tcPr>
                  <w:tcW w:w="1793"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both"/>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9"/>
                      <w:sz w:val="21"/>
                      <w:szCs w:val="21"/>
                    </w:rPr>
                    <w:t>本环评对项目运行期间应加</w:t>
                  </w:r>
                  <w:r>
                    <w:rPr>
                      <w:rFonts w:hint="default" w:ascii="Times New Roman" w:hAnsi="Times New Roman" w:eastAsia="宋体" w:cs="Times New Roman"/>
                      <w:color w:val="auto"/>
                      <w:spacing w:val="20"/>
                      <w:sz w:val="21"/>
                      <w:szCs w:val="21"/>
                    </w:rPr>
                    <w:t>强环境保护设施的维护和运</w:t>
                  </w:r>
                  <w:r>
                    <w:rPr>
                      <w:rFonts w:hint="default" w:ascii="Times New Roman" w:hAnsi="Times New Roman" w:eastAsia="宋体" w:cs="Times New Roman"/>
                      <w:color w:val="auto"/>
                      <w:spacing w:val="3"/>
                      <w:sz w:val="21"/>
                      <w:szCs w:val="21"/>
                    </w:rPr>
                    <w:t>行管理，加强巡查和检查，对</w:t>
                  </w:r>
                  <w:r>
                    <w:rPr>
                      <w:rFonts w:hint="default" w:ascii="Times New Roman" w:hAnsi="Times New Roman" w:eastAsia="宋体" w:cs="Times New Roman"/>
                      <w:color w:val="auto"/>
                      <w:spacing w:val="20"/>
                      <w:sz w:val="21"/>
                      <w:szCs w:val="21"/>
                    </w:rPr>
                    <w:t>保</w:t>
                  </w:r>
                  <w:r>
                    <w:rPr>
                      <w:rFonts w:hint="eastAsia" w:ascii="Times New Roman" w:hAnsi="Times New Roman" w:eastAsia="宋体" w:cs="Times New Roman"/>
                      <w:color w:val="auto"/>
                      <w:spacing w:val="20"/>
                      <w:sz w:val="21"/>
                      <w:szCs w:val="21"/>
                      <w:lang w:eastAsia="zh-CN"/>
                    </w:rPr>
                    <w:t>障和</w:t>
                  </w:r>
                  <w:r>
                    <w:rPr>
                      <w:rFonts w:hint="default" w:ascii="Times New Roman" w:hAnsi="Times New Roman" w:eastAsia="宋体" w:cs="Times New Roman"/>
                      <w:color w:val="auto"/>
                      <w:spacing w:val="20"/>
                      <w:sz w:val="21"/>
                      <w:szCs w:val="21"/>
                    </w:rPr>
                    <w:t>发挥环境保护作用提出</w:t>
                  </w:r>
                  <w:r>
                    <w:rPr>
                      <w:rFonts w:hint="default" w:ascii="Times New Roman" w:hAnsi="Times New Roman" w:eastAsia="宋体" w:cs="Times New Roman"/>
                      <w:color w:val="auto"/>
                      <w:spacing w:val="3"/>
                      <w:sz w:val="21"/>
                      <w:szCs w:val="21"/>
                    </w:rPr>
                    <w:t>了要求，开展环境监测，确保</w:t>
                  </w:r>
                  <w:r>
                    <w:rPr>
                      <w:rFonts w:hint="default" w:ascii="Times New Roman" w:hAnsi="Times New Roman" w:eastAsia="宋体" w:cs="Times New Roman"/>
                      <w:color w:val="auto"/>
                      <w:spacing w:val="20"/>
                      <w:sz w:val="21"/>
                      <w:szCs w:val="21"/>
                    </w:rPr>
                    <w:t>电磁、噪声、废水排放符合</w:t>
                  </w:r>
                  <w:r>
                    <w:rPr>
                      <w:rFonts w:hint="default" w:ascii="Times New Roman" w:hAnsi="Times New Roman" w:eastAsia="宋体" w:cs="Times New Roman"/>
                      <w:color w:val="auto"/>
                      <w:sz w:val="21"/>
                      <w:szCs w:val="21"/>
                    </w:rPr>
                    <w:t>GB8702、GB12348和GB8978</w:t>
                  </w:r>
                  <w:r>
                    <w:rPr>
                      <w:rFonts w:hint="default" w:ascii="Times New Roman" w:hAnsi="Times New Roman" w:eastAsia="宋体" w:cs="Times New Roman"/>
                      <w:color w:val="auto"/>
                      <w:spacing w:val="7"/>
                      <w:sz w:val="21"/>
                      <w:szCs w:val="21"/>
                    </w:rPr>
                    <w:t>等国家标准要求。</w:t>
                  </w:r>
                </w:p>
              </w:tc>
              <w:tc>
                <w:tcPr>
                  <w:tcW w:w="533"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sz w:val="21"/>
                      <w:szCs w:val="21"/>
                    </w:rPr>
                    <w:t>符合</w:t>
                  </w:r>
                </w:p>
              </w:tc>
            </w:tr>
          </w:tbl>
          <w:p>
            <w:pPr>
              <w:pStyle w:val="38"/>
              <w:keepNext w:val="0"/>
              <w:keepLines w:val="0"/>
              <w:pageBreakBefore w:val="0"/>
              <w:widowControl w:val="0"/>
              <w:kinsoku/>
              <w:wordWrap/>
              <w:overflowPunct/>
              <w:topLinePunct w:val="0"/>
              <w:autoSpaceDE/>
              <w:autoSpaceDN/>
              <w:bidi w:val="0"/>
              <w:adjustRightInd/>
              <w:snapToGrid/>
              <w:spacing w:before="157" w:beforeLines="50" w:line="219" w:lineRule="auto"/>
              <w:textAlignment w:val="auto"/>
              <w:rPr>
                <w:rFonts w:hint="eastAsia" w:ascii="Times New Roman" w:hAnsi="Times New Roman" w:eastAsia="宋体" w:cs="Times New Roman"/>
                <w:b/>
                <w:bCs/>
                <w:color w:val="auto"/>
                <w:kern w:val="0"/>
                <w:sz w:val="24"/>
                <w:szCs w:val="24"/>
                <w:lang w:val="en-US" w:eastAsia="zh-CN" w:bidi="ar"/>
              </w:rPr>
            </w:pPr>
            <w:r>
              <w:rPr>
                <w:rFonts w:hint="eastAsia" w:ascii="Times New Roman" w:hAnsi="Times New Roman" w:eastAsia="宋体" w:cs="Times New Roman"/>
                <w:b/>
                <w:bCs/>
                <w:color w:val="auto"/>
                <w:kern w:val="0"/>
                <w:sz w:val="24"/>
                <w:szCs w:val="24"/>
                <w:lang w:val="en-US" w:eastAsia="zh-CN" w:bidi="ar"/>
              </w:rPr>
              <w:t>6、土地利用规划相符性</w:t>
            </w:r>
          </w:p>
          <w:p>
            <w:pPr>
              <w:pStyle w:val="38"/>
              <w:spacing w:before="182" w:line="359" w:lineRule="auto"/>
              <w:ind w:left="20" w:right="16" w:firstLine="485"/>
              <w:jc w:val="both"/>
              <w:rPr>
                <w:rFonts w:hint="default" w:ascii="Times New Roman" w:hAnsi="Times New Roman" w:eastAsia="宋体" w:cs="Times New Roman"/>
                <w:color w:val="auto"/>
                <w:spacing w:val="3"/>
                <w:sz w:val="24"/>
                <w:szCs w:val="24"/>
                <w:lang w:val="en-US" w:eastAsia="zh-CN"/>
              </w:rPr>
            </w:pPr>
            <w:r>
              <w:rPr>
                <w:rFonts w:hint="default" w:ascii="Times New Roman" w:hAnsi="Times New Roman" w:eastAsia="宋体" w:cs="Times New Roman"/>
                <w:color w:val="auto"/>
                <w:spacing w:val="3"/>
                <w:sz w:val="24"/>
                <w:szCs w:val="24"/>
                <w:lang w:val="en-US" w:eastAsia="zh-CN"/>
              </w:rPr>
              <w:t>本项目为</w:t>
            </w:r>
            <w:r>
              <w:rPr>
                <w:rFonts w:hint="eastAsia" w:ascii="Times New Roman" w:hAnsi="Times New Roman" w:eastAsia="宋体" w:cs="Times New Roman"/>
                <w:color w:val="auto"/>
                <w:sz w:val="24"/>
                <w:szCs w:val="24"/>
                <w:vertAlign w:val="baseline"/>
                <w:lang w:val="en-US" w:eastAsia="zh-CN"/>
              </w:rPr>
              <w:t>220千伏送出工程项目</w:t>
            </w:r>
            <w:r>
              <w:rPr>
                <w:rFonts w:hint="default" w:ascii="Times New Roman" w:hAnsi="Times New Roman" w:eastAsia="宋体" w:cs="Times New Roman"/>
                <w:color w:val="auto"/>
                <w:spacing w:val="3"/>
                <w:sz w:val="24"/>
                <w:szCs w:val="24"/>
                <w:lang w:val="en-US" w:eastAsia="zh-CN"/>
              </w:rPr>
              <w:t>，根据《关于进一步加强电网建设工作的通知》（辽政办发〔2021〕17 号）：“</w:t>
            </w:r>
            <w:r>
              <w:rPr>
                <w:rFonts w:hint="eastAsia" w:ascii="宋体" w:hAnsi="宋体" w:eastAsia="宋体" w:cs="宋体"/>
                <w:i w:val="0"/>
                <w:iCs w:val="0"/>
                <w:caps w:val="0"/>
                <w:color w:val="000000"/>
                <w:spacing w:val="0"/>
                <w:sz w:val="24"/>
                <w:szCs w:val="24"/>
                <w:shd w:val="clear" w:fill="FFFFFF"/>
              </w:rPr>
              <w:t>各级政府按照属地管理原则，加大电网建设协调力度</w:t>
            </w:r>
            <w:r>
              <w:rPr>
                <w:rFonts w:hint="default" w:ascii="Times New Roman" w:hAnsi="Times New Roman" w:eastAsia="宋体" w:cs="Times New Roman"/>
                <w:i w:val="0"/>
                <w:iCs w:val="0"/>
                <w:caps w:val="0"/>
                <w:color w:val="000000"/>
                <w:spacing w:val="0"/>
                <w:sz w:val="24"/>
                <w:szCs w:val="24"/>
                <w:shd w:val="clear" w:fill="FFFFFF"/>
              </w:rPr>
              <w:t>，将220千伏</w:t>
            </w:r>
            <w:r>
              <w:rPr>
                <w:rFonts w:hint="eastAsia" w:ascii="宋体" w:hAnsi="宋体" w:eastAsia="宋体" w:cs="宋体"/>
                <w:i w:val="0"/>
                <w:iCs w:val="0"/>
                <w:caps w:val="0"/>
                <w:color w:val="000000"/>
                <w:spacing w:val="0"/>
                <w:sz w:val="24"/>
                <w:szCs w:val="24"/>
                <w:shd w:val="clear" w:fill="FFFFFF"/>
              </w:rPr>
              <w:t>及以上电网建设项目纳入重点工程调度和管理，优先落实建设条件，及时完成征地、动迁安置补偿和配套工程建设等工作。在土地规划、用地预审和用地计划中要按基础设施建设政策给予优先支持、及时审批，保障电网建设项目用地需要。针对权属无争议的历史遗留变电站，按规定减免相关费用、简化相关流程，完成变电站土地权属手续办理。对城区内电力线路走廊涉及房屋动迁、绿化占用、掘路等补偿，参照当地市政公用基础设施和重点工程建设有关标准执行。对电力线路塔基用地只作一次性经济补偿，穿越公路、铁路、河流、林区、矿区时，符合国家相关安全技术标准的，按协议约定不收取跨越费、占用费和道路接口费等，构成损害的，按照有关规定予以补偿或由损害单位按原标准修复。</w:t>
            </w:r>
            <w:r>
              <w:rPr>
                <w:rFonts w:hint="default" w:ascii="Times New Roman" w:hAnsi="Times New Roman" w:eastAsia="宋体" w:cs="Times New Roman"/>
                <w:color w:val="auto"/>
                <w:spacing w:val="3"/>
                <w:sz w:val="24"/>
                <w:szCs w:val="24"/>
                <w:lang w:val="en-US" w:eastAsia="zh-CN"/>
              </w:rPr>
              <w:t>”。输变电工程为政策支持项目。本项目路径不压占一级保护林地及一级国家公益林。本项目线路不在生态红线内设置塔。本项目已取得线路沿线相关的主要单位协议，见下表，协议见附件。</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6" w:firstLineChars="200"/>
              <w:jc w:val="center"/>
              <w:textAlignment w:val="auto"/>
              <w:rPr>
                <w:rFonts w:hint="default" w:ascii="Times New Roman" w:hAnsi="Times New Roman" w:eastAsia="宋体" w:cs="Times New Roman"/>
                <w:b/>
                <w:bCs/>
                <w:color w:val="auto"/>
                <w:spacing w:val="6"/>
                <w:sz w:val="21"/>
                <w:szCs w:val="21"/>
              </w:rPr>
            </w:pPr>
            <w:r>
              <w:rPr>
                <w:rFonts w:hint="default" w:ascii="Times New Roman" w:hAnsi="Times New Roman" w:eastAsia="宋体" w:cs="Times New Roman"/>
                <w:b/>
                <w:bCs/>
                <w:color w:val="auto"/>
                <w:spacing w:val="6"/>
                <w:sz w:val="21"/>
                <w:szCs w:val="21"/>
              </w:rPr>
              <w:t>表 1-</w:t>
            </w:r>
            <w:r>
              <w:rPr>
                <w:rFonts w:hint="default" w:ascii="Times New Roman" w:hAnsi="Times New Roman" w:eastAsia="宋体" w:cs="Times New Roman"/>
                <w:b/>
                <w:bCs/>
                <w:color w:val="auto"/>
                <w:spacing w:val="6"/>
                <w:sz w:val="21"/>
                <w:szCs w:val="21"/>
                <w:lang w:val="en-US" w:eastAsia="zh-CN"/>
              </w:rPr>
              <w:t>8</w:t>
            </w:r>
            <w:r>
              <w:rPr>
                <w:rFonts w:hint="default" w:ascii="Times New Roman" w:hAnsi="Times New Roman" w:eastAsia="宋体" w:cs="Times New Roman"/>
                <w:b/>
                <w:bCs/>
                <w:color w:val="auto"/>
                <w:spacing w:val="6"/>
                <w:sz w:val="21"/>
                <w:szCs w:val="21"/>
              </w:rPr>
              <w:t xml:space="preserve">        线路沿线相关的主要单位协议</w:t>
            </w:r>
          </w:p>
          <w:tbl>
            <w:tblPr>
              <w:tblStyle w:val="31"/>
              <w:tblW w:w="4993"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750"/>
              <w:gridCol w:w="3198"/>
              <w:gridCol w:w="354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jc w:val="center"/>
              </w:trPr>
              <w:tc>
                <w:tcPr>
                  <w:tcW w:w="751"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序号</w:t>
                  </w:r>
                </w:p>
              </w:tc>
              <w:tc>
                <w:tcPr>
                  <w:tcW w:w="3198"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协议单位名称</w:t>
                  </w:r>
                </w:p>
              </w:tc>
              <w:tc>
                <w:tcPr>
                  <w:tcW w:w="3540"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协议回复情况</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jc w:val="center"/>
              </w:trPr>
              <w:tc>
                <w:tcPr>
                  <w:tcW w:w="751"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kern w:val="2"/>
                      <w:sz w:val="21"/>
                      <w:szCs w:val="21"/>
                      <w:lang w:val="en-US" w:eastAsia="en-US" w:bidi="ar-SA"/>
                    </w:rPr>
                  </w:pPr>
                  <w:r>
                    <w:rPr>
                      <w:rFonts w:hint="default" w:ascii="Times New Roman" w:hAnsi="Times New Roman" w:eastAsia="宋体" w:cs="Times New Roman"/>
                      <w:color w:val="auto"/>
                      <w:spacing w:val="8"/>
                      <w:sz w:val="21"/>
                      <w:szCs w:val="21"/>
                    </w:rPr>
                    <w:t>1</w:t>
                  </w:r>
                </w:p>
              </w:tc>
              <w:tc>
                <w:tcPr>
                  <w:tcW w:w="3198"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sz w:val="21"/>
                      <w:szCs w:val="21"/>
                      <w:lang w:val="en-US" w:eastAsia="zh-CN"/>
                    </w:rPr>
                  </w:pPr>
                  <w:r>
                    <w:rPr>
                      <w:rFonts w:hint="eastAsia" w:ascii="Times New Roman" w:hAnsi="Times New Roman" w:eastAsia="宋体" w:cs="Times New Roman"/>
                      <w:color w:val="auto"/>
                      <w:spacing w:val="8"/>
                      <w:sz w:val="21"/>
                      <w:szCs w:val="21"/>
                      <w:lang w:val="en-US" w:eastAsia="zh-CN"/>
                    </w:rPr>
                    <w:t>朝阳市交通运输局</w:t>
                  </w:r>
                </w:p>
              </w:tc>
              <w:tc>
                <w:tcPr>
                  <w:tcW w:w="3540"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已取得复函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jc w:val="center"/>
              </w:trPr>
              <w:tc>
                <w:tcPr>
                  <w:tcW w:w="751"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kern w:val="2"/>
                      <w:sz w:val="21"/>
                      <w:szCs w:val="21"/>
                      <w:lang w:val="en-US" w:eastAsia="en-US" w:bidi="ar-SA"/>
                    </w:rPr>
                  </w:pPr>
                  <w:r>
                    <w:rPr>
                      <w:rFonts w:hint="default" w:ascii="Times New Roman" w:hAnsi="Times New Roman" w:eastAsia="宋体" w:cs="Times New Roman"/>
                      <w:color w:val="auto"/>
                      <w:spacing w:val="8"/>
                      <w:sz w:val="21"/>
                      <w:szCs w:val="21"/>
                    </w:rPr>
                    <w:t>2</w:t>
                  </w:r>
                </w:p>
              </w:tc>
              <w:tc>
                <w:tcPr>
                  <w:tcW w:w="3198"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sz w:val="21"/>
                      <w:szCs w:val="21"/>
                      <w:lang w:val="en-US" w:eastAsia="zh-CN"/>
                    </w:rPr>
                  </w:pPr>
                  <w:r>
                    <w:rPr>
                      <w:rFonts w:hint="eastAsia" w:ascii="Times New Roman" w:hAnsi="Times New Roman" w:eastAsia="宋体" w:cs="Times New Roman"/>
                      <w:color w:val="auto"/>
                      <w:spacing w:val="8"/>
                      <w:sz w:val="21"/>
                      <w:szCs w:val="21"/>
                      <w:lang w:val="en-US" w:eastAsia="zh-CN"/>
                    </w:rPr>
                    <w:t>国网朝阳供电公司发展策划部</w:t>
                  </w:r>
                </w:p>
              </w:tc>
              <w:tc>
                <w:tcPr>
                  <w:tcW w:w="3540"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已取得复函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jc w:val="center"/>
              </w:trPr>
              <w:tc>
                <w:tcPr>
                  <w:tcW w:w="751"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kern w:val="2"/>
                      <w:sz w:val="21"/>
                      <w:szCs w:val="21"/>
                      <w:lang w:val="en-US" w:eastAsia="en-US" w:bidi="ar-SA"/>
                    </w:rPr>
                  </w:pPr>
                  <w:r>
                    <w:rPr>
                      <w:rFonts w:hint="default" w:ascii="Times New Roman" w:hAnsi="Times New Roman" w:eastAsia="宋体" w:cs="Times New Roman"/>
                      <w:color w:val="auto"/>
                      <w:spacing w:val="8"/>
                      <w:sz w:val="21"/>
                      <w:szCs w:val="21"/>
                    </w:rPr>
                    <w:t>3</w:t>
                  </w:r>
                </w:p>
              </w:tc>
              <w:tc>
                <w:tcPr>
                  <w:tcW w:w="3198"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sz w:val="21"/>
                      <w:szCs w:val="21"/>
                      <w:lang w:val="en-US" w:eastAsia="zh-CN"/>
                    </w:rPr>
                  </w:pPr>
                  <w:r>
                    <w:rPr>
                      <w:rFonts w:hint="eastAsia" w:ascii="Times New Roman" w:hAnsi="Times New Roman" w:eastAsia="宋体" w:cs="Times New Roman"/>
                      <w:color w:val="auto"/>
                      <w:spacing w:val="8"/>
                      <w:sz w:val="21"/>
                      <w:szCs w:val="21"/>
                      <w:lang w:val="en-US" w:eastAsia="zh-CN"/>
                    </w:rPr>
                    <w:t>龙城区委政法委</w:t>
                  </w:r>
                </w:p>
              </w:tc>
              <w:tc>
                <w:tcPr>
                  <w:tcW w:w="3540"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已取得复函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jc w:val="center"/>
              </w:trPr>
              <w:tc>
                <w:tcPr>
                  <w:tcW w:w="751"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kern w:val="2"/>
                      <w:sz w:val="21"/>
                      <w:szCs w:val="21"/>
                      <w:lang w:val="en-US" w:eastAsia="en-US" w:bidi="ar-SA"/>
                    </w:rPr>
                  </w:pPr>
                  <w:r>
                    <w:rPr>
                      <w:rFonts w:hint="default" w:ascii="Times New Roman" w:hAnsi="Times New Roman" w:eastAsia="宋体" w:cs="Times New Roman"/>
                      <w:color w:val="auto"/>
                      <w:spacing w:val="8"/>
                      <w:sz w:val="21"/>
                      <w:szCs w:val="21"/>
                    </w:rPr>
                    <w:t>4</w:t>
                  </w:r>
                </w:p>
              </w:tc>
              <w:tc>
                <w:tcPr>
                  <w:tcW w:w="3198"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8"/>
                      <w:sz w:val="21"/>
                      <w:szCs w:val="21"/>
                      <w:lang w:val="en-US" w:eastAsia="zh-CN"/>
                    </w:rPr>
                  </w:pPr>
                </w:p>
              </w:tc>
              <w:tc>
                <w:tcPr>
                  <w:tcW w:w="3540"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8"/>
                      <w:sz w:val="21"/>
                      <w:szCs w:val="21"/>
                      <w:lang w:eastAsia="zh-CN"/>
                    </w:rPr>
                  </w:pPr>
                  <w:r>
                    <w:rPr>
                      <w:rFonts w:hint="default" w:ascii="Times New Roman" w:hAnsi="Times New Roman" w:eastAsia="宋体" w:cs="Times New Roman"/>
                      <w:color w:val="auto"/>
                      <w:spacing w:val="8"/>
                      <w:sz w:val="21"/>
                      <w:szCs w:val="21"/>
                    </w:rPr>
                    <w:t>已取得复函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jc w:val="center"/>
              </w:trPr>
              <w:tc>
                <w:tcPr>
                  <w:tcW w:w="751"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kern w:val="2"/>
                      <w:sz w:val="21"/>
                      <w:szCs w:val="21"/>
                      <w:lang w:val="en-US" w:eastAsia="en-US" w:bidi="ar-SA"/>
                    </w:rPr>
                  </w:pPr>
                  <w:r>
                    <w:rPr>
                      <w:rFonts w:hint="default" w:ascii="Times New Roman" w:hAnsi="Times New Roman" w:eastAsia="宋体" w:cs="Times New Roman"/>
                      <w:color w:val="auto"/>
                      <w:spacing w:val="8"/>
                      <w:sz w:val="21"/>
                      <w:szCs w:val="21"/>
                    </w:rPr>
                    <w:t>5</w:t>
                  </w:r>
                </w:p>
              </w:tc>
              <w:tc>
                <w:tcPr>
                  <w:tcW w:w="3198"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sz w:val="21"/>
                      <w:szCs w:val="21"/>
                      <w:lang w:val="en-US" w:eastAsia="zh-CN"/>
                    </w:rPr>
                  </w:pPr>
                  <w:r>
                    <w:rPr>
                      <w:rFonts w:hint="eastAsia" w:ascii="Times New Roman" w:hAnsi="Times New Roman" w:eastAsia="宋体" w:cs="Times New Roman"/>
                      <w:color w:val="auto"/>
                      <w:spacing w:val="8"/>
                      <w:sz w:val="21"/>
                      <w:szCs w:val="21"/>
                      <w:lang w:val="en-US" w:eastAsia="zh-CN"/>
                    </w:rPr>
                    <w:t>朝阳市龙城区林业和草原局</w:t>
                  </w:r>
                </w:p>
              </w:tc>
              <w:tc>
                <w:tcPr>
                  <w:tcW w:w="3540"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sz w:val="21"/>
                      <w:szCs w:val="21"/>
                      <w:lang w:val="en-US" w:eastAsia="zh-CN"/>
                    </w:rPr>
                  </w:pPr>
                  <w:r>
                    <w:rPr>
                      <w:rFonts w:hint="eastAsia" w:ascii="Times New Roman" w:hAnsi="Times New Roman" w:eastAsia="宋体" w:cs="Times New Roman"/>
                      <w:color w:val="auto"/>
                      <w:spacing w:val="8"/>
                      <w:sz w:val="21"/>
                      <w:szCs w:val="21"/>
                      <w:lang w:val="en-US" w:eastAsia="zh-CN"/>
                    </w:rPr>
                    <w:t>不占保护区已取得复函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jc w:val="center"/>
              </w:trPr>
              <w:tc>
                <w:tcPr>
                  <w:tcW w:w="751"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kern w:val="2"/>
                      <w:sz w:val="21"/>
                      <w:szCs w:val="21"/>
                      <w:lang w:val="en-US" w:eastAsia="en-US" w:bidi="ar-SA"/>
                    </w:rPr>
                  </w:pPr>
                  <w:r>
                    <w:rPr>
                      <w:rFonts w:hint="default" w:ascii="Times New Roman" w:hAnsi="Times New Roman" w:eastAsia="宋体" w:cs="Times New Roman"/>
                      <w:color w:val="auto"/>
                      <w:spacing w:val="8"/>
                      <w:sz w:val="21"/>
                      <w:szCs w:val="21"/>
                    </w:rPr>
                    <w:t>6</w:t>
                  </w:r>
                </w:p>
              </w:tc>
              <w:tc>
                <w:tcPr>
                  <w:tcW w:w="3198"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sz w:val="21"/>
                      <w:szCs w:val="21"/>
                      <w:lang w:val="en-US" w:eastAsia="zh-CN"/>
                    </w:rPr>
                  </w:pPr>
                  <w:r>
                    <w:rPr>
                      <w:rFonts w:hint="eastAsia" w:ascii="Times New Roman" w:hAnsi="Times New Roman" w:eastAsia="宋体" w:cs="Times New Roman"/>
                      <w:color w:val="auto"/>
                      <w:spacing w:val="8"/>
                      <w:sz w:val="21"/>
                      <w:szCs w:val="21"/>
                      <w:lang w:val="en-US" w:eastAsia="zh-CN"/>
                    </w:rPr>
                    <w:t>龙城区公安局</w:t>
                  </w:r>
                </w:p>
              </w:tc>
              <w:tc>
                <w:tcPr>
                  <w:tcW w:w="3540"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8"/>
                      <w:sz w:val="21"/>
                      <w:szCs w:val="21"/>
                      <w:lang w:val="en-US" w:eastAsia="zh-CN"/>
                    </w:rPr>
                  </w:pPr>
                  <w:r>
                    <w:rPr>
                      <w:rFonts w:hint="default" w:ascii="Times New Roman" w:hAnsi="Times New Roman" w:eastAsia="宋体" w:cs="Times New Roman"/>
                      <w:color w:val="auto"/>
                      <w:spacing w:val="8"/>
                      <w:sz w:val="21"/>
                      <w:szCs w:val="21"/>
                    </w:rPr>
                    <w:t>已取得复函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jc w:val="center"/>
              </w:trPr>
              <w:tc>
                <w:tcPr>
                  <w:tcW w:w="751"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kern w:val="2"/>
                      <w:sz w:val="21"/>
                      <w:szCs w:val="21"/>
                      <w:lang w:val="en-US" w:eastAsia="en-US" w:bidi="ar-SA"/>
                    </w:rPr>
                  </w:pPr>
                  <w:r>
                    <w:rPr>
                      <w:rFonts w:hint="default" w:ascii="Times New Roman" w:hAnsi="Times New Roman" w:eastAsia="宋体" w:cs="Times New Roman"/>
                      <w:color w:val="auto"/>
                      <w:spacing w:val="8"/>
                      <w:sz w:val="21"/>
                      <w:szCs w:val="21"/>
                    </w:rPr>
                    <w:t>7</w:t>
                  </w:r>
                </w:p>
              </w:tc>
              <w:tc>
                <w:tcPr>
                  <w:tcW w:w="3198"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sz w:val="21"/>
                      <w:szCs w:val="21"/>
                      <w:lang w:val="en-US" w:eastAsia="zh-CN"/>
                    </w:rPr>
                  </w:pPr>
                  <w:r>
                    <w:rPr>
                      <w:rFonts w:hint="eastAsia" w:ascii="Times New Roman" w:hAnsi="Times New Roman" w:eastAsia="宋体" w:cs="Times New Roman"/>
                      <w:color w:val="auto"/>
                      <w:spacing w:val="8"/>
                      <w:sz w:val="21"/>
                      <w:szCs w:val="21"/>
                      <w:lang w:val="en-US" w:eastAsia="zh-CN"/>
                    </w:rPr>
                    <w:t>龙城区应急管理局</w:t>
                  </w:r>
                </w:p>
              </w:tc>
              <w:tc>
                <w:tcPr>
                  <w:tcW w:w="3540"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8"/>
                      <w:sz w:val="21"/>
                      <w:szCs w:val="21"/>
                      <w:lang w:val="en-US" w:eastAsia="zh-CN"/>
                    </w:rPr>
                  </w:pPr>
                  <w:r>
                    <w:rPr>
                      <w:rFonts w:hint="default" w:ascii="Times New Roman" w:hAnsi="Times New Roman" w:eastAsia="宋体" w:cs="Times New Roman"/>
                      <w:color w:val="auto"/>
                      <w:spacing w:val="8"/>
                      <w:sz w:val="21"/>
                      <w:szCs w:val="21"/>
                    </w:rPr>
                    <w:t>已取得复函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jc w:val="center"/>
              </w:trPr>
              <w:tc>
                <w:tcPr>
                  <w:tcW w:w="751"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kern w:val="2"/>
                      <w:sz w:val="21"/>
                      <w:szCs w:val="21"/>
                      <w:lang w:val="en-US" w:eastAsia="en-US" w:bidi="ar-SA"/>
                    </w:rPr>
                  </w:pPr>
                  <w:r>
                    <w:rPr>
                      <w:rFonts w:hint="default" w:ascii="Times New Roman" w:hAnsi="Times New Roman" w:eastAsia="宋体" w:cs="Times New Roman"/>
                      <w:color w:val="auto"/>
                      <w:spacing w:val="8"/>
                      <w:sz w:val="21"/>
                      <w:szCs w:val="21"/>
                    </w:rPr>
                    <w:t>8</w:t>
                  </w:r>
                </w:p>
              </w:tc>
              <w:tc>
                <w:tcPr>
                  <w:tcW w:w="3198"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8"/>
                      <w:kern w:val="2"/>
                      <w:sz w:val="21"/>
                      <w:szCs w:val="21"/>
                      <w:lang w:val="en-US" w:eastAsia="zh-CN" w:bidi="ar-SA"/>
                    </w:rPr>
                  </w:pPr>
                  <w:r>
                    <w:rPr>
                      <w:rFonts w:hint="default" w:ascii="Times New Roman" w:hAnsi="Times New Roman" w:eastAsia="宋体" w:cs="Times New Roman"/>
                      <w:color w:val="auto"/>
                      <w:spacing w:val="8"/>
                      <w:sz w:val="21"/>
                      <w:szCs w:val="21"/>
                    </w:rPr>
                    <w:t>龙城区人民武装部</w:t>
                  </w:r>
                </w:p>
              </w:tc>
              <w:tc>
                <w:tcPr>
                  <w:tcW w:w="3540"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kern w:val="2"/>
                      <w:sz w:val="21"/>
                      <w:szCs w:val="21"/>
                      <w:lang w:val="en-US" w:eastAsia="en-US" w:bidi="ar-SA"/>
                    </w:rPr>
                  </w:pPr>
                  <w:r>
                    <w:rPr>
                      <w:rFonts w:hint="default" w:ascii="Times New Roman" w:hAnsi="Times New Roman" w:eastAsia="宋体" w:cs="Times New Roman"/>
                      <w:color w:val="auto"/>
                      <w:spacing w:val="8"/>
                      <w:sz w:val="21"/>
                      <w:szCs w:val="21"/>
                    </w:rPr>
                    <w:t>已取得复函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jc w:val="center"/>
              </w:trPr>
              <w:tc>
                <w:tcPr>
                  <w:tcW w:w="751"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kern w:val="2"/>
                      <w:sz w:val="21"/>
                      <w:szCs w:val="21"/>
                      <w:lang w:val="en-US" w:eastAsia="en-US" w:bidi="ar-SA"/>
                    </w:rPr>
                  </w:pPr>
                  <w:r>
                    <w:rPr>
                      <w:rFonts w:hint="default" w:ascii="Times New Roman" w:hAnsi="Times New Roman" w:eastAsia="宋体" w:cs="Times New Roman"/>
                      <w:color w:val="auto"/>
                      <w:spacing w:val="8"/>
                      <w:sz w:val="21"/>
                      <w:szCs w:val="21"/>
                    </w:rPr>
                    <w:t>9</w:t>
                  </w:r>
                </w:p>
              </w:tc>
              <w:tc>
                <w:tcPr>
                  <w:tcW w:w="3198"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sz w:val="21"/>
                      <w:szCs w:val="21"/>
                      <w:lang w:val="en-US" w:eastAsia="zh-CN"/>
                    </w:rPr>
                  </w:pPr>
                  <w:r>
                    <w:rPr>
                      <w:rFonts w:hint="eastAsia" w:ascii="Times New Roman" w:hAnsi="Times New Roman" w:eastAsia="宋体" w:cs="Times New Roman"/>
                      <w:color w:val="auto"/>
                      <w:spacing w:val="8"/>
                      <w:sz w:val="21"/>
                      <w:szCs w:val="21"/>
                      <w:lang w:val="en-US" w:eastAsia="zh-CN"/>
                    </w:rPr>
                    <w:t>龙城区博物馆</w:t>
                  </w:r>
                </w:p>
              </w:tc>
              <w:tc>
                <w:tcPr>
                  <w:tcW w:w="3540"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已取得复函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jc w:val="center"/>
              </w:trPr>
              <w:tc>
                <w:tcPr>
                  <w:tcW w:w="751"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kern w:val="2"/>
                      <w:sz w:val="21"/>
                      <w:szCs w:val="21"/>
                      <w:lang w:val="en-US" w:eastAsia="en-US" w:bidi="ar-SA"/>
                    </w:rPr>
                  </w:pPr>
                  <w:r>
                    <w:rPr>
                      <w:rFonts w:hint="default" w:ascii="Times New Roman" w:hAnsi="Times New Roman" w:eastAsia="宋体" w:cs="Times New Roman"/>
                      <w:color w:val="auto"/>
                      <w:spacing w:val="8"/>
                      <w:sz w:val="21"/>
                      <w:szCs w:val="21"/>
                    </w:rPr>
                    <w:t>10</w:t>
                  </w:r>
                </w:p>
              </w:tc>
              <w:tc>
                <w:tcPr>
                  <w:tcW w:w="3198"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sz w:val="21"/>
                      <w:szCs w:val="21"/>
                      <w:lang w:val="en-US" w:eastAsia="zh-CN"/>
                    </w:rPr>
                  </w:pPr>
                  <w:r>
                    <w:rPr>
                      <w:rFonts w:hint="eastAsia" w:ascii="Times New Roman" w:hAnsi="Times New Roman" w:eastAsia="宋体" w:cs="Times New Roman"/>
                      <w:color w:val="auto"/>
                      <w:spacing w:val="8"/>
                      <w:sz w:val="21"/>
                      <w:szCs w:val="21"/>
                      <w:lang w:val="en-US" w:eastAsia="zh-CN"/>
                    </w:rPr>
                    <w:t>朝阳市生态环境局龙城分局</w:t>
                  </w:r>
                </w:p>
              </w:tc>
              <w:tc>
                <w:tcPr>
                  <w:tcW w:w="3540"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sz w:val="21"/>
                      <w:szCs w:val="21"/>
                      <w:lang w:val="en-US" w:eastAsia="zh-CN"/>
                    </w:rPr>
                  </w:pPr>
                  <w:r>
                    <w:rPr>
                      <w:rFonts w:hint="eastAsia" w:ascii="Times New Roman" w:hAnsi="Times New Roman" w:eastAsia="宋体" w:cs="Times New Roman"/>
                      <w:color w:val="auto"/>
                      <w:spacing w:val="8"/>
                      <w:sz w:val="21"/>
                      <w:szCs w:val="21"/>
                      <w:lang w:val="en-US" w:eastAsia="zh-CN"/>
                    </w:rPr>
                    <w:t>无饮用水保护区，已取得批复</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jc w:val="center"/>
              </w:trPr>
              <w:tc>
                <w:tcPr>
                  <w:tcW w:w="751"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kern w:val="2"/>
                      <w:sz w:val="21"/>
                      <w:szCs w:val="21"/>
                      <w:lang w:val="en-US" w:eastAsia="en-US" w:bidi="ar-SA"/>
                    </w:rPr>
                  </w:pPr>
                  <w:r>
                    <w:rPr>
                      <w:rFonts w:hint="default" w:ascii="Times New Roman" w:hAnsi="Times New Roman" w:eastAsia="宋体" w:cs="Times New Roman"/>
                      <w:color w:val="auto"/>
                      <w:spacing w:val="8"/>
                      <w:sz w:val="21"/>
                      <w:szCs w:val="21"/>
                    </w:rPr>
                    <w:t>11</w:t>
                  </w:r>
                </w:p>
              </w:tc>
              <w:tc>
                <w:tcPr>
                  <w:tcW w:w="3198"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8"/>
                      <w:kern w:val="2"/>
                      <w:sz w:val="21"/>
                      <w:szCs w:val="21"/>
                      <w:lang w:val="en-US" w:eastAsia="zh-CN" w:bidi="ar-SA"/>
                    </w:rPr>
                  </w:pPr>
                  <w:r>
                    <w:rPr>
                      <w:rFonts w:hint="default" w:ascii="Times New Roman" w:hAnsi="Times New Roman" w:eastAsia="宋体" w:cs="Times New Roman"/>
                      <w:color w:val="auto"/>
                      <w:spacing w:val="8"/>
                      <w:sz w:val="21"/>
                      <w:szCs w:val="21"/>
                    </w:rPr>
                    <w:t>龙城区</w:t>
                  </w:r>
                  <w:r>
                    <w:rPr>
                      <w:rFonts w:hint="eastAsia" w:ascii="Times New Roman" w:hAnsi="Times New Roman" w:eastAsia="宋体" w:cs="Times New Roman"/>
                      <w:color w:val="auto"/>
                      <w:spacing w:val="8"/>
                      <w:sz w:val="21"/>
                      <w:szCs w:val="21"/>
                      <w:lang w:val="en-US" w:eastAsia="zh-CN"/>
                    </w:rPr>
                    <w:t>水务</w:t>
                  </w:r>
                  <w:r>
                    <w:rPr>
                      <w:rFonts w:hint="default" w:ascii="Times New Roman" w:hAnsi="Times New Roman" w:eastAsia="宋体" w:cs="Times New Roman"/>
                      <w:color w:val="auto"/>
                      <w:spacing w:val="8"/>
                      <w:sz w:val="21"/>
                      <w:szCs w:val="21"/>
                    </w:rPr>
                    <w:t>局</w:t>
                  </w:r>
                </w:p>
              </w:tc>
              <w:tc>
                <w:tcPr>
                  <w:tcW w:w="3540"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8"/>
                      <w:kern w:val="2"/>
                      <w:sz w:val="21"/>
                      <w:szCs w:val="21"/>
                      <w:lang w:val="en-US" w:eastAsia="zh-CN" w:bidi="ar-SA"/>
                    </w:rPr>
                  </w:pPr>
                  <w:r>
                    <w:rPr>
                      <w:rFonts w:hint="default" w:ascii="Times New Roman" w:hAnsi="Times New Roman" w:eastAsia="宋体" w:cs="Times New Roman"/>
                      <w:color w:val="auto"/>
                      <w:spacing w:val="8"/>
                      <w:sz w:val="21"/>
                      <w:szCs w:val="21"/>
                    </w:rPr>
                    <w:t>已取得复函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jc w:val="center"/>
              </w:trPr>
              <w:tc>
                <w:tcPr>
                  <w:tcW w:w="751"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kern w:val="2"/>
                      <w:sz w:val="21"/>
                      <w:szCs w:val="21"/>
                      <w:lang w:val="en-US" w:eastAsia="en-US" w:bidi="ar-SA"/>
                    </w:rPr>
                  </w:pPr>
                  <w:r>
                    <w:rPr>
                      <w:rFonts w:hint="default" w:ascii="Times New Roman" w:hAnsi="Times New Roman" w:eastAsia="宋体" w:cs="Times New Roman"/>
                      <w:color w:val="auto"/>
                      <w:spacing w:val="8"/>
                      <w:sz w:val="21"/>
                      <w:szCs w:val="21"/>
                    </w:rPr>
                    <w:t>12</w:t>
                  </w:r>
                </w:p>
              </w:tc>
              <w:tc>
                <w:tcPr>
                  <w:tcW w:w="3198"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8"/>
                      <w:kern w:val="2"/>
                      <w:sz w:val="21"/>
                      <w:szCs w:val="21"/>
                      <w:lang w:val="en-US" w:eastAsia="zh-CN" w:bidi="ar-SA"/>
                    </w:rPr>
                  </w:pPr>
                  <w:r>
                    <w:rPr>
                      <w:rFonts w:hint="default" w:ascii="Times New Roman" w:hAnsi="Times New Roman" w:eastAsia="宋体" w:cs="Times New Roman"/>
                      <w:color w:val="auto"/>
                      <w:spacing w:val="8"/>
                      <w:sz w:val="21"/>
                      <w:szCs w:val="21"/>
                    </w:rPr>
                    <w:t>龙城区气象局</w:t>
                  </w:r>
                </w:p>
              </w:tc>
              <w:tc>
                <w:tcPr>
                  <w:tcW w:w="3540"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8"/>
                      <w:kern w:val="2"/>
                      <w:sz w:val="21"/>
                      <w:szCs w:val="21"/>
                      <w:lang w:val="en-US" w:eastAsia="zh-CN" w:bidi="ar-SA"/>
                    </w:rPr>
                  </w:pPr>
                  <w:r>
                    <w:rPr>
                      <w:rFonts w:hint="default" w:ascii="Times New Roman" w:hAnsi="Times New Roman" w:eastAsia="宋体" w:cs="Times New Roman"/>
                      <w:color w:val="auto"/>
                      <w:spacing w:val="8"/>
                      <w:sz w:val="21"/>
                      <w:szCs w:val="21"/>
                    </w:rPr>
                    <w:t>已取得复函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jc w:val="center"/>
              </w:trPr>
              <w:tc>
                <w:tcPr>
                  <w:tcW w:w="751"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sz w:val="21"/>
                      <w:szCs w:val="21"/>
                      <w:lang w:val="en-US" w:eastAsia="zh-CN"/>
                    </w:rPr>
                  </w:pPr>
                  <w:r>
                    <w:rPr>
                      <w:rFonts w:hint="eastAsia" w:ascii="Times New Roman" w:hAnsi="Times New Roman" w:eastAsia="宋体" w:cs="Times New Roman"/>
                      <w:color w:val="auto"/>
                      <w:spacing w:val="8"/>
                      <w:sz w:val="21"/>
                      <w:szCs w:val="21"/>
                      <w:lang w:val="en-US" w:eastAsia="zh-CN"/>
                    </w:rPr>
                    <w:t>13</w:t>
                  </w:r>
                </w:p>
              </w:tc>
              <w:tc>
                <w:tcPr>
                  <w:tcW w:w="3198"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sz w:val="21"/>
                      <w:szCs w:val="21"/>
                      <w:lang w:val="en-US" w:eastAsia="zh-CN"/>
                    </w:rPr>
                  </w:pPr>
                  <w:r>
                    <w:rPr>
                      <w:rFonts w:hint="eastAsia" w:ascii="Times New Roman" w:hAnsi="Times New Roman" w:eastAsia="宋体" w:cs="Times New Roman"/>
                      <w:color w:val="auto"/>
                      <w:spacing w:val="8"/>
                      <w:sz w:val="21"/>
                      <w:szCs w:val="21"/>
                      <w:lang w:val="en-US" w:eastAsia="zh-CN"/>
                    </w:rPr>
                    <w:t>西大营子镇人民政府</w:t>
                  </w:r>
                </w:p>
              </w:tc>
              <w:tc>
                <w:tcPr>
                  <w:tcW w:w="3540"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已取得复函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jc w:val="center"/>
              </w:trPr>
              <w:tc>
                <w:tcPr>
                  <w:tcW w:w="751"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sz w:val="21"/>
                      <w:szCs w:val="21"/>
                      <w:lang w:val="en-US" w:eastAsia="zh-CN"/>
                    </w:rPr>
                  </w:pPr>
                  <w:r>
                    <w:rPr>
                      <w:rFonts w:hint="eastAsia" w:ascii="Times New Roman" w:hAnsi="Times New Roman" w:eastAsia="宋体" w:cs="Times New Roman"/>
                      <w:color w:val="auto"/>
                      <w:spacing w:val="8"/>
                      <w:sz w:val="21"/>
                      <w:szCs w:val="21"/>
                      <w:lang w:val="en-US" w:eastAsia="zh-CN"/>
                    </w:rPr>
                    <w:t>14</w:t>
                  </w:r>
                </w:p>
              </w:tc>
              <w:tc>
                <w:tcPr>
                  <w:tcW w:w="3198"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sz w:val="21"/>
                      <w:szCs w:val="21"/>
                      <w:lang w:val="en-US" w:eastAsia="zh-CN"/>
                    </w:rPr>
                  </w:pPr>
                  <w:r>
                    <w:rPr>
                      <w:rFonts w:hint="eastAsia" w:ascii="Times New Roman" w:hAnsi="Times New Roman" w:eastAsia="宋体" w:cs="Times New Roman"/>
                      <w:color w:val="auto"/>
                      <w:spacing w:val="8"/>
                      <w:sz w:val="21"/>
                      <w:szCs w:val="21"/>
                      <w:lang w:val="en-US" w:eastAsia="zh-CN"/>
                    </w:rPr>
                    <w:t>边杖子镇人民政府</w:t>
                  </w:r>
                </w:p>
              </w:tc>
              <w:tc>
                <w:tcPr>
                  <w:tcW w:w="3540"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已取得复函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jc w:val="center"/>
              </w:trPr>
              <w:tc>
                <w:tcPr>
                  <w:tcW w:w="751"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kern w:val="2"/>
                      <w:sz w:val="21"/>
                      <w:szCs w:val="21"/>
                      <w:lang w:val="en-US" w:eastAsia="zh-CN" w:bidi="ar-SA"/>
                    </w:rPr>
                  </w:pPr>
                  <w:r>
                    <w:rPr>
                      <w:rFonts w:hint="eastAsia" w:ascii="Times New Roman" w:hAnsi="Times New Roman" w:eastAsia="宋体" w:cs="Times New Roman"/>
                      <w:color w:val="auto"/>
                      <w:spacing w:val="8"/>
                      <w:kern w:val="2"/>
                      <w:sz w:val="21"/>
                      <w:szCs w:val="21"/>
                      <w:lang w:val="en-US" w:eastAsia="zh-CN" w:bidi="ar-SA"/>
                    </w:rPr>
                    <w:t>15</w:t>
                  </w:r>
                </w:p>
              </w:tc>
              <w:tc>
                <w:tcPr>
                  <w:tcW w:w="3198"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朝阳市龙城区国土空间规划服务中心</w:t>
                  </w:r>
                </w:p>
              </w:tc>
              <w:tc>
                <w:tcPr>
                  <w:tcW w:w="3540"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已取得复函</w:t>
                  </w:r>
                </w:p>
              </w:tc>
            </w:tr>
          </w:tbl>
          <w:p>
            <w:pPr>
              <w:pStyle w:val="5"/>
              <w:rPr>
                <w:rFonts w:hint="default"/>
                <w:lang w:val="en-US"/>
              </w:rPr>
            </w:pPr>
          </w:p>
        </w:tc>
      </w:tr>
    </w:tbl>
    <w:p>
      <w:pPr>
        <w:keepNext w:val="0"/>
        <w:keepLines w:val="0"/>
        <w:pageBreakBefore w:val="0"/>
        <w:widowControl w:val="0"/>
        <w:kinsoku/>
        <w:wordWrap/>
        <w:overflowPunct/>
        <w:topLinePunct w:val="0"/>
        <w:autoSpaceDE/>
        <w:autoSpaceDN/>
        <w:bidi w:val="0"/>
        <w:adjustRightInd/>
        <w:snapToGrid/>
        <w:spacing w:line="240" w:lineRule="auto"/>
        <w:jc w:val="left"/>
        <w:textAlignment w:val="auto"/>
        <w:outlineLvl w:val="0"/>
        <w:rPr>
          <w:rFonts w:hint="eastAsia" w:ascii="Times New Roman" w:hAnsi="Times New Roman" w:eastAsia="宋体" w:cs="Times New Roman"/>
          <w:b/>
          <w:bCs/>
          <w:color w:val="auto"/>
          <w:sz w:val="28"/>
          <w:szCs w:val="28"/>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widowControl/>
        <w:kinsoku w:val="0"/>
        <w:autoSpaceDE w:val="0"/>
        <w:autoSpaceDN w:val="0"/>
        <w:adjustRightInd w:val="0"/>
        <w:snapToGrid w:val="0"/>
        <w:spacing w:before="97" w:line="222" w:lineRule="auto"/>
        <w:jc w:val="center"/>
        <w:textAlignment w:val="baseline"/>
        <w:outlineLvl w:val="2"/>
        <w:rPr>
          <w:rFonts w:hint="default" w:ascii="Times New Roman" w:hAnsi="Times New Roman" w:eastAsia="宋体" w:cs="Times New Roman"/>
          <w:b/>
          <w:bCs/>
          <w:snapToGrid w:val="0"/>
          <w:color w:val="auto"/>
          <w:spacing w:val="-2"/>
          <w:kern w:val="0"/>
          <w:sz w:val="30"/>
          <w:szCs w:val="30"/>
          <w:lang w:val="en-US" w:eastAsia="zh-CN"/>
        </w:rPr>
      </w:pPr>
      <w:r>
        <w:rPr>
          <w:rFonts w:hint="eastAsia" w:ascii="Times New Roman" w:hAnsi="Times New Roman" w:eastAsia="宋体" w:cs="Times New Roman"/>
          <w:b/>
          <w:bCs/>
          <w:snapToGrid w:val="0"/>
          <w:color w:val="auto"/>
          <w:spacing w:val="-2"/>
          <w:kern w:val="0"/>
          <w:sz w:val="30"/>
          <w:szCs w:val="30"/>
          <w:lang w:val="en-US" w:eastAsia="zh-CN"/>
        </w:rPr>
        <w:t>二</w:t>
      </w:r>
      <w:r>
        <w:rPr>
          <w:rFonts w:hint="eastAsia" w:ascii="Times New Roman" w:hAnsi="Times New Roman" w:eastAsia="宋体" w:cs="Times New Roman"/>
          <w:b/>
          <w:bCs/>
          <w:snapToGrid w:val="0"/>
          <w:color w:val="auto"/>
          <w:spacing w:val="-2"/>
          <w:kern w:val="0"/>
          <w:sz w:val="30"/>
          <w:szCs w:val="30"/>
          <w:lang w:eastAsia="zh-CN"/>
        </w:rPr>
        <w:t>、建设</w:t>
      </w:r>
      <w:r>
        <w:rPr>
          <w:rFonts w:hint="eastAsia" w:ascii="Times New Roman" w:hAnsi="Times New Roman" w:eastAsia="宋体" w:cs="Times New Roman"/>
          <w:b/>
          <w:bCs/>
          <w:snapToGrid w:val="0"/>
          <w:color w:val="auto"/>
          <w:spacing w:val="-2"/>
          <w:kern w:val="0"/>
          <w:sz w:val="30"/>
          <w:szCs w:val="30"/>
          <w:lang w:val="en-US" w:eastAsia="zh-CN"/>
        </w:rPr>
        <w:t>内容</w:t>
      </w:r>
    </w:p>
    <w:tbl>
      <w:tblPr>
        <w:tblStyle w:val="21"/>
        <w:tblW w:w="955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10"/>
        <w:gridCol w:w="894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28" w:hRule="atLeast"/>
          <w:jc w:val="center"/>
        </w:trPr>
        <w:tc>
          <w:tcPr>
            <w:tcW w:w="61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aps w:val="0"/>
                <w:color w:val="auto"/>
                <w:sz w:val="24"/>
                <w:szCs w:val="24"/>
                <w:lang w:val="en-US" w:eastAsia="zh-CN"/>
              </w:rPr>
            </w:pPr>
            <w:r>
              <w:rPr>
                <w:rFonts w:hint="eastAsia" w:ascii="Times New Roman" w:hAnsi="Times New Roman" w:eastAsia="宋体" w:cs="Times New Roman"/>
                <w:b/>
                <w:bCs/>
                <w:caps w:val="0"/>
                <w:color w:val="auto"/>
                <w:sz w:val="24"/>
                <w:szCs w:val="24"/>
                <w:lang w:val="en-US" w:eastAsia="zh-CN"/>
              </w:rPr>
              <w:t>地理位置</w:t>
            </w:r>
          </w:p>
        </w:tc>
        <w:tc>
          <w:tcPr>
            <w:tcW w:w="8944" w:type="dxa"/>
            <w:vAlign w:val="center"/>
          </w:tcPr>
          <w:p>
            <w:pPr>
              <w:keepNext w:val="0"/>
              <w:keepLines w:val="0"/>
              <w:widowControl/>
              <w:suppressLineNumbers w:val="0"/>
              <w:spacing w:line="360" w:lineRule="auto"/>
              <w:jc w:val="left"/>
              <w:rPr>
                <w:rFonts w:ascii="Times New Roman" w:hAnsi="Times New Roman" w:eastAsia="宋体" w:cs="Times New Roman"/>
                <w:color w:val="auto"/>
                <w:sz w:val="24"/>
                <w:szCs w:val="24"/>
              </w:rPr>
            </w:pPr>
            <w:r>
              <w:rPr>
                <w:rFonts w:hint="eastAsia" w:ascii="Times New Roman" w:hAnsi="Times New Roman" w:eastAsia="宋体" w:cs="Times New Roman"/>
                <w:b/>
                <w:bCs/>
                <w:color w:val="auto"/>
                <w:kern w:val="0"/>
                <w:sz w:val="24"/>
                <w:szCs w:val="24"/>
                <w:lang w:val="en-US" w:eastAsia="zh-CN" w:bidi="ar"/>
              </w:rPr>
              <w:t>1</w:t>
            </w:r>
            <w:r>
              <w:rPr>
                <w:rFonts w:hint="eastAsia" w:ascii="Times New Roman" w:hAnsi="Times New Roman" w:eastAsia="宋体" w:cs="Times New Roman"/>
                <w:b/>
                <w:bCs w:val="0"/>
                <w:caps w:val="0"/>
                <w:color w:val="auto"/>
                <w:spacing w:val="0"/>
                <w:sz w:val="24"/>
                <w:szCs w:val="24"/>
                <w:lang w:val="en-US" w:eastAsia="zh-CN"/>
              </w:rPr>
              <w:t>、项目位置</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朝阳国宏100MW储能项目220千伏送出工程项目位于朝阳市龙城区边杖子镇新房村、朱杖子村（起于马山220kV变电站，止于新建国宏200MW储能站）。</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4"/>
                <w:szCs w:val="24"/>
                <w:vertAlign w:val="baseline"/>
                <w:lang w:val="en-US" w:eastAsia="zh-CN"/>
              </w:rPr>
              <w:t>220</w:t>
            </w:r>
            <w:r>
              <w:rPr>
                <w:rFonts w:hint="default" w:ascii="Times New Roman" w:hAnsi="Times New Roman" w:eastAsia="宋体" w:cs="Times New Roman"/>
                <w:color w:val="auto"/>
                <w:sz w:val="24"/>
                <w:szCs w:val="24"/>
                <w:vertAlign w:val="baseline"/>
              </w:rPr>
              <w:t>kV送出线路</w:t>
            </w:r>
            <w:r>
              <w:rPr>
                <w:rFonts w:hint="default" w:ascii="Times New Roman" w:hAnsi="Times New Roman" w:eastAsia="宋体" w:cs="Times New Roman"/>
                <w:color w:val="auto"/>
                <w:sz w:val="24"/>
                <w:szCs w:val="24"/>
                <w:vertAlign w:val="baseline"/>
                <w:lang w:val="en-US" w:eastAsia="zh-CN"/>
              </w:rPr>
              <w:t>起点（马山变电站）</w:t>
            </w:r>
            <w:r>
              <w:rPr>
                <w:rFonts w:hint="default" w:ascii="Times New Roman" w:hAnsi="Times New Roman" w:eastAsia="宋体" w:cs="Times New Roman"/>
                <w:color w:val="auto"/>
                <w:sz w:val="24"/>
                <w:szCs w:val="24"/>
                <w:vertAlign w:val="baseline"/>
              </w:rPr>
              <w:t>：</w:t>
            </w:r>
            <w:r>
              <w:rPr>
                <w:rFonts w:hint="default" w:ascii="Times New Roman" w:hAnsi="Times New Roman" w:eastAsia="宋体" w:cs="Times New Roman"/>
                <w:color w:val="auto"/>
                <w:sz w:val="24"/>
                <w:szCs w:val="24"/>
                <w:vertAlign w:val="baseline"/>
                <w:lang w:val="en-US" w:eastAsia="zh-CN"/>
              </w:rPr>
              <w:t>东经</w:t>
            </w:r>
            <w:r>
              <w:rPr>
                <w:rFonts w:hint="default" w:ascii="Times New Roman" w:hAnsi="Times New Roman" w:eastAsia="宋体" w:cs="Times New Roman"/>
                <w:i w:val="0"/>
                <w:iCs w:val="0"/>
                <w:color w:val="000000"/>
                <w:kern w:val="0"/>
                <w:sz w:val="21"/>
                <w:szCs w:val="21"/>
                <w:u w:val="none"/>
                <w:lang w:val="en-US" w:eastAsia="zh-CN" w:bidi="ar"/>
              </w:rPr>
              <w:t>120.2877415°，北纬41.56779389°</w:t>
            </w:r>
            <w:r>
              <w:rPr>
                <w:rFonts w:hint="default" w:ascii="Times New Roman" w:hAnsi="Times New Roman" w:eastAsia="宋体" w:cs="Times New Roman"/>
                <w:color w:val="auto"/>
                <w:sz w:val="24"/>
                <w:szCs w:val="24"/>
                <w:vertAlign w:val="baseline"/>
                <w:lang w:eastAsia="zh-CN"/>
              </w:rPr>
              <w:t>；</w:t>
            </w:r>
            <w:r>
              <w:rPr>
                <w:rFonts w:hint="default" w:ascii="Times New Roman" w:hAnsi="Times New Roman" w:eastAsia="宋体" w:cs="Times New Roman"/>
                <w:color w:val="auto"/>
                <w:sz w:val="24"/>
                <w:szCs w:val="24"/>
                <w:vertAlign w:val="baseline"/>
                <w:lang w:val="en-US" w:eastAsia="zh-CN"/>
              </w:rPr>
              <w:t>220</w:t>
            </w:r>
            <w:r>
              <w:rPr>
                <w:rFonts w:hint="default" w:ascii="Times New Roman" w:hAnsi="Times New Roman" w:eastAsia="宋体" w:cs="Times New Roman"/>
                <w:color w:val="auto"/>
                <w:sz w:val="24"/>
                <w:szCs w:val="24"/>
                <w:vertAlign w:val="baseline"/>
              </w:rPr>
              <w:t>kV送出线路</w:t>
            </w:r>
            <w:r>
              <w:rPr>
                <w:rFonts w:hint="default" w:ascii="Times New Roman" w:hAnsi="Times New Roman" w:eastAsia="宋体" w:cs="Times New Roman"/>
                <w:color w:val="auto"/>
                <w:sz w:val="24"/>
                <w:szCs w:val="24"/>
                <w:vertAlign w:val="baseline"/>
                <w:lang w:val="en-US" w:eastAsia="zh-CN"/>
              </w:rPr>
              <w:t>终点（规划储能站）</w:t>
            </w:r>
            <w:r>
              <w:rPr>
                <w:rFonts w:hint="default" w:ascii="Times New Roman" w:hAnsi="Times New Roman" w:eastAsia="宋体" w:cs="Times New Roman"/>
                <w:color w:val="auto"/>
                <w:sz w:val="24"/>
                <w:szCs w:val="24"/>
                <w:vertAlign w:val="baseline"/>
              </w:rPr>
              <w:t>：东经120.321686809°</w:t>
            </w:r>
            <w:r>
              <w:rPr>
                <w:rFonts w:hint="default" w:ascii="Times New Roman" w:hAnsi="Times New Roman" w:eastAsia="宋体" w:cs="Times New Roman"/>
                <w:color w:val="auto"/>
                <w:sz w:val="24"/>
                <w:szCs w:val="24"/>
                <w:vertAlign w:val="baseline"/>
                <w:lang w:eastAsia="zh-CN"/>
              </w:rPr>
              <w:t>，</w:t>
            </w:r>
            <w:r>
              <w:rPr>
                <w:rFonts w:hint="default" w:ascii="Times New Roman" w:hAnsi="Times New Roman" w:eastAsia="宋体" w:cs="Times New Roman"/>
                <w:color w:val="auto"/>
                <w:sz w:val="24"/>
                <w:szCs w:val="24"/>
                <w:vertAlign w:val="baseline"/>
                <w:lang w:val="en-US" w:eastAsia="zh-CN"/>
              </w:rPr>
              <w:t>北纬</w:t>
            </w:r>
            <w:r>
              <w:rPr>
                <w:rFonts w:hint="default" w:ascii="Times New Roman" w:hAnsi="Times New Roman" w:eastAsia="宋体" w:cs="Times New Roman"/>
                <w:color w:val="auto"/>
                <w:sz w:val="24"/>
                <w:szCs w:val="24"/>
                <w:vertAlign w:val="baseline"/>
              </w:rPr>
              <w:t>41.59365028°</w:t>
            </w:r>
            <w:r>
              <w:rPr>
                <w:rFonts w:hint="default" w:ascii="Times New Roman" w:hAnsi="Times New Roman" w:eastAsia="宋体" w:cs="Times New Roman"/>
                <w:color w:val="auto"/>
                <w:sz w:val="24"/>
                <w:szCs w:val="24"/>
                <w:vertAlign w:val="baseline"/>
                <w:lang w:eastAsia="zh-CN"/>
              </w:rPr>
              <w:t>，</w:t>
            </w:r>
            <w:r>
              <w:rPr>
                <w:rFonts w:hint="default" w:ascii="Times New Roman" w:hAnsi="Times New Roman" w:eastAsia="宋体" w:cs="Times New Roman"/>
                <w:color w:val="auto"/>
                <w:sz w:val="24"/>
                <w:szCs w:val="24"/>
                <w:vertAlign w:val="baseline"/>
                <w:lang w:val="en-US" w:eastAsia="zh-CN"/>
              </w:rPr>
              <w:t>项目地理位置图见附图1。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1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aps w:val="0"/>
                <w:color w:val="auto"/>
                <w:sz w:val="24"/>
                <w:szCs w:val="24"/>
                <w:lang w:val="en-US" w:eastAsia="zh-CN"/>
              </w:rPr>
            </w:pPr>
            <w:r>
              <w:rPr>
                <w:rFonts w:hint="eastAsia" w:ascii="Times New Roman" w:hAnsi="Times New Roman" w:eastAsia="宋体" w:cs="Times New Roman"/>
                <w:b/>
                <w:bCs/>
                <w:caps w:val="0"/>
                <w:color w:val="auto"/>
                <w:sz w:val="24"/>
                <w:szCs w:val="24"/>
                <w:lang w:val="en-US" w:eastAsia="zh-CN"/>
              </w:rPr>
              <w:t>项目组成及规模</w:t>
            </w:r>
          </w:p>
        </w:tc>
        <w:tc>
          <w:tcPr>
            <w:tcW w:w="8944" w:type="dxa"/>
            <w:vAlign w:val="center"/>
          </w:tcPr>
          <w:p>
            <w:pPr>
              <w:keepNext w:val="0"/>
              <w:keepLines w:val="0"/>
              <w:pageBreakBefore w:val="0"/>
              <w:widowControl w:val="0"/>
              <w:kinsoku/>
              <w:wordWrap/>
              <w:overflowPunct/>
              <w:topLinePunct w:val="0"/>
              <w:autoSpaceDE/>
              <w:autoSpaceDN/>
              <w:bidi w:val="0"/>
              <w:spacing w:line="360" w:lineRule="auto"/>
              <w:ind w:firstLine="482" w:firstLineChars="200"/>
              <w:jc w:val="both"/>
              <w:textAlignment w:val="auto"/>
              <w:rPr>
                <w:rFonts w:hint="default" w:ascii="Times New Roman" w:hAnsi="Times New Roman" w:eastAsia="宋体" w:cs="Times New Roman"/>
                <w:b/>
                <w:bCs/>
                <w:color w:val="auto"/>
                <w:sz w:val="24"/>
                <w:szCs w:val="24"/>
                <w:vertAlign w:val="baseline"/>
                <w:lang w:val="en-US" w:eastAsia="zh-CN"/>
              </w:rPr>
            </w:pPr>
            <w:r>
              <w:rPr>
                <w:rFonts w:hint="eastAsia" w:ascii="Times New Roman" w:hAnsi="Times New Roman" w:eastAsia="宋体" w:cs="Times New Roman"/>
                <w:b/>
                <w:bCs/>
                <w:color w:val="auto"/>
                <w:sz w:val="24"/>
                <w:szCs w:val="24"/>
                <w:vertAlign w:val="baseline"/>
                <w:lang w:val="en-US" w:eastAsia="zh-CN"/>
              </w:rPr>
              <w:t>1、项目由来</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为满足当地能源供应的有效补充，并节约煤炭、天然气等一次能源及水资源，减少各类污染物的排放量，缓解当地环境保护压力，促进地区经济的可持续发展。为确保电网项目能够按时、安全投产，为该地区提供有力的电力保障，本项目的建设是十分必要的。本项目为220千伏送出工程项目，起于马山变电站，止于储能站，可有效助力辽宁省新型电力系统的构建。</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本项目线路工程为新建220kV架空线路5.1千米，新建通信光缆10.2千米。新建单回架空线路，线路亘长5.1km，新建杆塔21基。导线采用1×JL3/G1A-400/35型高导电率钢芯铝绞线，地线采用OPGW-48芯光缆兼地线。</w:t>
            </w:r>
          </w:p>
          <w:p>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82" w:firstLineChars="200"/>
              <w:textAlignment w:val="auto"/>
              <w:rPr>
                <w:rFonts w:hint="eastAsia" w:ascii="Times New Roman" w:hAnsi="Times New Roman" w:eastAsia="宋体" w:cs="Times New Roman"/>
                <w:b/>
                <w:bCs w:val="0"/>
                <w:caps w:val="0"/>
                <w:color w:val="auto"/>
                <w:spacing w:val="0"/>
                <w:sz w:val="24"/>
                <w:lang w:val="en-US" w:eastAsia="zh-CN"/>
              </w:rPr>
            </w:pPr>
            <w:r>
              <w:rPr>
                <w:rFonts w:hint="eastAsia" w:ascii="Times New Roman" w:hAnsi="Times New Roman" w:eastAsia="宋体" w:cs="Times New Roman"/>
                <w:b/>
                <w:bCs w:val="0"/>
                <w:caps w:val="0"/>
                <w:color w:val="auto"/>
                <w:spacing w:val="0"/>
                <w:kern w:val="2"/>
                <w:sz w:val="24"/>
                <w:szCs w:val="24"/>
                <w:lang w:val="en-US" w:eastAsia="zh-CN" w:bidi="ar-SA"/>
              </w:rPr>
              <w:t>2、</w:t>
            </w:r>
            <w:r>
              <w:rPr>
                <w:rFonts w:hint="eastAsia" w:ascii="Times New Roman" w:hAnsi="Times New Roman" w:eastAsia="宋体" w:cs="Times New Roman"/>
                <w:b/>
                <w:bCs w:val="0"/>
                <w:caps w:val="0"/>
                <w:color w:val="auto"/>
                <w:spacing w:val="0"/>
                <w:sz w:val="24"/>
                <w:lang w:val="en-US" w:eastAsia="zh-CN"/>
              </w:rPr>
              <w:t>项目基本概况</w:t>
            </w:r>
          </w:p>
          <w:p>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80" w:firstLineChars="200"/>
              <w:textAlignment w:val="auto"/>
              <w:rPr>
                <w:rFonts w:hint="eastAsia" w:ascii="Times New Roman" w:hAnsi="Times New Roman" w:eastAsia="宋体" w:cs="Times New Roman"/>
                <w:b w:val="0"/>
                <w:bCs/>
                <w:caps w:val="0"/>
                <w:color w:val="auto"/>
                <w:spacing w:val="0"/>
                <w:sz w:val="24"/>
                <w:lang w:val="en-US" w:eastAsia="zh-CN"/>
              </w:rPr>
            </w:pPr>
            <w:r>
              <w:rPr>
                <w:rFonts w:hint="eastAsia" w:ascii="Times New Roman" w:hAnsi="Times New Roman" w:eastAsia="宋体" w:cs="Times New Roman"/>
                <w:b w:val="0"/>
                <w:bCs/>
                <w:caps w:val="0"/>
                <w:color w:val="auto"/>
                <w:spacing w:val="0"/>
                <w:sz w:val="24"/>
                <w:lang w:val="en-US" w:eastAsia="zh-CN"/>
              </w:rPr>
              <w:t>（1）项目名称：</w:t>
            </w:r>
            <w:r>
              <w:rPr>
                <w:rFonts w:hint="eastAsia" w:ascii="Times New Roman" w:hAnsi="Times New Roman" w:eastAsia="宋体" w:cs="Times New Roman"/>
                <w:color w:val="auto"/>
                <w:sz w:val="24"/>
                <w:szCs w:val="24"/>
                <w:vertAlign w:val="baseline"/>
                <w:lang w:val="en-US" w:eastAsia="zh-CN"/>
              </w:rPr>
              <w:t>朝阳国宏100MW储能项目220千伏送出工程项目</w:t>
            </w:r>
            <w:r>
              <w:rPr>
                <w:rFonts w:hint="eastAsia" w:ascii="Times New Roman" w:hAnsi="Times New Roman" w:eastAsia="宋体" w:cs="Times New Roman"/>
                <w:b w:val="0"/>
                <w:bCs/>
                <w:caps w:val="0"/>
                <w:color w:val="auto"/>
                <w:spacing w:val="0"/>
                <w:sz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80" w:firstLineChars="200"/>
              <w:textAlignment w:val="auto"/>
              <w:rPr>
                <w:rFonts w:hint="eastAsia" w:ascii="Times New Roman" w:hAnsi="Times New Roman" w:eastAsia="宋体" w:cs="Times New Roman"/>
                <w:b w:val="0"/>
                <w:bCs/>
                <w:caps w:val="0"/>
                <w:color w:val="auto"/>
                <w:spacing w:val="0"/>
                <w:sz w:val="24"/>
                <w:lang w:val="en-US" w:eastAsia="zh-CN"/>
              </w:rPr>
            </w:pPr>
            <w:r>
              <w:rPr>
                <w:rFonts w:hint="eastAsia" w:ascii="Times New Roman" w:hAnsi="Times New Roman" w:eastAsia="宋体" w:cs="Times New Roman"/>
                <w:b w:val="0"/>
                <w:bCs/>
                <w:caps w:val="0"/>
                <w:color w:val="auto"/>
                <w:spacing w:val="0"/>
                <w:sz w:val="24"/>
                <w:lang w:val="en-US" w:eastAsia="zh-CN"/>
              </w:rPr>
              <w:t>（2）建设单位：国网辽宁省电力有限公司朝阳供电公司。</w:t>
            </w:r>
          </w:p>
          <w:p>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80" w:firstLineChars="200"/>
              <w:textAlignment w:val="auto"/>
              <w:rPr>
                <w:rFonts w:hint="eastAsia" w:ascii="Times New Roman" w:hAnsi="Times New Roman" w:eastAsia="宋体" w:cs="Times New Roman"/>
                <w:b w:val="0"/>
                <w:bCs/>
                <w:caps w:val="0"/>
                <w:color w:val="auto"/>
                <w:spacing w:val="0"/>
                <w:sz w:val="24"/>
                <w:lang w:val="en-US" w:eastAsia="zh-CN"/>
              </w:rPr>
            </w:pPr>
            <w:r>
              <w:rPr>
                <w:rFonts w:hint="eastAsia" w:ascii="Times New Roman" w:hAnsi="Times New Roman" w:eastAsia="宋体" w:cs="Times New Roman"/>
                <w:b w:val="0"/>
                <w:bCs/>
                <w:caps w:val="0"/>
                <w:color w:val="auto"/>
                <w:spacing w:val="0"/>
                <w:sz w:val="24"/>
                <w:lang w:val="en-US" w:eastAsia="zh-CN"/>
              </w:rPr>
              <w:t>（3）建设性质：新建。</w:t>
            </w:r>
          </w:p>
          <w:p>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80" w:firstLineChars="200"/>
              <w:textAlignment w:val="auto"/>
              <w:rPr>
                <w:rFonts w:hint="eastAsia" w:ascii="Times New Roman" w:hAnsi="Times New Roman" w:eastAsia="宋体" w:cs="Times New Roman"/>
                <w:b w:val="0"/>
                <w:bCs/>
                <w:caps w:val="0"/>
                <w:color w:val="auto"/>
                <w:spacing w:val="0"/>
                <w:sz w:val="24"/>
                <w:lang w:val="en-US" w:eastAsia="zh-CN"/>
              </w:rPr>
            </w:pPr>
            <w:r>
              <w:rPr>
                <w:rFonts w:hint="eastAsia" w:ascii="Times New Roman" w:hAnsi="Times New Roman" w:eastAsia="宋体" w:cs="Times New Roman"/>
                <w:b w:val="0"/>
                <w:bCs/>
                <w:caps w:val="0"/>
                <w:color w:val="auto"/>
                <w:spacing w:val="0"/>
                <w:sz w:val="24"/>
                <w:lang w:val="en-US" w:eastAsia="zh-CN"/>
              </w:rPr>
              <w:t>（4）建设地点：朝阳市龙城区边杖子镇新房村、朱杖子村。</w:t>
            </w:r>
          </w:p>
          <w:p>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80" w:firstLineChars="200"/>
              <w:textAlignment w:val="auto"/>
              <w:rPr>
                <w:rFonts w:hint="eastAsia" w:ascii="Times New Roman" w:hAnsi="Times New Roman" w:eastAsia="宋体" w:cs="Times New Roman"/>
                <w:b w:val="0"/>
                <w:bCs/>
                <w:caps w:val="0"/>
                <w:color w:val="auto"/>
                <w:spacing w:val="0"/>
                <w:sz w:val="24"/>
                <w:lang w:val="en-US" w:eastAsia="zh-CN"/>
              </w:rPr>
            </w:pPr>
            <w:r>
              <w:rPr>
                <w:rFonts w:hint="eastAsia" w:ascii="Times New Roman" w:hAnsi="Times New Roman" w:eastAsia="宋体" w:cs="Times New Roman"/>
                <w:b w:val="0"/>
                <w:bCs/>
                <w:caps w:val="0"/>
                <w:color w:val="auto"/>
                <w:spacing w:val="0"/>
                <w:sz w:val="24"/>
                <w:lang w:val="en-US" w:eastAsia="zh-CN"/>
              </w:rPr>
              <w:t>（5）投资情况：总投资</w:t>
            </w:r>
            <w:r>
              <w:rPr>
                <w:rFonts w:hint="eastAsia" w:ascii="Times New Roman" w:hAnsi="Times New Roman" w:eastAsia="宋体" w:cs="Times New Roman"/>
                <w:color w:val="auto"/>
                <w:sz w:val="24"/>
                <w:szCs w:val="24"/>
                <w:vertAlign w:val="baseline"/>
                <w:lang w:val="en-US" w:eastAsia="zh-CN"/>
              </w:rPr>
              <w:t>1653</w:t>
            </w:r>
            <w:r>
              <w:rPr>
                <w:rFonts w:hint="eastAsia" w:ascii="Times New Roman" w:hAnsi="Times New Roman" w:eastAsia="宋体" w:cs="Times New Roman"/>
                <w:b w:val="0"/>
                <w:bCs/>
                <w:caps w:val="0"/>
                <w:color w:val="auto"/>
                <w:spacing w:val="0"/>
                <w:sz w:val="24"/>
                <w:lang w:val="en-US" w:eastAsia="zh-CN"/>
              </w:rPr>
              <w:t>万元，其中环保投资80万元。</w:t>
            </w:r>
          </w:p>
          <w:p>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80" w:firstLineChars="200"/>
              <w:textAlignment w:val="auto"/>
              <w:rPr>
                <w:rFonts w:hint="eastAsia" w:ascii="Times New Roman" w:hAnsi="Times New Roman" w:eastAsia="宋体" w:cs="Times New Roman"/>
                <w:b w:val="0"/>
                <w:bCs/>
                <w:caps w:val="0"/>
                <w:color w:val="auto"/>
                <w:spacing w:val="0"/>
                <w:sz w:val="24"/>
                <w:lang w:val="en-US" w:eastAsia="zh-CN"/>
              </w:rPr>
            </w:pPr>
            <w:r>
              <w:rPr>
                <w:rFonts w:hint="eastAsia" w:ascii="Times New Roman" w:hAnsi="Times New Roman" w:eastAsia="宋体" w:cs="Times New Roman"/>
                <w:b w:val="0"/>
                <w:bCs/>
                <w:caps w:val="0"/>
                <w:color w:val="auto"/>
                <w:spacing w:val="0"/>
                <w:sz w:val="24"/>
                <w:lang w:val="en-US" w:eastAsia="zh-CN"/>
              </w:rPr>
              <w:t>（6）项目占地：</w:t>
            </w:r>
            <w:r>
              <w:rPr>
                <w:rFonts w:hint="eastAsia" w:ascii="Times New Roman" w:hAnsi="Times New Roman" w:eastAsia="宋体" w:cs="Times New Roman"/>
                <w:color w:val="auto"/>
                <w:sz w:val="24"/>
                <w:szCs w:val="24"/>
                <w:highlight w:val="none"/>
                <w:lang w:val="en-US" w:eastAsia="zh-CN"/>
              </w:rPr>
              <w:t>线路工程共5.1km。</w:t>
            </w:r>
            <w:r>
              <w:rPr>
                <w:rFonts w:hint="eastAsia" w:ascii="Times New Roman" w:hAnsi="Times New Roman" w:eastAsia="宋体" w:cs="Times New Roman"/>
                <w:b w:val="0"/>
                <w:bCs/>
                <w:caps w:val="0"/>
                <w:color w:val="auto"/>
                <w:spacing w:val="0"/>
                <w:sz w:val="24"/>
                <w:lang w:val="en-US" w:eastAsia="zh-CN"/>
              </w:rPr>
              <w:t>本工程总占地面积3.03hm</w:t>
            </w:r>
            <w:r>
              <w:rPr>
                <w:rFonts w:hint="eastAsia" w:ascii="Times New Roman" w:hAnsi="Times New Roman" w:eastAsia="宋体" w:cs="Times New Roman"/>
                <w:b w:val="0"/>
                <w:bCs/>
                <w:caps w:val="0"/>
                <w:color w:val="auto"/>
                <w:spacing w:val="0"/>
                <w:sz w:val="24"/>
                <w:vertAlign w:val="superscript"/>
                <w:lang w:val="en-US" w:eastAsia="zh-CN"/>
              </w:rPr>
              <w:t>2</w:t>
            </w:r>
            <w:r>
              <w:rPr>
                <w:rFonts w:hint="eastAsia" w:ascii="Times New Roman" w:hAnsi="Times New Roman" w:eastAsia="宋体" w:cs="Times New Roman"/>
                <w:b w:val="0"/>
                <w:bCs/>
                <w:caps w:val="0"/>
                <w:color w:val="auto"/>
                <w:spacing w:val="0"/>
                <w:sz w:val="24"/>
                <w:lang w:val="en-US" w:eastAsia="zh-CN"/>
              </w:rPr>
              <w:t>，永久占地0.l2hm</w:t>
            </w:r>
            <w:r>
              <w:rPr>
                <w:rFonts w:hint="eastAsia" w:ascii="Times New Roman" w:hAnsi="Times New Roman" w:eastAsia="宋体" w:cs="Times New Roman"/>
                <w:b w:val="0"/>
                <w:bCs/>
                <w:caps w:val="0"/>
                <w:color w:val="auto"/>
                <w:spacing w:val="0"/>
                <w:sz w:val="24"/>
                <w:vertAlign w:val="superscript"/>
                <w:lang w:val="en-US" w:eastAsia="zh-CN"/>
              </w:rPr>
              <w:t>2</w:t>
            </w:r>
            <w:r>
              <w:rPr>
                <w:rFonts w:hint="eastAsia" w:ascii="Times New Roman" w:hAnsi="Times New Roman" w:eastAsia="宋体" w:cs="Times New Roman"/>
                <w:b w:val="0"/>
                <w:bCs/>
                <w:caps w:val="0"/>
                <w:color w:val="auto"/>
                <w:spacing w:val="0"/>
                <w:sz w:val="24"/>
                <w:lang w:val="en-US" w:eastAsia="zh-CN"/>
              </w:rPr>
              <w:t>，临时占地2.9lhm</w:t>
            </w:r>
            <w:r>
              <w:rPr>
                <w:rFonts w:hint="eastAsia" w:ascii="Times New Roman" w:hAnsi="Times New Roman" w:eastAsia="宋体" w:cs="Times New Roman"/>
                <w:b w:val="0"/>
                <w:bCs/>
                <w:caps w:val="0"/>
                <w:color w:val="auto"/>
                <w:spacing w:val="0"/>
                <w:sz w:val="24"/>
                <w:vertAlign w:val="superscript"/>
                <w:lang w:val="en-US" w:eastAsia="zh-CN"/>
              </w:rPr>
              <w:t>2</w:t>
            </w:r>
            <w:r>
              <w:rPr>
                <w:rFonts w:hint="eastAsia" w:ascii="Times New Roman" w:hAnsi="Times New Roman" w:eastAsia="宋体" w:cs="Times New Roman"/>
                <w:b w:val="0"/>
                <w:bCs/>
                <w:caps w:val="0"/>
                <w:color w:val="auto"/>
                <w:spacing w:val="0"/>
                <w:sz w:val="24"/>
                <w:lang w:val="en-US" w:eastAsia="zh-CN"/>
              </w:rPr>
              <w:t>。其中输电线路塔基区占地0.l3hm</w:t>
            </w:r>
            <w:r>
              <w:rPr>
                <w:rFonts w:hint="eastAsia" w:ascii="Times New Roman" w:hAnsi="Times New Roman" w:eastAsia="宋体" w:cs="Times New Roman"/>
                <w:b w:val="0"/>
                <w:bCs/>
                <w:caps w:val="0"/>
                <w:color w:val="auto"/>
                <w:spacing w:val="0"/>
                <w:sz w:val="24"/>
                <w:vertAlign w:val="superscript"/>
                <w:lang w:val="en-US" w:eastAsia="zh-CN"/>
              </w:rPr>
              <w:t>2</w:t>
            </w:r>
            <w:r>
              <w:rPr>
                <w:rFonts w:hint="eastAsia" w:ascii="Times New Roman" w:hAnsi="Times New Roman" w:eastAsia="宋体" w:cs="Times New Roman"/>
                <w:b w:val="0"/>
                <w:bCs/>
                <w:caps w:val="0"/>
                <w:color w:val="auto"/>
                <w:spacing w:val="0"/>
                <w:sz w:val="24"/>
                <w:lang w:val="en-US" w:eastAsia="zh-CN"/>
              </w:rPr>
              <w:t>，塔基施工场地占地0.76hm2，牵张场地区占地0.30hm2，跨越施工场地占地面积0.69hm</w:t>
            </w:r>
            <w:r>
              <w:rPr>
                <w:rFonts w:hint="eastAsia" w:ascii="Times New Roman" w:hAnsi="Times New Roman" w:eastAsia="宋体" w:cs="Times New Roman"/>
                <w:b w:val="0"/>
                <w:bCs/>
                <w:caps w:val="0"/>
                <w:color w:val="auto"/>
                <w:spacing w:val="0"/>
                <w:sz w:val="24"/>
                <w:vertAlign w:val="superscript"/>
                <w:lang w:val="en-US" w:eastAsia="zh-CN"/>
              </w:rPr>
              <w:t>2</w:t>
            </w:r>
            <w:r>
              <w:rPr>
                <w:rFonts w:hint="eastAsia" w:ascii="Times New Roman" w:hAnsi="Times New Roman" w:eastAsia="宋体" w:cs="Times New Roman"/>
                <w:b w:val="0"/>
                <w:bCs/>
                <w:caps w:val="0"/>
                <w:color w:val="auto"/>
                <w:spacing w:val="0"/>
                <w:sz w:val="24"/>
                <w:lang w:val="en-US" w:eastAsia="zh-CN"/>
              </w:rPr>
              <w:t>、施工道路占地面积l.l5hm</w:t>
            </w:r>
            <w:r>
              <w:rPr>
                <w:rFonts w:hint="eastAsia" w:ascii="Times New Roman" w:hAnsi="Times New Roman" w:eastAsia="宋体" w:cs="Times New Roman"/>
                <w:b w:val="0"/>
                <w:bCs/>
                <w:caps w:val="0"/>
                <w:color w:val="auto"/>
                <w:spacing w:val="0"/>
                <w:sz w:val="24"/>
                <w:vertAlign w:val="superscript"/>
                <w:lang w:val="en-US" w:eastAsia="zh-CN"/>
              </w:rPr>
              <w:t>2</w:t>
            </w:r>
            <w:r>
              <w:rPr>
                <w:rFonts w:hint="eastAsia" w:ascii="Times New Roman" w:hAnsi="Times New Roman" w:eastAsia="宋体" w:cs="Times New Roman"/>
                <w:b w:val="0"/>
                <w:bCs/>
                <w:caps w:val="0"/>
                <w:color w:val="auto"/>
                <w:spacing w:val="0"/>
                <w:sz w:val="24"/>
                <w:lang w:val="en-US" w:eastAsia="zh-CN"/>
              </w:rPr>
              <w:t>。在占地类型中，占公共设施用地0.05hm</w:t>
            </w:r>
            <w:r>
              <w:rPr>
                <w:rFonts w:hint="eastAsia" w:ascii="Times New Roman" w:hAnsi="Times New Roman" w:eastAsia="宋体" w:cs="Times New Roman"/>
                <w:b w:val="0"/>
                <w:bCs/>
                <w:caps w:val="0"/>
                <w:color w:val="auto"/>
                <w:spacing w:val="0"/>
                <w:sz w:val="24"/>
                <w:vertAlign w:val="superscript"/>
                <w:lang w:val="en-US" w:eastAsia="zh-CN"/>
              </w:rPr>
              <w:t>2</w:t>
            </w:r>
            <w:r>
              <w:rPr>
                <w:rFonts w:hint="eastAsia" w:ascii="Times New Roman" w:hAnsi="Times New Roman" w:eastAsia="宋体" w:cs="Times New Roman"/>
                <w:b w:val="0"/>
                <w:bCs/>
                <w:caps w:val="0"/>
                <w:color w:val="auto"/>
                <w:spacing w:val="0"/>
                <w:sz w:val="24"/>
                <w:lang w:val="en-US" w:eastAsia="zh-CN"/>
              </w:rPr>
              <w:t>，占旱地l.75hm</w:t>
            </w:r>
            <w:r>
              <w:rPr>
                <w:rFonts w:hint="eastAsia" w:ascii="Times New Roman" w:hAnsi="Times New Roman" w:eastAsia="宋体" w:cs="Times New Roman"/>
                <w:b w:val="0"/>
                <w:bCs/>
                <w:caps w:val="0"/>
                <w:color w:val="auto"/>
                <w:spacing w:val="0"/>
                <w:sz w:val="24"/>
                <w:vertAlign w:val="superscript"/>
                <w:lang w:val="en-US" w:eastAsia="zh-CN"/>
              </w:rPr>
              <w:t>2</w:t>
            </w:r>
            <w:r>
              <w:rPr>
                <w:rFonts w:hint="eastAsia" w:ascii="Times New Roman" w:hAnsi="Times New Roman" w:eastAsia="宋体" w:cs="Times New Roman"/>
                <w:b w:val="0"/>
                <w:bCs/>
                <w:caps w:val="0"/>
                <w:color w:val="auto"/>
                <w:spacing w:val="0"/>
                <w:sz w:val="24"/>
                <w:lang w:val="en-US" w:eastAsia="zh-CN"/>
              </w:rPr>
              <w:t>，占其他草地0.38hm</w:t>
            </w:r>
            <w:r>
              <w:rPr>
                <w:rFonts w:hint="eastAsia" w:ascii="Times New Roman" w:hAnsi="Times New Roman" w:eastAsia="宋体" w:cs="Times New Roman"/>
                <w:b w:val="0"/>
                <w:bCs/>
                <w:caps w:val="0"/>
                <w:color w:val="auto"/>
                <w:spacing w:val="0"/>
                <w:sz w:val="24"/>
                <w:vertAlign w:val="superscript"/>
                <w:lang w:val="en-US" w:eastAsia="zh-CN"/>
              </w:rPr>
              <w:t>2</w:t>
            </w:r>
            <w:r>
              <w:rPr>
                <w:rFonts w:hint="eastAsia" w:ascii="Times New Roman" w:hAnsi="Times New Roman" w:eastAsia="宋体" w:cs="Times New Roman"/>
                <w:b w:val="0"/>
                <w:bCs/>
                <w:caps w:val="0"/>
                <w:color w:val="auto"/>
                <w:spacing w:val="0"/>
                <w:sz w:val="24"/>
                <w:lang w:val="en-US" w:eastAsia="zh-CN"/>
              </w:rPr>
              <w:t>，占其他林地0.43hm</w:t>
            </w:r>
            <w:r>
              <w:rPr>
                <w:rFonts w:hint="eastAsia" w:ascii="Times New Roman" w:hAnsi="Times New Roman" w:eastAsia="宋体" w:cs="Times New Roman"/>
                <w:b w:val="0"/>
                <w:bCs/>
                <w:caps w:val="0"/>
                <w:color w:val="auto"/>
                <w:spacing w:val="0"/>
                <w:sz w:val="24"/>
                <w:vertAlign w:val="superscript"/>
                <w:lang w:val="en-US" w:eastAsia="zh-CN"/>
              </w:rPr>
              <w:t>2</w:t>
            </w:r>
            <w:r>
              <w:rPr>
                <w:rFonts w:hint="eastAsia" w:ascii="Times New Roman" w:hAnsi="Times New Roman" w:eastAsia="宋体" w:cs="Times New Roman"/>
                <w:b w:val="0"/>
                <w:bCs/>
                <w:caps w:val="0"/>
                <w:color w:val="auto"/>
                <w:spacing w:val="0"/>
                <w:sz w:val="24"/>
                <w:lang w:val="en-US" w:eastAsia="zh-CN"/>
              </w:rPr>
              <w:t>，占乔木林地0.47hm</w:t>
            </w:r>
            <w:r>
              <w:rPr>
                <w:rFonts w:hint="eastAsia" w:ascii="Times New Roman" w:hAnsi="Times New Roman" w:eastAsia="宋体" w:cs="Times New Roman"/>
                <w:b w:val="0"/>
                <w:bCs/>
                <w:caps w:val="0"/>
                <w:color w:val="auto"/>
                <w:spacing w:val="0"/>
                <w:sz w:val="24"/>
                <w:vertAlign w:val="superscript"/>
                <w:lang w:val="en-US" w:eastAsia="zh-CN"/>
              </w:rPr>
              <w:t>2</w:t>
            </w:r>
            <w:r>
              <w:rPr>
                <w:rFonts w:hint="eastAsia" w:ascii="Times New Roman" w:hAnsi="Times New Roman" w:eastAsia="宋体" w:cs="Times New Roman"/>
                <w:b w:val="0"/>
                <w:bCs/>
                <w:caps w:val="0"/>
                <w:color w:val="auto"/>
                <w:spacing w:val="0"/>
                <w:sz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80" w:firstLineChars="200"/>
              <w:textAlignment w:val="auto"/>
              <w:rPr>
                <w:rFonts w:hint="eastAsia" w:ascii="Times New Roman" w:hAnsi="Times New Roman" w:eastAsia="宋体" w:cs="Times New Roman"/>
                <w:b w:val="0"/>
                <w:bCs/>
                <w:caps w:val="0"/>
                <w:color w:val="auto"/>
                <w:spacing w:val="0"/>
                <w:sz w:val="24"/>
                <w:lang w:val="en-US" w:eastAsia="zh-CN"/>
              </w:rPr>
            </w:pPr>
            <w:r>
              <w:rPr>
                <w:rFonts w:hint="eastAsia" w:ascii="Times New Roman" w:hAnsi="Times New Roman" w:eastAsia="宋体" w:cs="Times New Roman"/>
                <w:b w:val="0"/>
                <w:bCs/>
                <w:caps w:val="0"/>
                <w:color w:val="auto"/>
                <w:spacing w:val="0"/>
                <w:sz w:val="24"/>
                <w:lang w:val="en-US" w:eastAsia="zh-CN"/>
              </w:rPr>
              <w:t>（7）工程组成及规模：</w:t>
            </w:r>
            <w:r>
              <w:rPr>
                <w:rFonts w:hint="eastAsia" w:ascii="Times New Roman" w:hAnsi="Times New Roman" w:eastAsia="宋体" w:cs="Times New Roman"/>
                <w:color w:val="auto"/>
                <w:sz w:val="24"/>
                <w:szCs w:val="24"/>
                <w:vertAlign w:val="baseline"/>
                <w:lang w:val="en-US" w:eastAsia="zh-CN"/>
              </w:rPr>
              <w:t>线路工程为新建220kV架空线路5.1千米，新建通信光缆10.2千米。新建单回架空线路，线路亘长5.1km，新建杆塔21基。导线采用1×JL3/G1A-400/35型高导电率钢芯铝绞线，地线采用OPGW-48芯光缆兼地线。起点为马山220kV变电站，迄点为国宏100MW储能站。</w:t>
            </w:r>
          </w:p>
          <w:p>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80" w:firstLineChars="200"/>
              <w:textAlignment w:val="auto"/>
              <w:rPr>
                <w:rFonts w:hint="eastAsia" w:ascii="Times New Roman" w:hAnsi="Times New Roman" w:eastAsia="宋体" w:cs="Times New Roman"/>
                <w:b w:val="0"/>
                <w:bCs/>
                <w:caps w:val="0"/>
                <w:color w:val="auto"/>
                <w:spacing w:val="0"/>
                <w:sz w:val="24"/>
                <w:lang w:val="en-US" w:eastAsia="zh-CN"/>
              </w:rPr>
            </w:pPr>
            <w:r>
              <w:rPr>
                <w:rFonts w:hint="eastAsia" w:ascii="Times New Roman" w:hAnsi="Times New Roman" w:eastAsia="宋体" w:cs="Times New Roman"/>
                <w:b w:val="0"/>
                <w:bCs/>
                <w:caps w:val="0"/>
                <w:color w:val="auto"/>
                <w:spacing w:val="0"/>
                <w:sz w:val="24"/>
                <w:lang w:val="en-US" w:eastAsia="zh-CN"/>
              </w:rPr>
              <w:t>项目工程建设内容见表2-1。</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6" w:firstLineChars="200"/>
              <w:jc w:val="center"/>
              <w:textAlignment w:val="auto"/>
              <w:rPr>
                <w:rFonts w:hint="eastAsia" w:ascii="Times New Roman" w:hAnsi="Times New Roman" w:eastAsia="宋体" w:cs="Times New Roman"/>
                <w:b/>
                <w:bCs/>
                <w:color w:val="auto"/>
                <w:spacing w:val="6"/>
                <w:sz w:val="21"/>
                <w:szCs w:val="21"/>
              </w:rPr>
            </w:pPr>
            <w:r>
              <w:rPr>
                <w:rFonts w:hint="eastAsia" w:ascii="Times New Roman" w:hAnsi="Times New Roman" w:eastAsia="宋体" w:cs="Times New Roman"/>
                <w:b/>
                <w:bCs/>
                <w:color w:val="auto"/>
                <w:spacing w:val="6"/>
                <w:sz w:val="21"/>
                <w:szCs w:val="21"/>
              </w:rPr>
              <w:t>表</w:t>
            </w:r>
            <w:r>
              <w:rPr>
                <w:rFonts w:hint="eastAsia" w:ascii="Times New Roman" w:hAnsi="Times New Roman" w:eastAsia="宋体" w:cs="Times New Roman"/>
                <w:b/>
                <w:bCs/>
                <w:color w:val="auto"/>
                <w:spacing w:val="6"/>
                <w:sz w:val="21"/>
                <w:szCs w:val="21"/>
                <w:lang w:val="en-US" w:eastAsia="zh-CN"/>
              </w:rPr>
              <w:t xml:space="preserve">2-1 </w:t>
            </w:r>
            <w:r>
              <w:rPr>
                <w:rFonts w:hint="eastAsia" w:ascii="Times New Roman" w:hAnsi="Times New Roman" w:eastAsia="宋体" w:cs="Times New Roman"/>
                <w:b/>
                <w:bCs/>
                <w:color w:val="auto"/>
                <w:spacing w:val="6"/>
                <w:sz w:val="21"/>
                <w:szCs w:val="21"/>
              </w:rPr>
              <w:t xml:space="preserve">  项目组成及规模一览表</w:t>
            </w:r>
          </w:p>
          <w:tbl>
            <w:tblPr>
              <w:tblStyle w:val="31"/>
              <w:tblW w:w="4982"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11"/>
              <w:gridCol w:w="375"/>
              <w:gridCol w:w="786"/>
              <w:gridCol w:w="691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4" w:hRule="atLeast"/>
              </w:trPr>
              <w:tc>
                <w:tcPr>
                  <w:tcW w:w="351"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rPr>
                  </w:pPr>
                  <w:r>
                    <w:rPr>
                      <w:rFonts w:ascii="宋体" w:hAnsi="宋体" w:eastAsia="宋体" w:cs="宋体"/>
                      <w:color w:val="auto"/>
                      <w:spacing w:val="3"/>
                      <w:sz w:val="21"/>
                      <w:szCs w:val="21"/>
                    </w:rPr>
                    <w:t>工程名称</w:t>
                  </w:r>
                </w:p>
              </w:tc>
              <w:tc>
                <w:tcPr>
                  <w:tcW w:w="4648"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rPr>
                  </w:pPr>
                  <w:r>
                    <w:rPr>
                      <w:rFonts w:ascii="宋体" w:hAnsi="宋体" w:eastAsia="宋体" w:cs="宋体"/>
                      <w:color w:val="auto"/>
                      <w:spacing w:val="6"/>
                      <w:sz w:val="21"/>
                      <w:szCs w:val="21"/>
                    </w:rPr>
                    <w:t>建设内容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351"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rPr>
                  </w:pPr>
                  <w:r>
                    <w:rPr>
                      <w:rFonts w:ascii="宋体" w:hAnsi="宋体" w:eastAsia="宋体" w:cs="宋体"/>
                      <w:color w:val="auto"/>
                      <w:spacing w:val="3"/>
                      <w:sz w:val="21"/>
                      <w:szCs w:val="21"/>
                    </w:rPr>
                    <w:t>主体工程</w:t>
                  </w:r>
                </w:p>
              </w:tc>
              <w:tc>
                <w:tcPr>
                  <w:tcW w:w="668"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color w:val="auto"/>
                      <w:sz w:val="21"/>
                      <w:szCs w:val="21"/>
                      <w:lang w:eastAsia="zh-CN"/>
                    </w:rPr>
                  </w:pPr>
                  <w:r>
                    <w:rPr>
                      <w:rFonts w:hint="default" w:ascii="Times New Roman" w:hAnsi="Times New Roman" w:eastAsia="宋体" w:cs="Times New Roman"/>
                      <w:color w:val="auto"/>
                      <w:spacing w:val="7"/>
                      <w:sz w:val="21"/>
                      <w:szCs w:val="21"/>
                    </w:rPr>
                    <w:t>线</w:t>
                  </w:r>
                  <w:r>
                    <w:rPr>
                      <w:rFonts w:hint="default" w:ascii="Times New Roman" w:hAnsi="Times New Roman" w:eastAsia="宋体" w:cs="Times New Roman"/>
                      <w:color w:val="auto"/>
                      <w:sz w:val="21"/>
                      <w:szCs w:val="21"/>
                    </w:rPr>
                    <w:t>路</w:t>
                  </w:r>
                  <w:r>
                    <w:rPr>
                      <w:rFonts w:hint="default" w:ascii="Times New Roman" w:hAnsi="Times New Roman" w:eastAsia="宋体" w:cs="Times New Roman"/>
                      <w:color w:val="auto"/>
                      <w:sz w:val="21"/>
                      <w:szCs w:val="21"/>
                      <w:lang w:val="en-US" w:eastAsia="zh-CN"/>
                    </w:rPr>
                    <w:t>工程</w:t>
                  </w:r>
                </w:p>
              </w:tc>
              <w:tc>
                <w:tcPr>
                  <w:tcW w:w="398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eastAsia" w:ascii="宋体" w:hAnsi="宋体" w:eastAsia="宋体" w:cs="宋体"/>
                      <w:color w:val="auto"/>
                      <w:sz w:val="21"/>
                      <w:szCs w:val="21"/>
                      <w:lang w:eastAsia="zh-CN"/>
                    </w:rPr>
                  </w:pPr>
                  <w:r>
                    <w:rPr>
                      <w:rFonts w:hint="default" w:ascii="Times New Roman" w:hAnsi="Times New Roman" w:eastAsia="宋体" w:cs="Times New Roman"/>
                      <w:color w:val="auto"/>
                      <w:spacing w:val="6"/>
                      <w:sz w:val="21"/>
                      <w:szCs w:val="21"/>
                    </w:rPr>
                    <w:t>新建220kV架空线路5.1千米，新建通信光缆10.2千米。新建单回架空线路，线路亘长5.1km，新建杆塔21基</w:t>
                  </w:r>
                  <w:r>
                    <w:rPr>
                      <w:rFonts w:hint="eastAsia" w:ascii="Times New Roman" w:hAnsi="Times New Roman" w:eastAsia="宋体" w:cs="Times New Roman"/>
                      <w:color w:val="auto"/>
                      <w:spacing w:val="6"/>
                      <w:sz w:val="21"/>
                      <w:szCs w:val="21"/>
                      <w:lang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8" w:hRule="atLeast"/>
              </w:trPr>
              <w:tc>
                <w:tcPr>
                  <w:tcW w:w="351"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rPr>
                  </w:pPr>
                  <w:r>
                    <w:rPr>
                      <w:rFonts w:ascii="宋体" w:hAnsi="宋体" w:eastAsia="宋体" w:cs="宋体"/>
                      <w:color w:val="auto"/>
                      <w:spacing w:val="-1"/>
                      <w:sz w:val="21"/>
                      <w:szCs w:val="21"/>
                    </w:rPr>
                    <w:t>临时</w:t>
                  </w:r>
                  <w:r>
                    <w:rPr>
                      <w:rFonts w:ascii="宋体" w:hAnsi="宋体" w:eastAsia="宋体" w:cs="宋体"/>
                      <w:color w:val="auto"/>
                      <w:spacing w:val="3"/>
                      <w:sz w:val="21"/>
                      <w:szCs w:val="21"/>
                    </w:rPr>
                    <w:t>工程</w:t>
                  </w:r>
                </w:p>
              </w:tc>
              <w:tc>
                <w:tcPr>
                  <w:tcW w:w="4648"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7"/>
                      <w:sz w:val="21"/>
                      <w:szCs w:val="21"/>
                      <w:lang w:val="en-US" w:eastAsia="zh-CN"/>
                    </w:rPr>
                  </w:pPr>
                  <w:r>
                    <w:rPr>
                      <w:rFonts w:hint="eastAsia" w:ascii="Times New Roman" w:hAnsi="Times New Roman" w:eastAsia="宋体" w:cs="Times New Roman"/>
                      <w:color w:val="auto"/>
                      <w:spacing w:val="7"/>
                      <w:sz w:val="21"/>
                      <w:szCs w:val="21"/>
                      <w:lang w:val="en-US" w:eastAsia="zh-CN"/>
                    </w:rPr>
                    <w:t>本项目临时工程主要为线路工程涉及的塔基区、牵张场地区、施工道路等，施工期设置围挡，做好排水、拦挡和遮盖等临时防护措施，施工结束后随之拆除。</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90" w:hRule="atLeast"/>
              </w:trPr>
              <w:tc>
                <w:tcPr>
                  <w:tcW w:w="351"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rPr>
                  </w:pPr>
                  <w:r>
                    <w:rPr>
                      <w:rFonts w:ascii="宋体" w:hAnsi="宋体" w:eastAsia="宋体" w:cs="宋体"/>
                      <w:color w:val="auto"/>
                      <w:spacing w:val="4"/>
                      <w:sz w:val="21"/>
                      <w:szCs w:val="21"/>
                    </w:rPr>
                    <w:t>环保</w:t>
                  </w:r>
                  <w:r>
                    <w:rPr>
                      <w:rFonts w:ascii="宋体" w:hAnsi="宋体" w:eastAsia="宋体" w:cs="宋体"/>
                      <w:color w:val="auto"/>
                      <w:spacing w:val="3"/>
                      <w:sz w:val="21"/>
                      <w:szCs w:val="21"/>
                    </w:rPr>
                    <w:t>工程</w:t>
                  </w:r>
                </w:p>
              </w:tc>
              <w:tc>
                <w:tcPr>
                  <w:tcW w:w="216" w:type="pct"/>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rPr>
                  </w:pPr>
                  <w:r>
                    <w:rPr>
                      <w:rFonts w:ascii="宋体" w:hAnsi="宋体" w:eastAsia="宋体" w:cs="宋体"/>
                      <w:color w:val="auto"/>
                      <w:spacing w:val="5"/>
                      <w:sz w:val="21"/>
                      <w:szCs w:val="21"/>
                    </w:rPr>
                    <w:t>废气</w:t>
                  </w:r>
                </w:p>
              </w:tc>
              <w:tc>
                <w:tcPr>
                  <w:tcW w:w="452"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rPr>
                  </w:pPr>
                  <w:r>
                    <w:rPr>
                      <w:rFonts w:ascii="宋体" w:hAnsi="宋体" w:eastAsia="宋体" w:cs="宋体"/>
                      <w:color w:val="auto"/>
                      <w:spacing w:val="7"/>
                      <w:sz w:val="21"/>
                      <w:szCs w:val="21"/>
                    </w:rPr>
                    <w:t>施工期</w:t>
                  </w:r>
                </w:p>
              </w:tc>
              <w:tc>
                <w:tcPr>
                  <w:tcW w:w="398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jc w:val="both"/>
                    <w:textAlignment w:val="auto"/>
                    <w:rPr>
                      <w:rFonts w:ascii="宋体" w:hAnsi="宋体" w:eastAsia="宋体" w:cs="宋体"/>
                      <w:color w:val="auto"/>
                      <w:sz w:val="21"/>
                      <w:szCs w:val="21"/>
                    </w:rPr>
                  </w:pPr>
                  <w:r>
                    <w:rPr>
                      <w:rFonts w:ascii="宋体" w:hAnsi="宋体" w:eastAsia="宋体" w:cs="宋体"/>
                      <w:color w:val="auto"/>
                      <w:spacing w:val="6"/>
                      <w:sz w:val="21"/>
                      <w:szCs w:val="21"/>
                    </w:rPr>
                    <w:t>主要为施工扬尘，现场设置硬质围挡，高度不低于</w:t>
                  </w:r>
                  <w:r>
                    <w:rPr>
                      <w:rFonts w:ascii="Times New Roman" w:hAnsi="Times New Roman" w:eastAsia="Times New Roman" w:cs="Times New Roman"/>
                      <w:color w:val="auto"/>
                      <w:spacing w:val="6"/>
                      <w:sz w:val="21"/>
                      <w:szCs w:val="21"/>
                    </w:rPr>
                    <w:t>2</w:t>
                  </w:r>
                  <w:r>
                    <w:rPr>
                      <w:rFonts w:ascii="Times New Roman" w:hAnsi="Times New Roman" w:eastAsia="Times New Roman" w:cs="Times New Roman"/>
                      <w:color w:val="auto"/>
                      <w:spacing w:val="5"/>
                      <w:sz w:val="21"/>
                      <w:szCs w:val="21"/>
                    </w:rPr>
                    <w:t>.5</w:t>
                  </w:r>
                  <w:r>
                    <w:rPr>
                      <w:rFonts w:ascii="宋体" w:hAnsi="宋体" w:eastAsia="宋体" w:cs="宋体"/>
                      <w:color w:val="auto"/>
                      <w:spacing w:val="5"/>
                      <w:sz w:val="21"/>
                      <w:szCs w:val="21"/>
                    </w:rPr>
                    <w:t>米；建立</w:t>
                  </w:r>
                  <w:r>
                    <w:rPr>
                      <w:rFonts w:ascii="宋体" w:hAnsi="宋体" w:eastAsia="宋体" w:cs="宋体"/>
                      <w:color w:val="auto"/>
                      <w:spacing w:val="11"/>
                      <w:sz w:val="21"/>
                      <w:szCs w:val="21"/>
                    </w:rPr>
                    <w:t>健全施工扬尘治理管控体系，确保在施工过程中</w:t>
                  </w:r>
                  <w:r>
                    <w:rPr>
                      <w:rFonts w:ascii="宋体" w:hAnsi="宋体" w:eastAsia="宋体" w:cs="宋体"/>
                      <w:color w:val="auto"/>
                      <w:spacing w:val="10"/>
                      <w:sz w:val="21"/>
                      <w:szCs w:val="21"/>
                    </w:rPr>
                    <w:t>做到</w:t>
                  </w:r>
                  <w:r>
                    <w:rPr>
                      <w:rFonts w:ascii="Times New Roman" w:hAnsi="Times New Roman" w:eastAsia="Times New Roman" w:cs="Times New Roman"/>
                      <w:color w:val="auto"/>
                      <w:spacing w:val="10"/>
                      <w:sz w:val="21"/>
                      <w:szCs w:val="21"/>
                    </w:rPr>
                    <w:t>“</w:t>
                  </w:r>
                  <w:r>
                    <w:rPr>
                      <w:rFonts w:ascii="宋体" w:hAnsi="宋体" w:eastAsia="宋体" w:cs="宋体"/>
                      <w:color w:val="auto"/>
                      <w:spacing w:val="10"/>
                      <w:sz w:val="21"/>
                      <w:szCs w:val="21"/>
                    </w:rPr>
                    <w:t>七个百分之百</w:t>
                  </w:r>
                  <w:r>
                    <w:rPr>
                      <w:rFonts w:ascii="Times New Roman" w:hAnsi="Times New Roman" w:eastAsia="Times New Roman" w:cs="Times New Roman"/>
                      <w:color w:val="auto"/>
                      <w:spacing w:val="10"/>
                      <w:sz w:val="21"/>
                      <w:szCs w:val="21"/>
                    </w:rPr>
                    <w:t>”</w:t>
                  </w:r>
                  <w:r>
                    <w:rPr>
                      <w:rFonts w:ascii="宋体" w:hAnsi="宋体" w:eastAsia="宋体" w:cs="宋体"/>
                      <w:color w:val="auto"/>
                      <w:spacing w:val="10"/>
                      <w:sz w:val="21"/>
                      <w:szCs w:val="21"/>
                    </w:rPr>
                    <w:t>，出入口必须配备车辆冲洗设施，设置排水、</w:t>
                  </w:r>
                  <w:r>
                    <w:rPr>
                      <w:rFonts w:ascii="宋体" w:hAnsi="宋体" w:eastAsia="宋体" w:cs="宋体"/>
                      <w:color w:val="auto"/>
                      <w:spacing w:val="9"/>
                      <w:sz w:val="21"/>
                      <w:szCs w:val="21"/>
                    </w:rPr>
                    <w:t>泥浆沉淀池</w:t>
                  </w:r>
                  <w:r>
                    <w:rPr>
                      <w:rFonts w:ascii="宋体" w:hAnsi="宋体" w:eastAsia="宋体" w:cs="宋体"/>
                      <w:color w:val="auto"/>
                      <w:spacing w:val="7"/>
                      <w:sz w:val="21"/>
                      <w:szCs w:val="21"/>
                    </w:rPr>
                    <w:t>等设施，建立冲洗制度并设专人管理；施工现场的</w:t>
                  </w:r>
                  <w:r>
                    <w:rPr>
                      <w:rFonts w:ascii="宋体" w:hAnsi="宋体" w:eastAsia="宋体" w:cs="宋体"/>
                      <w:color w:val="auto"/>
                      <w:spacing w:val="6"/>
                      <w:sz w:val="21"/>
                      <w:szCs w:val="21"/>
                    </w:rPr>
                    <w:t>裸露场地必须</w:t>
                  </w:r>
                  <w:r>
                    <w:rPr>
                      <w:rFonts w:ascii="宋体" w:hAnsi="宋体" w:eastAsia="宋体" w:cs="宋体"/>
                      <w:color w:val="auto"/>
                      <w:spacing w:val="7"/>
                      <w:sz w:val="21"/>
                      <w:szCs w:val="21"/>
                    </w:rPr>
                    <w:t>采取覆盖、固化或绿化等防尘措施；施工现</w:t>
                  </w:r>
                  <w:r>
                    <w:rPr>
                      <w:rFonts w:ascii="宋体" w:hAnsi="宋体" w:eastAsia="宋体" w:cs="宋体"/>
                      <w:color w:val="auto"/>
                      <w:spacing w:val="6"/>
                      <w:sz w:val="21"/>
                      <w:szCs w:val="21"/>
                    </w:rPr>
                    <w:t>场必须建立洒水清扫</w:t>
                  </w:r>
                  <w:r>
                    <w:rPr>
                      <w:rFonts w:ascii="宋体" w:hAnsi="宋体" w:eastAsia="宋体" w:cs="宋体"/>
                      <w:color w:val="auto"/>
                      <w:spacing w:val="8"/>
                      <w:sz w:val="21"/>
                      <w:szCs w:val="21"/>
                    </w:rPr>
                    <w:t>抑尘制度，配备洒水设备。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5" w:hRule="atLeast"/>
              </w:trPr>
              <w:tc>
                <w:tcPr>
                  <w:tcW w:w="35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color w:val="auto"/>
                      <w:sz w:val="21"/>
                      <w:szCs w:val="21"/>
                    </w:rPr>
                  </w:pPr>
                </w:p>
              </w:tc>
              <w:tc>
                <w:tcPr>
                  <w:tcW w:w="216" w:type="pct"/>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color w:val="auto"/>
                      <w:sz w:val="21"/>
                      <w:szCs w:val="21"/>
                    </w:rPr>
                  </w:pPr>
                </w:p>
              </w:tc>
              <w:tc>
                <w:tcPr>
                  <w:tcW w:w="452"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rPr>
                  </w:pPr>
                  <w:r>
                    <w:rPr>
                      <w:rFonts w:ascii="宋体" w:hAnsi="宋体" w:eastAsia="宋体" w:cs="宋体"/>
                      <w:color w:val="auto"/>
                      <w:spacing w:val="6"/>
                      <w:sz w:val="21"/>
                      <w:szCs w:val="21"/>
                    </w:rPr>
                    <w:t>运营期</w:t>
                  </w:r>
                </w:p>
              </w:tc>
              <w:tc>
                <w:tcPr>
                  <w:tcW w:w="398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jc w:val="left"/>
                    <w:textAlignment w:val="auto"/>
                    <w:rPr>
                      <w:rFonts w:ascii="宋体" w:hAnsi="宋体" w:eastAsia="宋体" w:cs="宋体"/>
                      <w:color w:val="auto"/>
                      <w:sz w:val="21"/>
                      <w:szCs w:val="21"/>
                    </w:rPr>
                  </w:pPr>
                  <w:r>
                    <w:rPr>
                      <w:rFonts w:ascii="宋体" w:hAnsi="宋体" w:eastAsia="宋体" w:cs="宋体"/>
                      <w:color w:val="auto"/>
                      <w:spacing w:val="8"/>
                      <w:sz w:val="21"/>
                      <w:szCs w:val="21"/>
                    </w:rPr>
                    <w:t>本项目运营期无废气产生。</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30" w:hRule="atLeast"/>
              </w:trPr>
              <w:tc>
                <w:tcPr>
                  <w:tcW w:w="35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color w:val="auto"/>
                      <w:sz w:val="21"/>
                      <w:szCs w:val="21"/>
                    </w:rPr>
                  </w:pPr>
                </w:p>
              </w:tc>
              <w:tc>
                <w:tcPr>
                  <w:tcW w:w="216"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rPr>
                  </w:pPr>
                  <w:r>
                    <w:rPr>
                      <w:rFonts w:ascii="宋体" w:hAnsi="宋体" w:eastAsia="宋体" w:cs="宋体"/>
                      <w:color w:val="auto"/>
                      <w:spacing w:val="5"/>
                      <w:sz w:val="21"/>
                      <w:szCs w:val="21"/>
                    </w:rPr>
                    <w:t>废水</w:t>
                  </w:r>
                </w:p>
              </w:tc>
              <w:tc>
                <w:tcPr>
                  <w:tcW w:w="452"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z w:val="21"/>
                      <w:szCs w:val="21"/>
                    </w:rPr>
                  </w:pPr>
                  <w:r>
                    <w:rPr>
                      <w:rFonts w:ascii="宋体" w:hAnsi="宋体" w:eastAsia="宋体" w:cs="宋体"/>
                      <w:color w:val="auto"/>
                      <w:spacing w:val="7"/>
                      <w:sz w:val="21"/>
                      <w:szCs w:val="21"/>
                    </w:rPr>
                    <w:t>施工期</w:t>
                  </w:r>
                </w:p>
              </w:tc>
              <w:tc>
                <w:tcPr>
                  <w:tcW w:w="398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jc w:val="left"/>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施工过程中产生的建筑垃圾和生活垃圾分类收集，并定期清运处理。输电线路施工实行表土剥离，分层开挖，分层回填，弃土用于抬高基础的外露高度。本项目不设置弃土场和取土场。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6" w:hRule="atLeast"/>
              </w:trPr>
              <w:tc>
                <w:tcPr>
                  <w:tcW w:w="35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color w:val="auto"/>
                      <w:sz w:val="21"/>
                      <w:szCs w:val="21"/>
                    </w:rPr>
                  </w:pPr>
                </w:p>
              </w:tc>
              <w:tc>
                <w:tcPr>
                  <w:tcW w:w="21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5"/>
                      <w:sz w:val="21"/>
                      <w:szCs w:val="21"/>
                    </w:rPr>
                  </w:pPr>
                </w:p>
              </w:tc>
              <w:tc>
                <w:tcPr>
                  <w:tcW w:w="452"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宋体" w:hAnsi="宋体" w:eastAsia="宋体" w:cs="宋体"/>
                      <w:color w:val="auto"/>
                      <w:spacing w:val="7"/>
                      <w:sz w:val="21"/>
                      <w:szCs w:val="21"/>
                      <w:lang w:val="en-US" w:eastAsia="zh-CN"/>
                    </w:rPr>
                  </w:pPr>
                  <w:r>
                    <w:rPr>
                      <w:rFonts w:ascii="宋体" w:hAnsi="宋体" w:eastAsia="宋体" w:cs="宋体"/>
                      <w:color w:val="auto"/>
                      <w:spacing w:val="6"/>
                      <w:sz w:val="21"/>
                      <w:szCs w:val="21"/>
                    </w:rPr>
                    <w:t>运营期</w:t>
                  </w:r>
                </w:p>
              </w:tc>
              <w:tc>
                <w:tcPr>
                  <w:tcW w:w="398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jc w:val="left"/>
                    <w:textAlignment w:val="auto"/>
                    <w:rPr>
                      <w:rFonts w:hint="default" w:ascii="宋体" w:hAnsi="宋体" w:eastAsia="宋体" w:cs="宋体"/>
                      <w:color w:val="auto"/>
                      <w:spacing w:val="5"/>
                      <w:sz w:val="21"/>
                      <w:szCs w:val="21"/>
                      <w:lang w:val="en-US" w:eastAsia="zh-CN"/>
                    </w:rPr>
                  </w:pPr>
                  <w:r>
                    <w:rPr>
                      <w:rFonts w:ascii="宋体" w:hAnsi="宋体" w:eastAsia="宋体" w:cs="宋体"/>
                      <w:color w:val="auto"/>
                      <w:spacing w:val="8"/>
                      <w:sz w:val="21"/>
                      <w:szCs w:val="21"/>
                    </w:rPr>
                    <w:t>本项目</w:t>
                  </w:r>
                  <w:r>
                    <w:rPr>
                      <w:rFonts w:hint="eastAsia" w:ascii="宋体" w:hAnsi="宋体" w:eastAsia="宋体" w:cs="宋体"/>
                      <w:color w:val="auto"/>
                      <w:spacing w:val="8"/>
                      <w:sz w:val="21"/>
                      <w:szCs w:val="21"/>
                    </w:rPr>
                    <w:t>运营期</w:t>
                  </w:r>
                  <w:r>
                    <w:rPr>
                      <w:rFonts w:hint="eastAsia" w:ascii="宋体" w:hAnsi="宋体" w:eastAsia="宋体" w:cs="宋体"/>
                      <w:color w:val="auto"/>
                      <w:spacing w:val="8"/>
                      <w:sz w:val="21"/>
                      <w:szCs w:val="21"/>
                      <w:lang w:val="en-US" w:eastAsia="zh-CN"/>
                    </w:rPr>
                    <w:t>无废水产生。</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30" w:hRule="atLeast"/>
              </w:trPr>
              <w:tc>
                <w:tcPr>
                  <w:tcW w:w="35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color w:val="auto"/>
                      <w:sz w:val="21"/>
                      <w:szCs w:val="21"/>
                    </w:rPr>
                  </w:pPr>
                </w:p>
              </w:tc>
              <w:tc>
                <w:tcPr>
                  <w:tcW w:w="216" w:type="pct"/>
                  <w:vMerge w:val="restar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宋体" w:hAnsi="宋体" w:eastAsia="宋体" w:cs="宋体"/>
                      <w:color w:val="auto"/>
                      <w:kern w:val="2"/>
                      <w:sz w:val="21"/>
                      <w:szCs w:val="21"/>
                      <w:lang w:val="en-US" w:eastAsia="zh-CN" w:bidi="ar-SA"/>
                    </w:rPr>
                  </w:pPr>
                  <w:r>
                    <w:rPr>
                      <w:rFonts w:ascii="宋体" w:hAnsi="宋体" w:eastAsia="宋体" w:cs="宋体"/>
                      <w:color w:val="auto"/>
                      <w:spacing w:val="-1"/>
                      <w:sz w:val="21"/>
                      <w:szCs w:val="21"/>
                    </w:rPr>
                    <w:t>噪声</w:t>
                  </w:r>
                </w:p>
              </w:tc>
              <w:tc>
                <w:tcPr>
                  <w:tcW w:w="452" w:type="pct"/>
                  <w:tcBorders>
                    <w:bottom w:val="single" w:color="000000" w:sz="6"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宋体" w:hAnsi="宋体" w:eastAsia="宋体" w:cs="宋体"/>
                      <w:color w:val="auto"/>
                      <w:kern w:val="2"/>
                      <w:sz w:val="21"/>
                      <w:szCs w:val="21"/>
                      <w:lang w:val="en-US" w:eastAsia="zh-CN" w:bidi="ar-SA"/>
                    </w:rPr>
                  </w:pPr>
                  <w:r>
                    <w:rPr>
                      <w:rFonts w:ascii="宋体" w:hAnsi="宋体" w:eastAsia="宋体" w:cs="宋体"/>
                      <w:color w:val="auto"/>
                      <w:spacing w:val="7"/>
                      <w:sz w:val="21"/>
                      <w:szCs w:val="21"/>
                    </w:rPr>
                    <w:t>施工期</w:t>
                  </w:r>
                </w:p>
              </w:tc>
              <w:tc>
                <w:tcPr>
                  <w:tcW w:w="3980" w:type="pct"/>
                  <w:tcBorders>
                    <w:bottom w:val="single" w:color="000000" w:sz="6"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jc w:val="left"/>
                    <w:textAlignment w:val="auto"/>
                    <w:rPr>
                      <w:rFonts w:ascii="宋体" w:hAnsi="宋体" w:eastAsia="宋体" w:cs="宋体"/>
                      <w:color w:val="auto"/>
                      <w:kern w:val="2"/>
                      <w:sz w:val="21"/>
                      <w:szCs w:val="21"/>
                      <w:lang w:val="en-US" w:eastAsia="zh-CN" w:bidi="ar-SA"/>
                    </w:rPr>
                  </w:pPr>
                  <w:r>
                    <w:rPr>
                      <w:rFonts w:ascii="宋体" w:hAnsi="宋体" w:eastAsia="宋体" w:cs="宋体"/>
                      <w:color w:val="auto"/>
                      <w:spacing w:val="7"/>
                      <w:sz w:val="21"/>
                      <w:szCs w:val="21"/>
                    </w:rPr>
                    <w:t>施工期：通过使用低噪声设备，合理安排施工作业</w:t>
                  </w:r>
                  <w:r>
                    <w:rPr>
                      <w:rFonts w:ascii="宋体" w:hAnsi="宋体" w:eastAsia="宋体" w:cs="宋体"/>
                      <w:color w:val="auto"/>
                      <w:spacing w:val="6"/>
                      <w:sz w:val="21"/>
                      <w:szCs w:val="21"/>
                    </w:rPr>
                    <w:t>时间，对施工区外部采用围挡，限制施工车辆行驶速度等降低噪声对周边环境</w:t>
                  </w:r>
                  <w:r>
                    <w:rPr>
                      <w:rFonts w:ascii="宋体" w:hAnsi="宋体" w:eastAsia="宋体" w:cs="宋体"/>
                      <w:color w:val="auto"/>
                      <w:spacing w:val="3"/>
                      <w:sz w:val="21"/>
                      <w:szCs w:val="21"/>
                    </w:rPr>
                    <w:t>影响；</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30" w:hRule="atLeast"/>
              </w:trPr>
              <w:tc>
                <w:tcPr>
                  <w:tcW w:w="35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color w:val="auto"/>
                      <w:sz w:val="21"/>
                      <w:szCs w:val="21"/>
                    </w:rPr>
                  </w:pPr>
                </w:p>
              </w:tc>
              <w:tc>
                <w:tcPr>
                  <w:tcW w:w="21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5"/>
                      <w:sz w:val="21"/>
                      <w:szCs w:val="21"/>
                    </w:rPr>
                  </w:pPr>
                </w:p>
              </w:tc>
              <w:tc>
                <w:tcPr>
                  <w:tcW w:w="452"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宋体" w:hAnsi="宋体" w:eastAsia="宋体" w:cs="宋体"/>
                      <w:color w:val="auto"/>
                      <w:kern w:val="2"/>
                      <w:sz w:val="21"/>
                      <w:szCs w:val="21"/>
                      <w:lang w:val="en-US" w:eastAsia="zh-CN" w:bidi="ar-SA"/>
                    </w:rPr>
                  </w:pPr>
                  <w:r>
                    <w:rPr>
                      <w:rFonts w:ascii="宋体" w:hAnsi="宋体" w:eastAsia="宋体" w:cs="宋体"/>
                      <w:color w:val="auto"/>
                      <w:spacing w:val="6"/>
                      <w:sz w:val="21"/>
                      <w:szCs w:val="21"/>
                    </w:rPr>
                    <w:t>运营期</w:t>
                  </w:r>
                </w:p>
              </w:tc>
              <w:tc>
                <w:tcPr>
                  <w:tcW w:w="3980"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jc w:val="left"/>
                    <w:textAlignment w:val="auto"/>
                    <w:rPr>
                      <w:rFonts w:ascii="宋体" w:hAnsi="宋体" w:eastAsia="宋体" w:cs="宋体"/>
                      <w:color w:val="auto"/>
                      <w:kern w:val="2"/>
                      <w:sz w:val="21"/>
                      <w:szCs w:val="21"/>
                      <w:lang w:val="en-US" w:eastAsia="zh-CN" w:bidi="ar-SA"/>
                    </w:rPr>
                  </w:pPr>
                  <w:r>
                    <w:rPr>
                      <w:rFonts w:ascii="宋体" w:hAnsi="宋体" w:eastAsia="宋体" w:cs="宋体"/>
                      <w:color w:val="auto"/>
                      <w:spacing w:val="7"/>
                      <w:sz w:val="21"/>
                      <w:szCs w:val="21"/>
                    </w:rPr>
                    <w:t>运营期：</w:t>
                  </w:r>
                  <w:r>
                    <w:rPr>
                      <w:rFonts w:hint="eastAsia" w:ascii="宋体" w:hAnsi="宋体" w:eastAsia="宋体" w:cs="宋体"/>
                      <w:color w:val="auto"/>
                      <w:spacing w:val="7"/>
                      <w:sz w:val="21"/>
                      <w:szCs w:val="21"/>
                    </w:rPr>
                    <w:t>运营期线路沿线声环境维持现状水平。</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30" w:hRule="atLeast"/>
              </w:trPr>
              <w:tc>
                <w:tcPr>
                  <w:tcW w:w="35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color w:val="auto"/>
                      <w:sz w:val="21"/>
                      <w:szCs w:val="21"/>
                    </w:rPr>
                  </w:pPr>
                </w:p>
              </w:tc>
              <w:tc>
                <w:tcPr>
                  <w:tcW w:w="216" w:type="pct"/>
                  <w:vMerge w:val="restar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宋体" w:hAnsi="宋体" w:eastAsia="宋体" w:cs="宋体"/>
                      <w:color w:val="auto"/>
                      <w:kern w:val="2"/>
                      <w:sz w:val="21"/>
                      <w:szCs w:val="21"/>
                      <w:lang w:val="en-US" w:eastAsia="zh-CN" w:bidi="ar-SA"/>
                    </w:rPr>
                  </w:pPr>
                  <w:r>
                    <w:rPr>
                      <w:rFonts w:ascii="宋体" w:hAnsi="宋体" w:eastAsia="宋体" w:cs="宋体"/>
                      <w:color w:val="auto"/>
                      <w:spacing w:val="-5"/>
                      <w:sz w:val="21"/>
                      <w:szCs w:val="21"/>
                    </w:rPr>
                    <w:t>固废</w:t>
                  </w:r>
                </w:p>
              </w:tc>
              <w:tc>
                <w:tcPr>
                  <w:tcW w:w="452"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宋体" w:hAnsi="宋体" w:eastAsia="宋体" w:cs="宋体"/>
                      <w:color w:val="auto"/>
                      <w:kern w:val="2"/>
                      <w:sz w:val="21"/>
                      <w:szCs w:val="21"/>
                      <w:lang w:val="en-US" w:eastAsia="zh-CN" w:bidi="ar-SA"/>
                    </w:rPr>
                  </w:pPr>
                  <w:r>
                    <w:rPr>
                      <w:rFonts w:ascii="宋体" w:hAnsi="宋体" w:eastAsia="宋体" w:cs="宋体"/>
                      <w:color w:val="auto"/>
                      <w:spacing w:val="7"/>
                      <w:sz w:val="21"/>
                      <w:szCs w:val="21"/>
                    </w:rPr>
                    <w:t>施工期</w:t>
                  </w:r>
                </w:p>
              </w:tc>
              <w:tc>
                <w:tcPr>
                  <w:tcW w:w="3980"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jc w:val="both"/>
                    <w:textAlignment w:val="auto"/>
                    <w:rPr>
                      <w:rFonts w:ascii="宋体" w:hAnsi="宋体" w:eastAsia="宋体" w:cs="宋体"/>
                      <w:color w:val="auto"/>
                      <w:kern w:val="2"/>
                      <w:sz w:val="21"/>
                      <w:szCs w:val="21"/>
                      <w:lang w:val="en-US" w:eastAsia="zh-CN" w:bidi="ar-SA"/>
                    </w:rPr>
                  </w:pPr>
                  <w:r>
                    <w:rPr>
                      <w:color w:val="auto"/>
                      <w:lang w:eastAsia="zh-CN"/>
                    </w:rPr>
                    <w:t>施工过程中产生的建筑垃圾和生活垃圾分类收集，并定期</w:t>
                  </w:r>
                  <w:r>
                    <w:rPr>
                      <w:color w:val="auto"/>
                      <w:spacing w:val="-5"/>
                      <w:lang w:eastAsia="zh-CN"/>
                    </w:rPr>
                    <w:t>清运</w:t>
                  </w:r>
                  <w:r>
                    <w:rPr>
                      <w:color w:val="auto"/>
                      <w:lang w:eastAsia="zh-CN"/>
                    </w:rPr>
                    <w:t>处理。输电线路施工实行表土剥离，分层开挖，分层回填，</w:t>
                  </w:r>
                  <w:r>
                    <w:rPr>
                      <w:rFonts w:hint="eastAsia"/>
                      <w:color w:val="auto"/>
                      <w:lang w:eastAsia="zh-CN"/>
                    </w:rPr>
                    <w:t>弃土用于抬高基础的外露高度。</w:t>
                  </w:r>
                  <w:r>
                    <w:rPr>
                      <w:color w:val="auto"/>
                      <w:spacing w:val="-5"/>
                      <w:lang w:eastAsia="zh-CN"/>
                    </w:rPr>
                    <w:t>本项目不</w:t>
                  </w:r>
                  <w:r>
                    <w:rPr>
                      <w:color w:val="auto"/>
                      <w:lang w:eastAsia="zh-CN"/>
                    </w:rPr>
                    <w:t>设置弃土场和取土场。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5" w:hRule="atLeast"/>
              </w:trPr>
              <w:tc>
                <w:tcPr>
                  <w:tcW w:w="35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color w:val="auto"/>
                      <w:sz w:val="21"/>
                      <w:szCs w:val="21"/>
                    </w:rPr>
                  </w:pPr>
                </w:p>
              </w:tc>
              <w:tc>
                <w:tcPr>
                  <w:tcW w:w="21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5"/>
                      <w:sz w:val="21"/>
                      <w:szCs w:val="21"/>
                    </w:rPr>
                  </w:pPr>
                </w:p>
              </w:tc>
              <w:tc>
                <w:tcPr>
                  <w:tcW w:w="452"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宋体" w:hAnsi="宋体" w:eastAsia="宋体" w:cs="宋体"/>
                      <w:color w:val="auto"/>
                      <w:kern w:val="2"/>
                      <w:sz w:val="21"/>
                      <w:szCs w:val="21"/>
                      <w:lang w:val="en-US" w:eastAsia="zh-CN" w:bidi="ar-SA"/>
                    </w:rPr>
                  </w:pPr>
                  <w:r>
                    <w:rPr>
                      <w:rFonts w:ascii="宋体" w:hAnsi="宋体" w:eastAsia="宋体" w:cs="宋体"/>
                      <w:color w:val="auto"/>
                      <w:spacing w:val="6"/>
                      <w:sz w:val="21"/>
                      <w:szCs w:val="21"/>
                    </w:rPr>
                    <w:t>运营期</w:t>
                  </w:r>
                </w:p>
              </w:tc>
              <w:tc>
                <w:tcPr>
                  <w:tcW w:w="3980"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both"/>
                    <w:textAlignment w:val="auto"/>
                    <w:rPr>
                      <w:rFonts w:hint="default" w:ascii="宋体" w:hAnsi="宋体" w:eastAsia="宋体" w:cs="宋体"/>
                      <w:color w:val="auto"/>
                      <w:kern w:val="2"/>
                      <w:sz w:val="21"/>
                      <w:szCs w:val="21"/>
                      <w:lang w:val="en-US" w:eastAsia="zh-CN" w:bidi="ar-SA"/>
                    </w:rPr>
                  </w:pPr>
                  <w:r>
                    <w:rPr>
                      <w:rFonts w:hint="eastAsia" w:ascii="宋体" w:hAnsi="宋体" w:eastAsia="宋体" w:cs="宋体"/>
                      <w:color w:val="auto"/>
                      <w:spacing w:val="7"/>
                      <w:sz w:val="21"/>
                      <w:szCs w:val="21"/>
                      <w:lang w:val="en-US" w:eastAsia="zh-CN"/>
                    </w:rPr>
                    <w:t>本项目运营期无固废产生。</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30" w:hRule="atLeast"/>
              </w:trPr>
              <w:tc>
                <w:tcPr>
                  <w:tcW w:w="35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color w:val="auto"/>
                      <w:sz w:val="21"/>
                      <w:szCs w:val="21"/>
                    </w:rPr>
                  </w:pPr>
                </w:p>
              </w:tc>
              <w:tc>
                <w:tcPr>
                  <w:tcW w:w="216" w:type="pct"/>
                  <w:vMerge w:val="restar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宋体" w:hAnsi="宋体" w:eastAsia="宋体" w:cs="宋体"/>
                      <w:color w:val="auto"/>
                      <w:kern w:val="2"/>
                      <w:sz w:val="21"/>
                      <w:szCs w:val="21"/>
                      <w:lang w:val="en-US" w:eastAsia="zh-CN" w:bidi="ar-SA"/>
                    </w:rPr>
                  </w:pPr>
                  <w:r>
                    <w:rPr>
                      <w:rFonts w:ascii="宋体" w:hAnsi="宋体" w:eastAsia="宋体" w:cs="宋体"/>
                      <w:color w:val="auto"/>
                      <w:spacing w:val="3"/>
                      <w:sz w:val="21"/>
                      <w:szCs w:val="21"/>
                    </w:rPr>
                    <w:t>生态</w:t>
                  </w:r>
                </w:p>
              </w:tc>
              <w:tc>
                <w:tcPr>
                  <w:tcW w:w="452"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宋体" w:hAnsi="宋体" w:eastAsia="宋体" w:cs="宋体"/>
                      <w:color w:val="auto"/>
                      <w:kern w:val="2"/>
                      <w:sz w:val="21"/>
                      <w:szCs w:val="21"/>
                      <w:lang w:val="en-US" w:eastAsia="zh-CN" w:bidi="ar-SA"/>
                    </w:rPr>
                  </w:pPr>
                  <w:r>
                    <w:rPr>
                      <w:rFonts w:ascii="宋体" w:hAnsi="宋体" w:eastAsia="宋体" w:cs="宋体"/>
                      <w:color w:val="auto"/>
                      <w:spacing w:val="7"/>
                      <w:sz w:val="21"/>
                      <w:szCs w:val="21"/>
                    </w:rPr>
                    <w:t>施工期</w:t>
                  </w:r>
                </w:p>
              </w:tc>
              <w:tc>
                <w:tcPr>
                  <w:tcW w:w="3980"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jc w:val="both"/>
                    <w:textAlignment w:val="auto"/>
                    <w:rPr>
                      <w:rFonts w:ascii="宋体" w:hAnsi="宋体" w:eastAsia="宋体" w:cs="宋体"/>
                      <w:color w:val="auto"/>
                      <w:kern w:val="2"/>
                      <w:sz w:val="21"/>
                      <w:szCs w:val="21"/>
                      <w:lang w:val="en-US" w:eastAsia="zh-CN" w:bidi="ar-SA"/>
                    </w:rPr>
                  </w:pPr>
                  <w:r>
                    <w:rPr>
                      <w:rFonts w:ascii="宋体" w:hAnsi="宋体" w:eastAsia="宋体" w:cs="宋体"/>
                      <w:color w:val="auto"/>
                      <w:sz w:val="21"/>
                      <w:szCs w:val="21"/>
                    </w:rPr>
                    <w:t>施工期：控制在施工作业带内，减少占地、用小型运输工具运输、采用环保型设备绿色施工、固废分类回收、植物恢复与施工结合、</w:t>
                  </w:r>
                  <w:r>
                    <w:rPr>
                      <w:rFonts w:ascii="宋体" w:hAnsi="宋体" w:eastAsia="宋体" w:cs="宋体"/>
                      <w:color w:val="auto"/>
                      <w:spacing w:val="5"/>
                      <w:sz w:val="21"/>
                      <w:szCs w:val="21"/>
                    </w:rPr>
                    <w:t>选择适宜施工时间、施工过程中应表土单独剥离，分</w:t>
                  </w:r>
                  <w:r>
                    <w:rPr>
                      <w:rFonts w:ascii="宋体" w:hAnsi="宋体" w:eastAsia="宋体" w:cs="宋体"/>
                      <w:color w:val="auto"/>
                      <w:spacing w:val="4"/>
                      <w:sz w:val="21"/>
                      <w:szCs w:val="21"/>
                    </w:rPr>
                    <w:t>层开挖、分</w:t>
                  </w:r>
                  <w:r>
                    <w:rPr>
                      <w:rFonts w:ascii="宋体" w:hAnsi="宋体" w:eastAsia="宋体" w:cs="宋体"/>
                      <w:color w:val="auto"/>
                      <w:spacing w:val="7"/>
                      <w:sz w:val="21"/>
                      <w:szCs w:val="21"/>
                    </w:rPr>
                    <w:t>别堆放、分别回填，做到</w:t>
                  </w:r>
                  <w:r>
                    <w:rPr>
                      <w:rFonts w:hint="eastAsia" w:ascii="宋体" w:hAnsi="宋体" w:eastAsia="宋体" w:cs="宋体"/>
                      <w:color w:val="auto"/>
                      <w:spacing w:val="7"/>
                      <w:sz w:val="21"/>
                      <w:szCs w:val="21"/>
                      <w:lang w:eastAsia="zh-CN"/>
                    </w:rPr>
                    <w:t>三分之一</w:t>
                  </w:r>
                  <w:r>
                    <w:rPr>
                      <w:rFonts w:ascii="宋体" w:hAnsi="宋体" w:eastAsia="宋体" w:cs="宋体"/>
                      <w:color w:val="auto"/>
                      <w:spacing w:val="7"/>
                      <w:sz w:val="21"/>
                      <w:szCs w:val="21"/>
                    </w:rPr>
                    <w:t>回填，及时恢复植物。</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30" w:hRule="atLeast"/>
              </w:trPr>
              <w:tc>
                <w:tcPr>
                  <w:tcW w:w="35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Arial"/>
                      <w:color w:val="auto"/>
                      <w:sz w:val="21"/>
                      <w:szCs w:val="21"/>
                    </w:rPr>
                  </w:pPr>
                </w:p>
              </w:tc>
              <w:tc>
                <w:tcPr>
                  <w:tcW w:w="21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5"/>
                      <w:sz w:val="21"/>
                      <w:szCs w:val="21"/>
                    </w:rPr>
                  </w:pPr>
                </w:p>
              </w:tc>
              <w:tc>
                <w:tcPr>
                  <w:tcW w:w="452"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宋体" w:hAnsi="宋体" w:eastAsia="宋体" w:cs="宋体"/>
                      <w:color w:val="auto"/>
                      <w:kern w:val="2"/>
                      <w:sz w:val="21"/>
                      <w:szCs w:val="21"/>
                      <w:lang w:val="en-US" w:eastAsia="zh-CN" w:bidi="ar-SA"/>
                    </w:rPr>
                  </w:pPr>
                  <w:r>
                    <w:rPr>
                      <w:rFonts w:ascii="宋体" w:hAnsi="宋体" w:eastAsia="宋体" w:cs="宋体"/>
                      <w:color w:val="auto"/>
                      <w:spacing w:val="6"/>
                      <w:sz w:val="21"/>
                      <w:szCs w:val="21"/>
                    </w:rPr>
                    <w:t>运营期</w:t>
                  </w:r>
                </w:p>
              </w:tc>
              <w:tc>
                <w:tcPr>
                  <w:tcW w:w="3980"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jc w:val="both"/>
                    <w:textAlignment w:val="auto"/>
                    <w:rPr>
                      <w:rFonts w:ascii="宋体" w:hAnsi="宋体" w:eastAsia="宋体" w:cs="宋体"/>
                      <w:color w:val="auto"/>
                      <w:kern w:val="2"/>
                      <w:sz w:val="21"/>
                      <w:szCs w:val="21"/>
                      <w:lang w:val="en-US" w:eastAsia="zh-CN" w:bidi="ar-SA"/>
                    </w:rPr>
                  </w:pPr>
                  <w:r>
                    <w:rPr>
                      <w:rFonts w:ascii="宋体" w:hAnsi="宋体" w:eastAsia="宋体" w:cs="宋体"/>
                      <w:color w:val="auto"/>
                      <w:spacing w:val="5"/>
                      <w:sz w:val="21"/>
                      <w:szCs w:val="21"/>
                    </w:rPr>
                    <w:t>运营期：施工结束后，对碾压土地进行人工洒水，使土壤自然疏</w:t>
                  </w:r>
                  <w:r>
                    <w:rPr>
                      <w:rFonts w:ascii="宋体" w:hAnsi="宋体" w:eastAsia="宋体" w:cs="宋体"/>
                      <w:color w:val="auto"/>
                      <w:sz w:val="21"/>
                      <w:szCs w:val="21"/>
                    </w:rPr>
                    <w:t>松播种合适的草种；充分利用路旁、建筑物旁以及</w:t>
                  </w:r>
                  <w:r>
                    <w:rPr>
                      <w:rFonts w:hint="eastAsia" w:ascii="宋体" w:hAnsi="宋体" w:eastAsia="宋体" w:cs="宋体"/>
                      <w:color w:val="auto"/>
                      <w:sz w:val="21"/>
                      <w:szCs w:val="21"/>
                      <w:lang w:eastAsia="zh-CN"/>
                    </w:rPr>
                    <w:t>其他</w:t>
                  </w:r>
                  <w:r>
                    <w:rPr>
                      <w:rFonts w:ascii="宋体" w:hAnsi="宋体" w:eastAsia="宋体" w:cs="宋体"/>
                      <w:color w:val="auto"/>
                      <w:sz w:val="21"/>
                      <w:szCs w:val="21"/>
                    </w:rPr>
                    <w:t>空闲场地，</w:t>
                  </w:r>
                  <w:r>
                    <w:rPr>
                      <w:rFonts w:ascii="宋体" w:hAnsi="宋体" w:eastAsia="宋体" w:cs="宋体"/>
                      <w:color w:val="auto"/>
                      <w:spacing w:val="5"/>
                      <w:sz w:val="21"/>
                      <w:szCs w:val="21"/>
                    </w:rPr>
                    <w:t>种植适宜当地生长的土著植物，保护场区周围原有绿化环境，定期巡检保证植物覆盖度。水土流失治理：编制水土保持方案，制定水土保护控</w:t>
                  </w:r>
                  <w:r>
                    <w:rPr>
                      <w:rFonts w:ascii="宋体" w:hAnsi="宋体" w:eastAsia="宋体" w:cs="宋体"/>
                      <w:color w:val="auto"/>
                      <w:spacing w:val="8"/>
                      <w:sz w:val="21"/>
                      <w:szCs w:val="21"/>
                    </w:rPr>
                    <w:t>制目标，采取工程措施、植物措施相结合控</w:t>
                  </w:r>
                  <w:r>
                    <w:rPr>
                      <w:rFonts w:ascii="宋体" w:hAnsi="宋体" w:eastAsia="宋体" w:cs="宋体"/>
                      <w:color w:val="auto"/>
                      <w:spacing w:val="7"/>
                      <w:sz w:val="21"/>
                      <w:szCs w:val="21"/>
                    </w:rPr>
                    <w:t>制水土流失。</w:t>
                  </w:r>
                </w:p>
              </w:tc>
            </w:tr>
          </w:tbl>
          <w:p>
            <w:pPr>
              <w:spacing w:before="42" w:line="221" w:lineRule="auto"/>
              <w:ind w:left="584"/>
              <w:rPr>
                <w:rFonts w:ascii="Times New Roman" w:hAnsi="Times New Roman" w:eastAsia="Times New Roman" w:cs="Times New Roman"/>
                <w:b/>
                <w:bCs/>
                <w:color w:val="auto"/>
                <w:spacing w:val="-6"/>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left="0" w:firstLine="508"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pacing w:val="7"/>
                <w:sz w:val="24"/>
                <w:szCs w:val="24"/>
              </w:rPr>
              <w:t>（</w:t>
            </w:r>
            <w:r>
              <w:rPr>
                <w:rFonts w:hint="eastAsia" w:ascii="Times New Roman" w:hAnsi="Times New Roman" w:eastAsia="宋体" w:cs="Times New Roman"/>
                <w:color w:val="auto"/>
                <w:spacing w:val="7"/>
                <w:sz w:val="24"/>
                <w:szCs w:val="24"/>
                <w:lang w:val="en-US" w:eastAsia="zh-CN"/>
              </w:rPr>
              <w:t>8</w:t>
            </w:r>
            <w:r>
              <w:rPr>
                <w:rFonts w:hint="default" w:ascii="Times New Roman" w:hAnsi="Times New Roman" w:eastAsia="宋体" w:cs="Times New Roman"/>
                <w:color w:val="auto"/>
                <w:spacing w:val="7"/>
                <w:sz w:val="24"/>
                <w:szCs w:val="24"/>
              </w:rPr>
              <w:t>）线路路径</w:t>
            </w:r>
          </w:p>
          <w:p>
            <w:pPr>
              <w:pStyle w:val="51"/>
              <w:keepNext w:val="0"/>
              <w:keepLines w:val="0"/>
              <w:pageBreakBefore w:val="0"/>
              <w:widowControl w:val="0"/>
              <w:kinsoku/>
              <w:wordWrap/>
              <w:overflowPunct/>
              <w:topLinePunct/>
              <w:autoSpaceDE/>
              <w:autoSpaceDN/>
              <w:bidi w:val="0"/>
              <w:adjustRightInd/>
              <w:snapToGrid/>
              <w:spacing w:line="360" w:lineRule="auto"/>
              <w:ind w:left="42" w:right="42" w:firstLine="420"/>
              <w:textAlignment w:val="auto"/>
              <w:rPr>
                <w:rFonts w:hint="eastAsia" w:ascii="Times New Roman" w:hAnsi="Times New Roman" w:eastAsia="宋体" w:cs="Times New Roman"/>
                <w:b w:val="0"/>
                <w:bCs/>
                <w:caps w:val="0"/>
                <w:color w:val="auto"/>
                <w:spacing w:val="0"/>
                <w:kern w:val="2"/>
                <w:sz w:val="24"/>
                <w:szCs w:val="24"/>
                <w:lang w:val="en-US" w:eastAsia="zh-CN" w:bidi="ar-SA"/>
              </w:rPr>
            </w:pPr>
            <w:r>
              <w:rPr>
                <w:rFonts w:hint="eastAsia" w:ascii="Times New Roman" w:hAnsi="Times New Roman" w:eastAsia="宋体" w:cs="Times New Roman"/>
                <w:b w:val="0"/>
                <w:bCs/>
                <w:caps w:val="0"/>
                <w:color w:val="auto"/>
                <w:spacing w:val="0"/>
                <w:kern w:val="2"/>
                <w:sz w:val="24"/>
                <w:szCs w:val="24"/>
                <w:lang w:val="en-US" w:eastAsia="zh-CN" w:bidi="ar-SA"/>
              </w:rPr>
              <w:t>本项目线路由</w:t>
            </w:r>
            <w:r>
              <w:rPr>
                <w:rFonts w:hint="eastAsia" w:eastAsia="宋体" w:cs="Times New Roman"/>
                <w:b w:val="0"/>
                <w:bCs/>
                <w:caps w:val="0"/>
                <w:color w:val="auto"/>
                <w:spacing w:val="0"/>
                <w:kern w:val="2"/>
                <w:sz w:val="24"/>
                <w:szCs w:val="24"/>
                <w:lang w:val="en-US" w:eastAsia="zh-CN" w:bidi="ar-SA"/>
              </w:rPr>
              <w:t>马山</w:t>
            </w:r>
            <w:r>
              <w:rPr>
                <w:rFonts w:hint="eastAsia" w:ascii="Times New Roman" w:hAnsi="Times New Roman" w:eastAsia="宋体" w:cs="Times New Roman"/>
                <w:b w:val="0"/>
                <w:bCs/>
                <w:caps w:val="0"/>
                <w:color w:val="auto"/>
                <w:spacing w:val="0"/>
                <w:kern w:val="2"/>
                <w:sz w:val="24"/>
                <w:szCs w:val="24"/>
                <w:lang w:val="en-US" w:eastAsia="zh-CN" w:bidi="ar-SA"/>
              </w:rPr>
              <w:t>升压站构架起，向西南方向架设，跨越220kV燕马三线后左转跨越66kV马东线后经桃树园村向南架设跨越66kV马沟线，随后左转连续跨越长深高速公路和乡道边林线，沿边林线南侧向西南架设，连续钻越在建的500kV川州二期线路和220kV建奎、燕奎线后经小东山村南侧接至国宏200MW储能站。新建单回线路总长度5.1公里。</w:t>
            </w:r>
          </w:p>
          <w:p>
            <w:pPr>
              <w:pStyle w:val="51"/>
              <w:keepNext w:val="0"/>
              <w:keepLines w:val="0"/>
              <w:pageBreakBefore w:val="0"/>
              <w:widowControl w:val="0"/>
              <w:kinsoku/>
              <w:wordWrap/>
              <w:overflowPunct/>
              <w:topLinePunct/>
              <w:autoSpaceDE/>
              <w:autoSpaceDN/>
              <w:bidi w:val="0"/>
              <w:adjustRightInd/>
              <w:snapToGrid/>
              <w:spacing w:line="240" w:lineRule="auto"/>
              <w:ind w:left="0" w:leftChars="0" w:right="42" w:firstLine="0" w:firstLineChars="0"/>
              <w:jc w:val="center"/>
              <w:textAlignment w:val="auto"/>
            </w:pPr>
            <w:r>
              <w:drawing>
                <wp:inline distT="0" distB="0" distL="114300" distR="114300">
                  <wp:extent cx="5354955" cy="4215765"/>
                  <wp:effectExtent l="0" t="0" r="17145" b="13335"/>
                  <wp:docPr id="8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
                          <pic:cNvPicPr>
                            <a:picLocks noChangeAspect="1"/>
                          </pic:cNvPicPr>
                        </pic:nvPicPr>
                        <pic:blipFill>
                          <a:blip r:embed="rId28"/>
                          <a:stretch>
                            <a:fillRect/>
                          </a:stretch>
                        </pic:blipFill>
                        <pic:spPr>
                          <a:xfrm>
                            <a:off x="0" y="0"/>
                            <a:ext cx="5354955" cy="4215765"/>
                          </a:xfrm>
                          <a:prstGeom prst="rect">
                            <a:avLst/>
                          </a:prstGeom>
                          <a:noFill/>
                          <a:ln>
                            <a:noFill/>
                          </a:ln>
                        </pic:spPr>
                      </pic:pic>
                    </a:graphicData>
                  </a:graphic>
                </wp:inline>
              </w:drawing>
            </w:r>
          </w:p>
          <w:p>
            <w:pPr>
              <w:pStyle w:val="51"/>
              <w:keepNext w:val="0"/>
              <w:keepLines w:val="0"/>
              <w:pageBreakBefore w:val="0"/>
              <w:widowControl w:val="0"/>
              <w:kinsoku/>
              <w:wordWrap/>
              <w:overflowPunct/>
              <w:topLinePunct/>
              <w:autoSpaceDE/>
              <w:autoSpaceDN/>
              <w:bidi w:val="0"/>
              <w:adjustRightInd/>
              <w:snapToGrid/>
              <w:spacing w:line="240" w:lineRule="auto"/>
              <w:ind w:left="0" w:leftChars="0" w:right="42" w:firstLine="0" w:firstLineChars="0"/>
              <w:jc w:val="center"/>
              <w:textAlignment w:val="auto"/>
              <w:rPr>
                <w:rFonts w:hint="eastAsia"/>
                <w:b/>
                <w:bCs/>
                <w:lang w:val="en-US" w:eastAsia="zh-CN"/>
              </w:rPr>
            </w:pPr>
            <w:r>
              <w:rPr>
                <w:rFonts w:hint="eastAsia"/>
                <w:b/>
                <w:bCs/>
                <w:lang w:val="en-US" w:eastAsia="zh-CN"/>
              </w:rPr>
              <w:t>图2-1  本项目线路走向及交叉情况图</w:t>
            </w:r>
          </w:p>
          <w:p>
            <w:pPr>
              <w:pStyle w:val="51"/>
              <w:keepNext w:val="0"/>
              <w:keepLines w:val="0"/>
              <w:pageBreakBefore w:val="0"/>
              <w:widowControl w:val="0"/>
              <w:kinsoku/>
              <w:wordWrap/>
              <w:overflowPunct/>
              <w:topLinePunct/>
              <w:autoSpaceDE/>
              <w:autoSpaceDN/>
              <w:bidi w:val="0"/>
              <w:adjustRightInd/>
              <w:snapToGrid/>
              <w:spacing w:line="240" w:lineRule="auto"/>
              <w:ind w:left="0" w:leftChars="0" w:right="42" w:firstLine="0" w:firstLineChars="0"/>
              <w:jc w:val="center"/>
              <w:textAlignment w:val="auto"/>
              <w:rPr>
                <w:rFonts w:hint="default" w:eastAsiaTheme="minorEastAsia"/>
                <w:b/>
                <w:bCs/>
                <w:lang w:val="en-US" w:eastAsia="zh-CN"/>
              </w:rPr>
            </w:pPr>
            <w:r>
              <w:rPr>
                <w:rFonts w:hint="eastAsia"/>
                <w:b/>
                <w:bCs/>
                <w:lang w:val="en-US" w:eastAsia="zh-CN"/>
              </w:rPr>
              <w:t>（图中方案二和方案三为比选路线，最终路线为方案一）</w:t>
            </w:r>
          </w:p>
          <w:p>
            <w:pPr>
              <w:pStyle w:val="51"/>
              <w:keepNext w:val="0"/>
              <w:keepLines w:val="0"/>
              <w:pageBreakBefore w:val="0"/>
              <w:widowControl w:val="0"/>
              <w:kinsoku/>
              <w:wordWrap/>
              <w:overflowPunct/>
              <w:topLinePunct/>
              <w:autoSpaceDE/>
              <w:autoSpaceDN/>
              <w:bidi w:val="0"/>
              <w:adjustRightInd/>
              <w:snapToGrid/>
              <w:spacing w:line="360" w:lineRule="auto"/>
              <w:ind w:left="42" w:right="42" w:firstLine="420"/>
              <w:textAlignment w:val="auto"/>
              <w:rPr>
                <w:rFonts w:hint="default" w:ascii="Times New Roman" w:hAnsi="Times New Roman" w:eastAsia="宋体" w:cs="Times New Roman"/>
                <w:b w:val="0"/>
                <w:bCs/>
                <w:caps w:val="0"/>
                <w:color w:val="auto"/>
                <w:spacing w:val="0"/>
                <w:kern w:val="2"/>
                <w:sz w:val="24"/>
                <w:szCs w:val="24"/>
                <w:lang w:val="en-US" w:eastAsia="zh-CN" w:bidi="ar-SA"/>
              </w:rPr>
            </w:pPr>
            <w:r>
              <w:rPr>
                <w:rFonts w:hint="eastAsia" w:eastAsia="宋体" w:cs="Times New Roman"/>
                <w:b w:val="0"/>
                <w:bCs/>
                <w:caps w:val="0"/>
                <w:color w:val="auto"/>
                <w:spacing w:val="0"/>
                <w:kern w:val="2"/>
                <w:sz w:val="24"/>
                <w:szCs w:val="24"/>
                <w:lang w:val="en-US" w:eastAsia="zh-CN" w:bidi="ar-SA"/>
              </w:rPr>
              <w:t>（9）塔基</w:t>
            </w:r>
          </w:p>
          <w:p>
            <w:pPr>
              <w:pStyle w:val="51"/>
              <w:keepNext w:val="0"/>
              <w:keepLines w:val="0"/>
              <w:pageBreakBefore w:val="0"/>
              <w:widowControl w:val="0"/>
              <w:kinsoku/>
              <w:wordWrap/>
              <w:overflowPunct/>
              <w:topLinePunct/>
              <w:autoSpaceDE/>
              <w:autoSpaceDN/>
              <w:bidi w:val="0"/>
              <w:adjustRightInd/>
              <w:snapToGrid/>
              <w:spacing w:line="360" w:lineRule="auto"/>
              <w:ind w:left="0" w:leftChars="0" w:right="0" w:rightChars="0" w:firstLine="480" w:firstLineChars="200"/>
              <w:textAlignment w:val="auto"/>
              <w:rPr>
                <w:rFonts w:hint="eastAsia" w:ascii="Times New Roman" w:hAnsi="Times New Roman" w:eastAsia="宋体" w:cs="Times New Roman"/>
                <w:b w:val="0"/>
                <w:bCs/>
                <w:caps w:val="0"/>
                <w:color w:val="auto"/>
                <w:spacing w:val="0"/>
                <w:kern w:val="2"/>
                <w:sz w:val="24"/>
                <w:szCs w:val="24"/>
                <w:lang w:val="en-US" w:eastAsia="zh-CN" w:bidi="ar-SA"/>
              </w:rPr>
            </w:pPr>
            <w:r>
              <w:rPr>
                <w:rFonts w:hint="eastAsia" w:ascii="Times New Roman" w:hAnsi="Times New Roman" w:eastAsia="宋体" w:cs="Times New Roman"/>
                <w:b w:val="0"/>
                <w:bCs/>
                <w:caps w:val="0"/>
                <w:color w:val="auto"/>
                <w:spacing w:val="0"/>
                <w:kern w:val="2"/>
                <w:sz w:val="24"/>
                <w:szCs w:val="24"/>
                <w:lang w:val="en-US" w:eastAsia="zh-CN" w:bidi="ar-SA"/>
              </w:rPr>
              <w:t>本项目设置</w:t>
            </w:r>
            <w:r>
              <w:rPr>
                <w:rFonts w:hint="eastAsia" w:eastAsia="宋体" w:cs="Times New Roman"/>
                <w:b w:val="0"/>
                <w:bCs/>
                <w:caps w:val="0"/>
                <w:color w:val="auto"/>
                <w:spacing w:val="0"/>
                <w:kern w:val="2"/>
                <w:sz w:val="24"/>
                <w:szCs w:val="24"/>
                <w:lang w:val="en-US" w:eastAsia="zh-CN" w:bidi="ar-SA"/>
              </w:rPr>
              <w:t>21</w:t>
            </w:r>
            <w:r>
              <w:rPr>
                <w:rFonts w:hint="eastAsia" w:ascii="Times New Roman" w:hAnsi="Times New Roman" w:eastAsia="宋体" w:cs="Times New Roman"/>
                <w:b w:val="0"/>
                <w:bCs/>
                <w:caps w:val="0"/>
                <w:color w:val="auto"/>
                <w:spacing w:val="0"/>
                <w:kern w:val="2"/>
                <w:sz w:val="24"/>
                <w:szCs w:val="24"/>
                <w:lang w:val="en-US" w:eastAsia="zh-CN" w:bidi="ar-SA"/>
              </w:rPr>
              <w:t>基铁塔，铁塔型号及坐标见下表。</w:t>
            </w:r>
          </w:p>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firstLine="446" w:firstLineChars="200"/>
              <w:jc w:val="center"/>
              <w:textAlignment w:val="auto"/>
            </w:pPr>
            <w:r>
              <w:rPr>
                <w:rFonts w:hint="default" w:ascii="Times New Roman" w:hAnsi="Times New Roman" w:eastAsia="宋体" w:cs="Times New Roman"/>
                <w:b/>
                <w:bCs/>
                <w:color w:val="auto"/>
                <w:spacing w:val="6"/>
                <w:sz w:val="21"/>
                <w:szCs w:val="21"/>
                <w:lang w:val="en-US" w:eastAsia="zh-CN"/>
              </w:rPr>
              <w:t xml:space="preserve">表2-2    </w:t>
            </w:r>
            <w:r>
              <w:rPr>
                <w:rFonts w:hint="default" w:ascii="Times New Roman" w:hAnsi="Times New Roman" w:eastAsia="宋体" w:cs="Times New Roman"/>
                <w:b/>
                <w:bCs/>
                <w:color w:val="auto"/>
                <w:spacing w:val="6"/>
                <w:sz w:val="21"/>
                <w:szCs w:val="21"/>
              </w:rPr>
              <w:t>马山-国宏 220kV线路工程铁塔使用一览表</w:t>
            </w:r>
          </w:p>
          <w:tbl>
            <w:tblPr>
              <w:tblStyle w:val="31"/>
              <w:tblW w:w="4812"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08"/>
              <w:gridCol w:w="1387"/>
              <w:gridCol w:w="3348"/>
              <w:gridCol w:w="1160"/>
              <w:gridCol w:w="129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28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序号</w:t>
                  </w:r>
                </w:p>
              </w:tc>
              <w:tc>
                <w:tcPr>
                  <w:tcW w:w="1477"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名称</w:t>
                  </w:r>
                </w:p>
              </w:tc>
              <w:tc>
                <w:tcPr>
                  <w:tcW w:w="356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规格或型号</w:t>
                  </w:r>
                </w:p>
              </w:tc>
              <w:tc>
                <w:tcPr>
                  <w:tcW w:w="123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单位</w:t>
                  </w:r>
                </w:p>
              </w:tc>
              <w:tc>
                <w:tcPr>
                  <w:tcW w:w="137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实用数量</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28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1</w:t>
                  </w:r>
                </w:p>
              </w:tc>
              <w:tc>
                <w:tcPr>
                  <w:tcW w:w="1477"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杆塔</w:t>
                  </w:r>
                </w:p>
              </w:tc>
              <w:tc>
                <w:tcPr>
                  <w:tcW w:w="356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220-GD21S-DJC-24</w:t>
                  </w:r>
                </w:p>
              </w:tc>
              <w:tc>
                <w:tcPr>
                  <w:tcW w:w="123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基</w:t>
                  </w:r>
                </w:p>
              </w:tc>
              <w:tc>
                <w:tcPr>
                  <w:tcW w:w="137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28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2</w:t>
                  </w:r>
                </w:p>
              </w:tc>
              <w:tc>
                <w:tcPr>
                  <w:tcW w:w="1477"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杆塔</w:t>
                  </w:r>
                </w:p>
              </w:tc>
              <w:tc>
                <w:tcPr>
                  <w:tcW w:w="356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220-ED21D-DJC-18</w:t>
                  </w:r>
                </w:p>
              </w:tc>
              <w:tc>
                <w:tcPr>
                  <w:tcW w:w="123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基</w:t>
                  </w:r>
                </w:p>
              </w:tc>
              <w:tc>
                <w:tcPr>
                  <w:tcW w:w="137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28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3</w:t>
                  </w:r>
                </w:p>
              </w:tc>
              <w:tc>
                <w:tcPr>
                  <w:tcW w:w="1477"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杆塔</w:t>
                  </w:r>
                </w:p>
              </w:tc>
              <w:tc>
                <w:tcPr>
                  <w:tcW w:w="356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220-ED21D-DJ-21</w:t>
                  </w:r>
                </w:p>
              </w:tc>
              <w:tc>
                <w:tcPr>
                  <w:tcW w:w="123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基</w:t>
                  </w:r>
                </w:p>
              </w:tc>
              <w:tc>
                <w:tcPr>
                  <w:tcW w:w="137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28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4</w:t>
                  </w:r>
                </w:p>
              </w:tc>
              <w:tc>
                <w:tcPr>
                  <w:tcW w:w="1477"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杆塔</w:t>
                  </w:r>
                </w:p>
              </w:tc>
              <w:tc>
                <w:tcPr>
                  <w:tcW w:w="356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220-ED21D-JC2-30</w:t>
                  </w:r>
                </w:p>
              </w:tc>
              <w:tc>
                <w:tcPr>
                  <w:tcW w:w="123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基</w:t>
                  </w:r>
                </w:p>
              </w:tc>
              <w:tc>
                <w:tcPr>
                  <w:tcW w:w="137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28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5</w:t>
                  </w:r>
                </w:p>
              </w:tc>
              <w:tc>
                <w:tcPr>
                  <w:tcW w:w="1477"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杆塔</w:t>
                  </w:r>
                </w:p>
              </w:tc>
              <w:tc>
                <w:tcPr>
                  <w:tcW w:w="356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220-ED21D-JC4-24</w:t>
                  </w:r>
                </w:p>
              </w:tc>
              <w:tc>
                <w:tcPr>
                  <w:tcW w:w="123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基</w:t>
                  </w:r>
                </w:p>
              </w:tc>
              <w:tc>
                <w:tcPr>
                  <w:tcW w:w="137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28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6</w:t>
                  </w:r>
                </w:p>
              </w:tc>
              <w:tc>
                <w:tcPr>
                  <w:tcW w:w="1477"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杆塔</w:t>
                  </w:r>
                </w:p>
              </w:tc>
              <w:tc>
                <w:tcPr>
                  <w:tcW w:w="356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220-ED21D-JC4-30</w:t>
                  </w:r>
                </w:p>
              </w:tc>
              <w:tc>
                <w:tcPr>
                  <w:tcW w:w="123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基</w:t>
                  </w:r>
                </w:p>
              </w:tc>
              <w:tc>
                <w:tcPr>
                  <w:tcW w:w="137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28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7</w:t>
                  </w:r>
                </w:p>
              </w:tc>
              <w:tc>
                <w:tcPr>
                  <w:tcW w:w="1477"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杆塔</w:t>
                  </w:r>
                </w:p>
              </w:tc>
              <w:tc>
                <w:tcPr>
                  <w:tcW w:w="356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220-ED21D-JC4-36</w:t>
                  </w:r>
                </w:p>
              </w:tc>
              <w:tc>
                <w:tcPr>
                  <w:tcW w:w="123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基</w:t>
                  </w:r>
                </w:p>
              </w:tc>
              <w:tc>
                <w:tcPr>
                  <w:tcW w:w="137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28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8</w:t>
                  </w:r>
                </w:p>
              </w:tc>
              <w:tc>
                <w:tcPr>
                  <w:tcW w:w="1477"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杆塔</w:t>
                  </w:r>
                </w:p>
              </w:tc>
              <w:tc>
                <w:tcPr>
                  <w:tcW w:w="356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220-ED21D-ZMC1-30</w:t>
                  </w:r>
                </w:p>
              </w:tc>
              <w:tc>
                <w:tcPr>
                  <w:tcW w:w="123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基</w:t>
                  </w:r>
                </w:p>
              </w:tc>
              <w:tc>
                <w:tcPr>
                  <w:tcW w:w="137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28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9</w:t>
                  </w:r>
                </w:p>
              </w:tc>
              <w:tc>
                <w:tcPr>
                  <w:tcW w:w="1477"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杆塔</w:t>
                  </w:r>
                </w:p>
              </w:tc>
              <w:tc>
                <w:tcPr>
                  <w:tcW w:w="356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220-ED21D-ZMC1-36</w:t>
                  </w:r>
                </w:p>
              </w:tc>
              <w:tc>
                <w:tcPr>
                  <w:tcW w:w="123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基</w:t>
                  </w:r>
                </w:p>
              </w:tc>
              <w:tc>
                <w:tcPr>
                  <w:tcW w:w="137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28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10</w:t>
                  </w:r>
                </w:p>
              </w:tc>
              <w:tc>
                <w:tcPr>
                  <w:tcW w:w="1477"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杆塔</w:t>
                  </w:r>
                </w:p>
              </w:tc>
              <w:tc>
                <w:tcPr>
                  <w:tcW w:w="356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220-ED21D-ZMC1-39</w:t>
                  </w:r>
                </w:p>
              </w:tc>
              <w:tc>
                <w:tcPr>
                  <w:tcW w:w="123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基</w:t>
                  </w:r>
                </w:p>
              </w:tc>
              <w:tc>
                <w:tcPr>
                  <w:tcW w:w="137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28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11</w:t>
                  </w:r>
                </w:p>
              </w:tc>
              <w:tc>
                <w:tcPr>
                  <w:tcW w:w="1477"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杆塔</w:t>
                  </w:r>
                </w:p>
              </w:tc>
              <w:tc>
                <w:tcPr>
                  <w:tcW w:w="356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220-ED21D-ZMC2-36</w:t>
                  </w:r>
                </w:p>
              </w:tc>
              <w:tc>
                <w:tcPr>
                  <w:tcW w:w="123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基</w:t>
                  </w:r>
                </w:p>
              </w:tc>
              <w:tc>
                <w:tcPr>
                  <w:tcW w:w="137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28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12</w:t>
                  </w:r>
                </w:p>
              </w:tc>
              <w:tc>
                <w:tcPr>
                  <w:tcW w:w="1477"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杆塔</w:t>
                  </w:r>
                </w:p>
              </w:tc>
              <w:tc>
                <w:tcPr>
                  <w:tcW w:w="356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220-ED21D-ZMC4-27</w:t>
                  </w:r>
                </w:p>
              </w:tc>
              <w:tc>
                <w:tcPr>
                  <w:tcW w:w="123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基</w:t>
                  </w:r>
                </w:p>
              </w:tc>
              <w:tc>
                <w:tcPr>
                  <w:tcW w:w="137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28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13</w:t>
                  </w:r>
                </w:p>
              </w:tc>
              <w:tc>
                <w:tcPr>
                  <w:tcW w:w="1477"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杆塔</w:t>
                  </w:r>
                </w:p>
              </w:tc>
              <w:tc>
                <w:tcPr>
                  <w:tcW w:w="356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220-ED21D-ZMC4-30</w:t>
                  </w:r>
                </w:p>
              </w:tc>
              <w:tc>
                <w:tcPr>
                  <w:tcW w:w="123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基</w:t>
                  </w:r>
                </w:p>
              </w:tc>
              <w:tc>
                <w:tcPr>
                  <w:tcW w:w="137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28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14</w:t>
                  </w:r>
                </w:p>
              </w:tc>
              <w:tc>
                <w:tcPr>
                  <w:tcW w:w="1477"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杆塔</w:t>
                  </w:r>
                </w:p>
              </w:tc>
              <w:tc>
                <w:tcPr>
                  <w:tcW w:w="356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220-ED21D-ZMC4-39</w:t>
                  </w:r>
                </w:p>
              </w:tc>
              <w:tc>
                <w:tcPr>
                  <w:tcW w:w="123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基</w:t>
                  </w:r>
                </w:p>
              </w:tc>
              <w:tc>
                <w:tcPr>
                  <w:tcW w:w="137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28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15</w:t>
                  </w:r>
                </w:p>
              </w:tc>
              <w:tc>
                <w:tcPr>
                  <w:tcW w:w="1477"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杆塔</w:t>
                  </w:r>
                </w:p>
              </w:tc>
              <w:tc>
                <w:tcPr>
                  <w:tcW w:w="356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220-ED21D-ZMC4-48</w:t>
                  </w:r>
                </w:p>
              </w:tc>
              <w:tc>
                <w:tcPr>
                  <w:tcW w:w="123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基</w:t>
                  </w:r>
                </w:p>
              </w:tc>
              <w:tc>
                <w:tcPr>
                  <w:tcW w:w="137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28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16</w:t>
                  </w:r>
                </w:p>
              </w:tc>
              <w:tc>
                <w:tcPr>
                  <w:tcW w:w="1477"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杆塔</w:t>
                  </w:r>
                </w:p>
              </w:tc>
              <w:tc>
                <w:tcPr>
                  <w:tcW w:w="356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220-ED21D-ZMC4-51</w:t>
                  </w:r>
                </w:p>
              </w:tc>
              <w:tc>
                <w:tcPr>
                  <w:tcW w:w="123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基</w:t>
                  </w:r>
                </w:p>
              </w:tc>
              <w:tc>
                <w:tcPr>
                  <w:tcW w:w="137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28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17</w:t>
                  </w:r>
                </w:p>
              </w:tc>
              <w:tc>
                <w:tcPr>
                  <w:tcW w:w="1477"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杆塔</w:t>
                  </w:r>
                </w:p>
              </w:tc>
              <w:tc>
                <w:tcPr>
                  <w:tcW w:w="356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220-ED21D-ZMCK-54</w:t>
                  </w:r>
                </w:p>
              </w:tc>
              <w:tc>
                <w:tcPr>
                  <w:tcW w:w="123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基</w:t>
                  </w:r>
                </w:p>
              </w:tc>
              <w:tc>
                <w:tcPr>
                  <w:tcW w:w="137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1</w:t>
                  </w:r>
                </w:p>
              </w:tc>
            </w:tr>
          </w:tbl>
          <w:p>
            <w:pPr>
              <w:spacing w:before="6" w:line="360" w:lineRule="auto"/>
              <w:ind w:left="23" w:right="61" w:firstLine="480"/>
              <w:jc w:val="both"/>
              <w:rPr>
                <w:rFonts w:ascii="宋体" w:hAnsi="宋体" w:eastAsia="宋体" w:cs="宋体"/>
                <w:sz w:val="24"/>
                <w:szCs w:val="24"/>
              </w:rPr>
            </w:pPr>
            <w:r>
              <w:rPr>
                <w:rFonts w:ascii="宋体" w:hAnsi="宋体" w:eastAsia="宋体" w:cs="宋体"/>
                <w:spacing w:val="-3"/>
                <w:sz w:val="24"/>
                <w:szCs w:val="24"/>
              </w:rPr>
              <w:t>根据本工程地形、地质特点、施工条件、杆塔型式及基础受力条</w:t>
            </w:r>
            <w:r>
              <w:rPr>
                <w:rFonts w:ascii="宋体" w:hAnsi="宋体" w:eastAsia="宋体" w:cs="宋体"/>
                <w:spacing w:val="-4"/>
                <w:sz w:val="24"/>
                <w:szCs w:val="24"/>
              </w:rPr>
              <w:t>件，按照安</w:t>
            </w:r>
            <w:r>
              <w:rPr>
                <w:rFonts w:ascii="宋体" w:hAnsi="宋体" w:eastAsia="宋体" w:cs="宋体"/>
                <w:spacing w:val="-3"/>
                <w:sz w:val="24"/>
                <w:szCs w:val="24"/>
              </w:rPr>
              <w:t>全可靠、设计先进、</w:t>
            </w:r>
            <w:r>
              <w:rPr>
                <w:rFonts w:hint="eastAsia" w:ascii="宋体" w:hAnsi="宋体" w:eastAsia="宋体" w:cs="宋体"/>
                <w:spacing w:val="-3"/>
                <w:sz w:val="24"/>
                <w:szCs w:val="24"/>
                <w:lang w:eastAsia="zh-CN"/>
              </w:rPr>
              <w:t>经济实用</w:t>
            </w:r>
            <w:r>
              <w:rPr>
                <w:rFonts w:ascii="宋体" w:hAnsi="宋体" w:eastAsia="宋体" w:cs="宋体"/>
                <w:spacing w:val="-3"/>
                <w:sz w:val="24"/>
                <w:szCs w:val="24"/>
              </w:rPr>
              <w:t>的原则选用基础型式。本工程本阶段推荐采用挖孔</w:t>
            </w:r>
            <w:r>
              <w:rPr>
                <w:rFonts w:ascii="宋体" w:hAnsi="宋体" w:eastAsia="宋体" w:cs="宋体"/>
                <w:spacing w:val="-1"/>
                <w:sz w:val="24"/>
                <w:szCs w:val="24"/>
              </w:rPr>
              <w:t>桩基础、灌注桩基础。</w:t>
            </w:r>
          </w:p>
          <w:p>
            <w:pPr>
              <w:spacing w:before="6" w:line="360" w:lineRule="auto"/>
              <w:ind w:left="23" w:right="61" w:firstLine="480"/>
              <w:jc w:val="both"/>
              <w:rPr>
                <w:rFonts w:hint="eastAsia" w:ascii="宋体" w:hAnsi="宋体" w:eastAsia="宋体" w:cs="宋体"/>
                <w:spacing w:val="-3"/>
                <w:sz w:val="24"/>
                <w:szCs w:val="24"/>
                <w:lang w:val="en-US" w:eastAsia="zh-CN"/>
              </w:rPr>
            </w:pPr>
            <w:r>
              <w:rPr>
                <w:rFonts w:hint="eastAsia" w:ascii="宋体" w:hAnsi="宋体" w:eastAsia="宋体" w:cs="宋体"/>
                <w:spacing w:val="-3"/>
                <w:sz w:val="24"/>
                <w:szCs w:val="24"/>
                <w:lang w:val="en-US" w:eastAsia="zh-CN"/>
              </w:rPr>
              <w:t>1）挖孔桩基础</w:t>
            </w:r>
          </w:p>
          <w:p>
            <w:pPr>
              <w:spacing w:before="6" w:line="360" w:lineRule="auto"/>
              <w:ind w:left="23" w:right="61" w:firstLine="480"/>
              <w:jc w:val="both"/>
              <w:rPr>
                <w:rFonts w:hint="eastAsia" w:ascii="宋体" w:hAnsi="宋体" w:eastAsia="宋体" w:cs="宋体"/>
                <w:spacing w:val="-3"/>
                <w:sz w:val="24"/>
                <w:szCs w:val="24"/>
                <w:lang w:val="en-US" w:eastAsia="zh-CN"/>
              </w:rPr>
            </w:pPr>
            <w:r>
              <w:rPr>
                <w:rFonts w:hint="eastAsia" w:ascii="宋体" w:hAnsi="宋体" w:eastAsia="宋体" w:cs="宋体"/>
                <w:spacing w:val="-3"/>
                <w:sz w:val="24"/>
                <w:szCs w:val="24"/>
                <w:lang w:val="en-US" w:eastAsia="zh-CN"/>
              </w:rPr>
              <w:t>对于上覆土层特别深厚的塔位以及基础作用力特别大的直线塔和转角塔，如果采用掏挖基础，底部扩头太大，材料耗量大同时影响人身安全。采用桩基是较为合适的，桩型可采用挖孔桩，为提高桩的抗拔和抗压承载力，可考虑采用扩大头的形式。挖孔扩底桩也已在输电线路杆塔工程中广泛使用，能充分利用原状土良好的力学特性，施工方便，对地基土和基面植被破坏较少，减少水土流失。</w:t>
            </w:r>
          </w:p>
          <w:p>
            <w:pPr>
              <w:spacing w:before="6" w:line="360" w:lineRule="auto"/>
              <w:ind w:left="23" w:right="61" w:firstLine="480"/>
              <w:jc w:val="both"/>
              <w:rPr>
                <w:rFonts w:ascii="宋体" w:hAnsi="宋体" w:eastAsia="宋体" w:cs="宋体"/>
                <w:spacing w:val="-3"/>
                <w:sz w:val="24"/>
                <w:szCs w:val="24"/>
              </w:rPr>
            </w:pPr>
            <w:r>
              <w:rPr>
                <w:rFonts w:hint="eastAsia" w:ascii="宋体" w:hAnsi="宋体" w:eastAsia="宋体" w:cs="宋体"/>
                <w:spacing w:val="-3"/>
                <w:sz w:val="24"/>
                <w:szCs w:val="24"/>
                <w:lang w:eastAsia="zh-CN"/>
              </w:rPr>
              <w:t>2）</w:t>
            </w:r>
            <w:r>
              <w:rPr>
                <w:rFonts w:ascii="宋体" w:hAnsi="宋体" w:eastAsia="宋体" w:cs="宋体"/>
                <w:spacing w:val="-3"/>
                <w:sz w:val="24"/>
                <w:szCs w:val="24"/>
              </w:rPr>
              <w:t>灌注桩基础</w:t>
            </w:r>
          </w:p>
          <w:p>
            <w:pPr>
              <w:spacing w:before="6" w:line="360" w:lineRule="auto"/>
              <w:ind w:left="23" w:right="61" w:firstLine="480"/>
              <w:jc w:val="both"/>
              <w:rPr>
                <w:rFonts w:ascii="宋体" w:hAnsi="宋体" w:eastAsia="宋体" w:cs="宋体"/>
                <w:spacing w:val="-3"/>
                <w:sz w:val="24"/>
                <w:szCs w:val="24"/>
              </w:rPr>
            </w:pPr>
            <w:r>
              <w:rPr>
                <w:rFonts w:ascii="宋体" w:hAnsi="宋体" w:eastAsia="宋体" w:cs="宋体"/>
                <w:spacing w:val="-3"/>
                <w:sz w:val="24"/>
                <w:szCs w:val="24"/>
              </w:rPr>
              <w:t>灌注桩基础，是一种就位成孔基础型式，它具有施工时无振动，无挤土、噪声小，宜于在建筑密集地区使用等优点，有大量成熟的设计、施工经验，是本工程采用的基础型式之一。</w:t>
            </w:r>
          </w:p>
          <w:p>
            <w:pPr>
              <w:pStyle w:val="51"/>
              <w:keepNext w:val="0"/>
              <w:keepLines w:val="0"/>
              <w:pageBreakBefore w:val="0"/>
              <w:widowControl w:val="0"/>
              <w:numPr>
                <w:ilvl w:val="0"/>
                <w:numId w:val="0"/>
              </w:numPr>
              <w:kinsoku/>
              <w:wordWrap/>
              <w:overflowPunct/>
              <w:topLinePunct/>
              <w:autoSpaceDE/>
              <w:autoSpaceDN/>
              <w:bidi w:val="0"/>
              <w:adjustRightInd/>
              <w:snapToGrid/>
              <w:spacing w:line="360" w:lineRule="auto"/>
              <w:ind w:left="0" w:leftChars="0" w:right="42" w:rightChars="20" w:firstLine="482" w:firstLineChars="200"/>
              <w:textAlignment w:val="auto"/>
              <w:rPr>
                <w:rFonts w:hint="eastAsia" w:eastAsia="宋体" w:cs="Times New Roman"/>
                <w:b/>
                <w:bCs w:val="0"/>
                <w:caps w:val="0"/>
                <w:color w:val="auto"/>
                <w:spacing w:val="0"/>
                <w:kern w:val="2"/>
                <w:sz w:val="24"/>
                <w:szCs w:val="24"/>
                <w:lang w:val="en-US" w:eastAsia="zh-CN" w:bidi="ar-SA"/>
              </w:rPr>
            </w:pPr>
            <w:r>
              <w:rPr>
                <w:rFonts w:hint="eastAsia" w:ascii="Times New Roman" w:hAnsi="Times New Roman" w:eastAsia="宋体" w:cs="Times New Roman"/>
                <w:b/>
                <w:bCs w:val="0"/>
                <w:caps w:val="0"/>
                <w:color w:val="auto"/>
                <w:spacing w:val="0"/>
                <w:kern w:val="2"/>
                <w:sz w:val="24"/>
                <w:szCs w:val="24"/>
                <w:lang w:val="en-US" w:eastAsia="zh-CN" w:bidi="ar-SA"/>
              </w:rPr>
              <w:t>3、</w:t>
            </w:r>
            <w:r>
              <w:rPr>
                <w:rFonts w:hint="eastAsia" w:eastAsia="宋体" w:cs="Times New Roman"/>
                <w:b/>
                <w:bCs w:val="0"/>
                <w:caps w:val="0"/>
                <w:color w:val="auto"/>
                <w:spacing w:val="0"/>
                <w:kern w:val="2"/>
                <w:sz w:val="24"/>
                <w:szCs w:val="24"/>
                <w:lang w:val="en-US" w:eastAsia="zh-CN" w:bidi="ar-SA"/>
              </w:rPr>
              <w:t>本项目跨越情况</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6" w:firstLineChars="200"/>
              <w:jc w:val="center"/>
              <w:textAlignment w:val="auto"/>
              <w:rPr>
                <w:rFonts w:hint="default" w:ascii="Times New Roman" w:hAnsi="Times New Roman" w:eastAsia="宋体" w:cs="Times New Roman"/>
                <w:b/>
                <w:bCs/>
                <w:color w:val="auto"/>
                <w:spacing w:val="6"/>
                <w:sz w:val="21"/>
                <w:szCs w:val="21"/>
                <w:lang w:val="en-US" w:eastAsia="zh-CN"/>
              </w:rPr>
            </w:pPr>
            <w:r>
              <w:rPr>
                <w:rFonts w:hint="eastAsia" w:ascii="Times New Roman" w:hAnsi="Times New Roman" w:eastAsia="宋体" w:cs="Times New Roman"/>
                <w:b/>
                <w:bCs/>
                <w:color w:val="auto"/>
                <w:spacing w:val="6"/>
                <w:sz w:val="21"/>
                <w:szCs w:val="21"/>
                <w:lang w:val="en-US" w:eastAsia="zh-CN"/>
              </w:rPr>
              <w:t>表2-3    本工程跨越情况</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7"/>
              <w:gridCol w:w="2861"/>
              <w:gridCol w:w="2180"/>
              <w:gridCol w:w="21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5" w:type="dxa"/>
                  <w:vAlign w:val="top"/>
                </w:tcPr>
                <w:p>
                  <w:pPr>
                    <w:pStyle w:val="51"/>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序号</w:t>
                  </w:r>
                </w:p>
              </w:tc>
              <w:tc>
                <w:tcPr>
                  <w:tcW w:w="3049" w:type="dxa"/>
                  <w:vAlign w:val="top"/>
                </w:tcPr>
                <w:p>
                  <w:pPr>
                    <w:pStyle w:val="51"/>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交跨对象</w:t>
                  </w:r>
                </w:p>
              </w:tc>
              <w:tc>
                <w:tcPr>
                  <w:tcW w:w="2323" w:type="dxa"/>
                  <w:vAlign w:val="top"/>
                </w:tcPr>
                <w:p>
                  <w:pPr>
                    <w:pStyle w:val="51"/>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交跨方式</w:t>
                  </w:r>
                </w:p>
              </w:tc>
              <w:tc>
                <w:tcPr>
                  <w:tcW w:w="2323" w:type="dxa"/>
                  <w:vAlign w:val="top"/>
                </w:tcPr>
                <w:p>
                  <w:pPr>
                    <w:pStyle w:val="51"/>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数量/处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5" w:type="dxa"/>
                  <w:vAlign w:val="top"/>
                </w:tcPr>
                <w:p>
                  <w:pPr>
                    <w:pStyle w:val="51"/>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1</w:t>
                  </w:r>
                </w:p>
              </w:tc>
              <w:tc>
                <w:tcPr>
                  <w:tcW w:w="3049" w:type="dxa"/>
                  <w:vAlign w:val="top"/>
                </w:tcPr>
                <w:p>
                  <w:pPr>
                    <w:pStyle w:val="38"/>
                    <w:keepNext w:val="0"/>
                    <w:keepLines w:val="0"/>
                    <w:pageBreakBefore w:val="0"/>
                    <w:widowControl w:val="0"/>
                    <w:kinsoku/>
                    <w:wordWrap/>
                    <w:overflowPunct/>
                    <w:autoSpaceDE/>
                    <w:autoSpaceDN/>
                    <w:bidi w:val="0"/>
                    <w:adjustRightInd/>
                    <w:snapToGrid/>
                    <w:spacing w:before="40"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220千伏线路</w:t>
                  </w:r>
                </w:p>
              </w:tc>
              <w:tc>
                <w:tcPr>
                  <w:tcW w:w="2323" w:type="dxa"/>
                  <w:vAlign w:val="top"/>
                </w:tcPr>
                <w:p>
                  <w:pPr>
                    <w:pStyle w:val="38"/>
                    <w:keepNext w:val="0"/>
                    <w:keepLines w:val="0"/>
                    <w:pageBreakBefore w:val="0"/>
                    <w:widowControl w:val="0"/>
                    <w:kinsoku/>
                    <w:wordWrap/>
                    <w:overflowPunct/>
                    <w:autoSpaceDE/>
                    <w:autoSpaceDN/>
                    <w:bidi w:val="0"/>
                    <w:adjustRightInd/>
                    <w:snapToGrid/>
                    <w:spacing w:before="41"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跨</w:t>
                  </w:r>
                </w:p>
              </w:tc>
              <w:tc>
                <w:tcPr>
                  <w:tcW w:w="2323" w:type="dxa"/>
                  <w:vAlign w:val="top"/>
                </w:tcPr>
                <w:p>
                  <w:pPr>
                    <w:pStyle w:val="38"/>
                    <w:keepNext w:val="0"/>
                    <w:keepLines w:val="0"/>
                    <w:pageBreakBefore w:val="0"/>
                    <w:widowControl w:val="0"/>
                    <w:kinsoku/>
                    <w:wordWrap/>
                    <w:overflowPunct/>
                    <w:autoSpaceDE/>
                    <w:autoSpaceDN/>
                    <w:bidi w:val="0"/>
                    <w:adjustRightInd/>
                    <w:snapToGrid/>
                    <w:spacing w:before="41"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5" w:type="dxa"/>
                  <w:vAlign w:val="top"/>
                </w:tcPr>
                <w:p>
                  <w:pPr>
                    <w:pStyle w:val="51"/>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2</w:t>
                  </w:r>
                </w:p>
              </w:tc>
              <w:tc>
                <w:tcPr>
                  <w:tcW w:w="3049" w:type="dxa"/>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220千伏线路</w:t>
                  </w:r>
                </w:p>
              </w:tc>
              <w:tc>
                <w:tcPr>
                  <w:tcW w:w="2323" w:type="dxa"/>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钻</w:t>
                  </w:r>
                </w:p>
              </w:tc>
              <w:tc>
                <w:tcPr>
                  <w:tcW w:w="2323" w:type="dxa"/>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5" w:type="dxa"/>
                  <w:vAlign w:val="top"/>
                </w:tcPr>
                <w:p>
                  <w:pPr>
                    <w:pStyle w:val="51"/>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3</w:t>
                  </w:r>
                </w:p>
              </w:tc>
              <w:tc>
                <w:tcPr>
                  <w:tcW w:w="3049" w:type="dxa"/>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66千伏线路</w:t>
                  </w:r>
                </w:p>
              </w:tc>
              <w:tc>
                <w:tcPr>
                  <w:tcW w:w="2323" w:type="dxa"/>
                  <w:vAlign w:val="top"/>
                </w:tcPr>
                <w:p>
                  <w:pPr>
                    <w:pStyle w:val="38"/>
                    <w:keepNext w:val="0"/>
                    <w:keepLines w:val="0"/>
                    <w:pageBreakBefore w:val="0"/>
                    <w:widowControl w:val="0"/>
                    <w:kinsoku/>
                    <w:wordWrap/>
                    <w:overflowPunct/>
                    <w:autoSpaceDE/>
                    <w:autoSpaceDN/>
                    <w:bidi w:val="0"/>
                    <w:adjustRightInd/>
                    <w:snapToGrid/>
                    <w:spacing w:before="40"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带电跨越</w:t>
                  </w:r>
                </w:p>
              </w:tc>
              <w:tc>
                <w:tcPr>
                  <w:tcW w:w="2323" w:type="dxa"/>
                  <w:vAlign w:val="top"/>
                </w:tcPr>
                <w:p>
                  <w:pPr>
                    <w:pStyle w:val="38"/>
                    <w:keepNext w:val="0"/>
                    <w:keepLines w:val="0"/>
                    <w:pageBreakBefore w:val="0"/>
                    <w:widowControl w:val="0"/>
                    <w:kinsoku/>
                    <w:wordWrap/>
                    <w:overflowPunct/>
                    <w:autoSpaceDE/>
                    <w:autoSpaceDN/>
                    <w:bidi w:val="0"/>
                    <w:adjustRightInd/>
                    <w:snapToGrid/>
                    <w:spacing w:before="40"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5" w:type="dxa"/>
                  <w:vAlign w:val="top"/>
                </w:tcPr>
                <w:p>
                  <w:pPr>
                    <w:pStyle w:val="51"/>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4</w:t>
                  </w:r>
                </w:p>
              </w:tc>
              <w:tc>
                <w:tcPr>
                  <w:tcW w:w="3049" w:type="dxa"/>
                  <w:vAlign w:val="top"/>
                </w:tcPr>
                <w:p>
                  <w:pPr>
                    <w:pStyle w:val="38"/>
                    <w:keepNext w:val="0"/>
                    <w:keepLines w:val="0"/>
                    <w:pageBreakBefore w:val="0"/>
                    <w:widowControl w:val="0"/>
                    <w:kinsoku/>
                    <w:wordWrap/>
                    <w:overflowPunct/>
                    <w:autoSpaceDE/>
                    <w:autoSpaceDN/>
                    <w:bidi w:val="0"/>
                    <w:adjustRightInd/>
                    <w:snapToGrid/>
                    <w:spacing w:before="41"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10千伏线路</w:t>
                  </w:r>
                </w:p>
              </w:tc>
              <w:tc>
                <w:tcPr>
                  <w:tcW w:w="2323" w:type="dxa"/>
                  <w:vAlign w:val="top"/>
                </w:tcPr>
                <w:p>
                  <w:pPr>
                    <w:pStyle w:val="38"/>
                    <w:keepNext w:val="0"/>
                    <w:keepLines w:val="0"/>
                    <w:pageBreakBefore w:val="0"/>
                    <w:widowControl w:val="0"/>
                    <w:kinsoku/>
                    <w:wordWrap/>
                    <w:overflowPunct/>
                    <w:autoSpaceDE/>
                    <w:autoSpaceDN/>
                    <w:bidi w:val="0"/>
                    <w:adjustRightInd/>
                    <w:snapToGrid/>
                    <w:spacing w:before="42"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带电跨越</w:t>
                  </w:r>
                </w:p>
              </w:tc>
              <w:tc>
                <w:tcPr>
                  <w:tcW w:w="2323" w:type="dxa"/>
                  <w:vAlign w:val="top"/>
                </w:tcPr>
                <w:p>
                  <w:pPr>
                    <w:pStyle w:val="38"/>
                    <w:keepNext w:val="0"/>
                    <w:keepLines w:val="0"/>
                    <w:pageBreakBefore w:val="0"/>
                    <w:widowControl w:val="0"/>
                    <w:kinsoku/>
                    <w:wordWrap/>
                    <w:overflowPunct/>
                    <w:autoSpaceDE/>
                    <w:autoSpaceDN/>
                    <w:bidi w:val="0"/>
                    <w:adjustRightInd/>
                    <w:snapToGrid/>
                    <w:spacing w:before="41"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5" w:type="dxa"/>
                  <w:vAlign w:val="top"/>
                </w:tcPr>
                <w:p>
                  <w:pPr>
                    <w:pStyle w:val="51"/>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5</w:t>
                  </w:r>
                </w:p>
              </w:tc>
              <w:tc>
                <w:tcPr>
                  <w:tcW w:w="3049" w:type="dxa"/>
                  <w:vAlign w:val="top"/>
                </w:tcPr>
                <w:p>
                  <w:pPr>
                    <w:pStyle w:val="38"/>
                    <w:keepNext w:val="0"/>
                    <w:keepLines w:val="0"/>
                    <w:pageBreakBefore w:val="0"/>
                    <w:widowControl w:val="0"/>
                    <w:kinsoku/>
                    <w:wordWrap/>
                    <w:overflowPunct/>
                    <w:autoSpaceDE/>
                    <w:autoSpaceDN/>
                    <w:bidi w:val="0"/>
                    <w:adjustRightInd/>
                    <w:snapToGrid/>
                    <w:spacing w:before="36"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低压线路</w:t>
                  </w:r>
                </w:p>
              </w:tc>
              <w:tc>
                <w:tcPr>
                  <w:tcW w:w="2323" w:type="dxa"/>
                  <w:vAlign w:val="top"/>
                </w:tcPr>
                <w:p>
                  <w:pPr>
                    <w:pStyle w:val="38"/>
                    <w:keepNext w:val="0"/>
                    <w:keepLines w:val="0"/>
                    <w:pageBreakBefore w:val="0"/>
                    <w:widowControl w:val="0"/>
                    <w:kinsoku/>
                    <w:wordWrap/>
                    <w:overflowPunct/>
                    <w:autoSpaceDE/>
                    <w:autoSpaceDN/>
                    <w:bidi w:val="0"/>
                    <w:adjustRightInd/>
                    <w:snapToGrid/>
                    <w:spacing w:before="36"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带电跨越</w:t>
                  </w:r>
                </w:p>
              </w:tc>
              <w:tc>
                <w:tcPr>
                  <w:tcW w:w="2323" w:type="dxa"/>
                  <w:vAlign w:val="top"/>
                </w:tcPr>
                <w:p>
                  <w:pPr>
                    <w:pStyle w:val="38"/>
                    <w:keepNext w:val="0"/>
                    <w:keepLines w:val="0"/>
                    <w:pageBreakBefore w:val="0"/>
                    <w:widowControl w:val="0"/>
                    <w:kinsoku/>
                    <w:wordWrap/>
                    <w:overflowPunct/>
                    <w:autoSpaceDE/>
                    <w:autoSpaceDN/>
                    <w:bidi w:val="0"/>
                    <w:adjustRightInd/>
                    <w:snapToGrid/>
                    <w:spacing w:before="35"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5" w:type="dxa"/>
                  <w:vAlign w:val="top"/>
                </w:tcPr>
                <w:p>
                  <w:pPr>
                    <w:pStyle w:val="51"/>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6</w:t>
                  </w:r>
                </w:p>
              </w:tc>
              <w:tc>
                <w:tcPr>
                  <w:tcW w:w="3049" w:type="dxa"/>
                  <w:vAlign w:val="top"/>
                </w:tcPr>
                <w:p>
                  <w:pPr>
                    <w:pStyle w:val="38"/>
                    <w:keepNext w:val="0"/>
                    <w:keepLines w:val="0"/>
                    <w:pageBreakBefore w:val="0"/>
                    <w:widowControl w:val="0"/>
                    <w:kinsoku/>
                    <w:wordWrap/>
                    <w:overflowPunct/>
                    <w:autoSpaceDE/>
                    <w:autoSpaceDN/>
                    <w:bidi w:val="0"/>
                    <w:adjustRightInd/>
                    <w:snapToGrid/>
                    <w:spacing w:before="37"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通讯线</w:t>
                  </w:r>
                </w:p>
              </w:tc>
              <w:tc>
                <w:tcPr>
                  <w:tcW w:w="2323" w:type="dxa"/>
                  <w:vAlign w:val="top"/>
                </w:tcPr>
                <w:p>
                  <w:pPr>
                    <w:pStyle w:val="38"/>
                    <w:keepNext w:val="0"/>
                    <w:keepLines w:val="0"/>
                    <w:pageBreakBefore w:val="0"/>
                    <w:widowControl w:val="0"/>
                    <w:kinsoku/>
                    <w:wordWrap/>
                    <w:overflowPunct/>
                    <w:autoSpaceDE/>
                    <w:autoSpaceDN/>
                    <w:bidi w:val="0"/>
                    <w:adjustRightInd/>
                    <w:snapToGrid/>
                    <w:spacing w:before="37"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跨越</w:t>
                  </w:r>
                </w:p>
              </w:tc>
              <w:tc>
                <w:tcPr>
                  <w:tcW w:w="2323" w:type="dxa"/>
                  <w:vAlign w:val="top"/>
                </w:tcPr>
                <w:p>
                  <w:pPr>
                    <w:pStyle w:val="38"/>
                    <w:keepNext w:val="0"/>
                    <w:keepLines w:val="0"/>
                    <w:pageBreakBefore w:val="0"/>
                    <w:widowControl w:val="0"/>
                    <w:kinsoku/>
                    <w:wordWrap/>
                    <w:overflowPunct/>
                    <w:autoSpaceDE/>
                    <w:autoSpaceDN/>
                    <w:bidi w:val="0"/>
                    <w:adjustRightInd/>
                    <w:snapToGrid/>
                    <w:spacing w:before="37"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5" w:type="dxa"/>
                  <w:vAlign w:val="top"/>
                </w:tcPr>
                <w:p>
                  <w:pPr>
                    <w:pStyle w:val="51"/>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7</w:t>
                  </w:r>
                </w:p>
              </w:tc>
              <w:tc>
                <w:tcPr>
                  <w:tcW w:w="3049" w:type="dxa"/>
                  <w:vAlign w:val="top"/>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普通公路</w:t>
                  </w:r>
                </w:p>
              </w:tc>
              <w:tc>
                <w:tcPr>
                  <w:tcW w:w="2323" w:type="dxa"/>
                  <w:vAlign w:val="top"/>
                </w:tcPr>
                <w:p>
                  <w:pPr>
                    <w:pStyle w:val="38"/>
                    <w:keepNext w:val="0"/>
                    <w:keepLines w:val="0"/>
                    <w:pageBreakBefore w:val="0"/>
                    <w:widowControl w:val="0"/>
                    <w:kinsoku/>
                    <w:wordWrap/>
                    <w:overflowPunct/>
                    <w:autoSpaceDE/>
                    <w:autoSpaceDN/>
                    <w:bidi w:val="0"/>
                    <w:adjustRightInd/>
                    <w:snapToGrid/>
                    <w:spacing w:before="36"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跨越</w:t>
                  </w:r>
                </w:p>
              </w:tc>
              <w:tc>
                <w:tcPr>
                  <w:tcW w:w="2323" w:type="dxa"/>
                  <w:vAlign w:val="top"/>
                </w:tcPr>
                <w:p>
                  <w:pPr>
                    <w:pStyle w:val="38"/>
                    <w:keepNext w:val="0"/>
                    <w:keepLines w:val="0"/>
                    <w:pageBreakBefore w:val="0"/>
                    <w:widowControl w:val="0"/>
                    <w:kinsoku/>
                    <w:wordWrap/>
                    <w:overflowPunct/>
                    <w:autoSpaceDE/>
                    <w:autoSpaceDN/>
                    <w:bidi w:val="0"/>
                    <w:adjustRightInd/>
                    <w:snapToGrid/>
                    <w:spacing w:before="36"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5" w:type="dxa"/>
                  <w:vAlign w:val="top"/>
                </w:tcPr>
                <w:p>
                  <w:pPr>
                    <w:pStyle w:val="51"/>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8</w:t>
                  </w:r>
                </w:p>
              </w:tc>
              <w:tc>
                <w:tcPr>
                  <w:tcW w:w="3049" w:type="dxa"/>
                  <w:vAlign w:val="top"/>
                </w:tcPr>
                <w:p>
                  <w:pPr>
                    <w:pStyle w:val="38"/>
                    <w:keepNext w:val="0"/>
                    <w:keepLines w:val="0"/>
                    <w:pageBreakBefore w:val="0"/>
                    <w:widowControl w:val="0"/>
                    <w:kinsoku/>
                    <w:wordWrap/>
                    <w:overflowPunct/>
                    <w:autoSpaceDE/>
                    <w:autoSpaceDN/>
                    <w:bidi w:val="0"/>
                    <w:adjustRightInd/>
                    <w:snapToGrid/>
                    <w:spacing w:before="37"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等级公路</w:t>
                  </w:r>
                </w:p>
              </w:tc>
              <w:tc>
                <w:tcPr>
                  <w:tcW w:w="2323" w:type="dxa"/>
                  <w:vAlign w:val="top"/>
                </w:tcPr>
                <w:p>
                  <w:pPr>
                    <w:pStyle w:val="38"/>
                    <w:keepNext w:val="0"/>
                    <w:keepLines w:val="0"/>
                    <w:pageBreakBefore w:val="0"/>
                    <w:widowControl w:val="0"/>
                    <w:kinsoku/>
                    <w:wordWrap/>
                    <w:overflowPunct/>
                    <w:autoSpaceDE/>
                    <w:autoSpaceDN/>
                    <w:bidi w:val="0"/>
                    <w:adjustRightInd/>
                    <w:snapToGrid/>
                    <w:spacing w:before="37"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跨越</w:t>
                  </w:r>
                </w:p>
              </w:tc>
              <w:tc>
                <w:tcPr>
                  <w:tcW w:w="2323" w:type="dxa"/>
                  <w:vAlign w:val="top"/>
                </w:tcPr>
                <w:p>
                  <w:pPr>
                    <w:pStyle w:val="38"/>
                    <w:keepNext w:val="0"/>
                    <w:keepLines w:val="0"/>
                    <w:pageBreakBefore w:val="0"/>
                    <w:widowControl w:val="0"/>
                    <w:kinsoku/>
                    <w:wordWrap/>
                    <w:overflowPunct/>
                    <w:autoSpaceDE/>
                    <w:autoSpaceDN/>
                    <w:bidi w:val="0"/>
                    <w:adjustRightInd/>
                    <w:snapToGrid/>
                    <w:spacing w:before="37"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5" w:type="dxa"/>
                  <w:vAlign w:val="top"/>
                </w:tcPr>
                <w:p>
                  <w:pPr>
                    <w:pStyle w:val="51"/>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9</w:t>
                  </w:r>
                </w:p>
              </w:tc>
              <w:tc>
                <w:tcPr>
                  <w:tcW w:w="3049" w:type="dxa"/>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高速公路</w:t>
                  </w:r>
                </w:p>
              </w:tc>
              <w:tc>
                <w:tcPr>
                  <w:tcW w:w="2323" w:type="dxa"/>
                  <w:vAlign w:val="top"/>
                </w:tcPr>
                <w:p>
                  <w:pPr>
                    <w:pStyle w:val="38"/>
                    <w:keepNext w:val="0"/>
                    <w:keepLines w:val="0"/>
                    <w:pageBreakBefore w:val="0"/>
                    <w:widowControl w:val="0"/>
                    <w:kinsoku/>
                    <w:wordWrap/>
                    <w:overflowPunct/>
                    <w:autoSpaceDE/>
                    <w:autoSpaceDN/>
                    <w:bidi w:val="0"/>
                    <w:adjustRightInd/>
                    <w:snapToGrid/>
                    <w:spacing w:before="38"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跨越</w:t>
                  </w:r>
                </w:p>
              </w:tc>
              <w:tc>
                <w:tcPr>
                  <w:tcW w:w="2323" w:type="dxa"/>
                  <w:vAlign w:val="top"/>
                </w:tcPr>
                <w:p>
                  <w:pPr>
                    <w:pStyle w:val="38"/>
                    <w:keepNext w:val="0"/>
                    <w:keepLines w:val="0"/>
                    <w:pageBreakBefore w:val="0"/>
                    <w:widowControl w:val="0"/>
                    <w:kinsoku/>
                    <w:wordWrap/>
                    <w:overflowPunct/>
                    <w:autoSpaceDE/>
                    <w:autoSpaceDN/>
                    <w:bidi w:val="0"/>
                    <w:adjustRightInd/>
                    <w:snapToGrid/>
                    <w:spacing w:before="38"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5" w:type="dxa"/>
                  <w:vAlign w:val="top"/>
                </w:tcPr>
                <w:p>
                  <w:pPr>
                    <w:pStyle w:val="51"/>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10</w:t>
                  </w:r>
                </w:p>
              </w:tc>
              <w:tc>
                <w:tcPr>
                  <w:tcW w:w="3049" w:type="dxa"/>
                  <w:vAlign w:val="top"/>
                </w:tcPr>
                <w:p>
                  <w:pPr>
                    <w:pStyle w:val="38"/>
                    <w:keepNext w:val="0"/>
                    <w:keepLines w:val="0"/>
                    <w:pageBreakBefore w:val="0"/>
                    <w:widowControl w:val="0"/>
                    <w:kinsoku/>
                    <w:wordWrap/>
                    <w:overflowPunct/>
                    <w:autoSpaceDE/>
                    <w:autoSpaceDN/>
                    <w:bidi w:val="0"/>
                    <w:adjustRightInd/>
                    <w:snapToGrid/>
                    <w:spacing w:before="41"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河流</w:t>
                  </w:r>
                </w:p>
              </w:tc>
              <w:tc>
                <w:tcPr>
                  <w:tcW w:w="2323" w:type="dxa"/>
                  <w:vAlign w:val="top"/>
                </w:tcPr>
                <w:p>
                  <w:pPr>
                    <w:pStyle w:val="38"/>
                    <w:keepNext w:val="0"/>
                    <w:keepLines w:val="0"/>
                    <w:pageBreakBefore w:val="0"/>
                    <w:widowControl w:val="0"/>
                    <w:kinsoku/>
                    <w:wordWrap/>
                    <w:overflowPunct/>
                    <w:autoSpaceDE/>
                    <w:autoSpaceDN/>
                    <w:bidi w:val="0"/>
                    <w:adjustRightInd/>
                    <w:snapToGrid/>
                    <w:spacing w:before="40"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跨越</w:t>
                  </w:r>
                </w:p>
              </w:tc>
              <w:tc>
                <w:tcPr>
                  <w:tcW w:w="2323" w:type="dxa"/>
                  <w:vAlign w:val="top"/>
                </w:tcPr>
                <w:p>
                  <w:pPr>
                    <w:pStyle w:val="38"/>
                    <w:keepNext w:val="0"/>
                    <w:keepLines w:val="0"/>
                    <w:pageBreakBefore w:val="0"/>
                    <w:widowControl w:val="0"/>
                    <w:kinsoku/>
                    <w:wordWrap/>
                    <w:overflowPunct/>
                    <w:autoSpaceDE/>
                    <w:autoSpaceDN/>
                    <w:bidi w:val="0"/>
                    <w:adjustRightInd/>
                    <w:snapToGrid/>
                    <w:spacing w:before="40"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5" w:type="dxa"/>
                  <w:vAlign w:val="top"/>
                </w:tcPr>
                <w:p>
                  <w:pPr>
                    <w:pStyle w:val="51"/>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11</w:t>
                  </w:r>
                </w:p>
              </w:tc>
              <w:tc>
                <w:tcPr>
                  <w:tcW w:w="3049" w:type="dxa"/>
                  <w:vAlign w:val="top"/>
                </w:tcPr>
                <w:p>
                  <w:pPr>
                    <w:pStyle w:val="38"/>
                    <w:keepNext w:val="0"/>
                    <w:keepLines w:val="0"/>
                    <w:pageBreakBefore w:val="0"/>
                    <w:widowControl w:val="0"/>
                    <w:kinsoku/>
                    <w:wordWrap/>
                    <w:overflowPunct/>
                    <w:autoSpaceDE/>
                    <w:autoSpaceDN/>
                    <w:bidi w:val="0"/>
                    <w:adjustRightInd/>
                    <w:snapToGrid/>
                    <w:spacing w:before="41"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10千伏线路</w:t>
                  </w:r>
                </w:p>
              </w:tc>
              <w:tc>
                <w:tcPr>
                  <w:tcW w:w="2323" w:type="dxa"/>
                  <w:vAlign w:val="top"/>
                </w:tcPr>
                <w:p>
                  <w:pPr>
                    <w:pStyle w:val="38"/>
                    <w:keepNext w:val="0"/>
                    <w:keepLines w:val="0"/>
                    <w:pageBreakBefore w:val="0"/>
                    <w:widowControl w:val="0"/>
                    <w:kinsoku/>
                    <w:wordWrap/>
                    <w:overflowPunct/>
                    <w:autoSpaceDE/>
                    <w:autoSpaceDN/>
                    <w:bidi w:val="0"/>
                    <w:adjustRightInd/>
                    <w:snapToGrid/>
                    <w:spacing w:before="42"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带电跨越</w:t>
                  </w:r>
                </w:p>
              </w:tc>
              <w:tc>
                <w:tcPr>
                  <w:tcW w:w="2323" w:type="dxa"/>
                  <w:vAlign w:val="top"/>
                </w:tcPr>
                <w:p>
                  <w:pPr>
                    <w:pStyle w:val="38"/>
                    <w:keepNext w:val="0"/>
                    <w:keepLines w:val="0"/>
                    <w:pageBreakBefore w:val="0"/>
                    <w:widowControl w:val="0"/>
                    <w:kinsoku/>
                    <w:wordWrap/>
                    <w:overflowPunct/>
                    <w:autoSpaceDE/>
                    <w:autoSpaceDN/>
                    <w:bidi w:val="0"/>
                    <w:adjustRightInd/>
                    <w:snapToGrid/>
                    <w:spacing w:before="41" w:line="240" w:lineRule="auto"/>
                    <w:ind w:left="0" w:leftChars="0" w:right="0" w:rightChars="0" w:firstLine="0"/>
                    <w:jc w:val="center"/>
                    <w:textAlignment w:val="auto"/>
                    <w:rPr>
                      <w:rFonts w:hint="eastAsia"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6</w:t>
                  </w:r>
                </w:p>
              </w:tc>
            </w:tr>
          </w:tbl>
          <w:p>
            <w:pPr>
              <w:pStyle w:val="51"/>
              <w:keepNext w:val="0"/>
              <w:keepLines w:val="0"/>
              <w:pageBreakBefore w:val="0"/>
              <w:widowControl w:val="0"/>
              <w:kinsoku/>
              <w:wordWrap/>
              <w:overflowPunct/>
              <w:topLinePunct/>
              <w:autoSpaceDE/>
              <w:autoSpaceDN/>
              <w:bidi w:val="0"/>
              <w:adjustRightInd/>
              <w:snapToGrid/>
              <w:spacing w:line="360" w:lineRule="auto"/>
              <w:ind w:left="0" w:leftChars="0" w:right="42" w:firstLine="0" w:firstLineChars="0"/>
              <w:textAlignment w:val="auto"/>
              <w:rPr>
                <w:rFonts w:hint="eastAsia" w:eastAsia="宋体" w:cs="Times New Roman"/>
                <w:b w:val="0"/>
                <w:bCs/>
                <w:caps w:val="0"/>
                <w:color w:val="auto"/>
                <w:spacing w:val="0"/>
                <w:kern w:val="2"/>
                <w:sz w:val="24"/>
                <w:szCs w:val="24"/>
                <w:lang w:val="en-US" w:eastAsia="zh-CN" w:bidi="ar-SA"/>
              </w:rPr>
            </w:pPr>
          </w:p>
          <w:p>
            <w:pPr>
              <w:pStyle w:val="51"/>
              <w:keepNext w:val="0"/>
              <w:keepLines w:val="0"/>
              <w:pageBreakBefore w:val="0"/>
              <w:widowControl w:val="0"/>
              <w:numPr>
                <w:ilvl w:val="0"/>
                <w:numId w:val="0"/>
              </w:numPr>
              <w:kinsoku/>
              <w:wordWrap/>
              <w:overflowPunct/>
              <w:topLinePunct/>
              <w:autoSpaceDE/>
              <w:autoSpaceDN/>
              <w:bidi w:val="0"/>
              <w:adjustRightInd/>
              <w:snapToGrid/>
              <w:spacing w:line="360" w:lineRule="auto"/>
              <w:ind w:left="0" w:leftChars="0" w:right="42" w:rightChars="20" w:firstLine="482" w:firstLineChars="200"/>
              <w:textAlignment w:val="auto"/>
              <w:rPr>
                <w:rFonts w:hint="eastAsia" w:eastAsia="宋体" w:cs="Times New Roman"/>
                <w:b/>
                <w:bCs w:val="0"/>
                <w:caps w:val="0"/>
                <w:color w:val="auto"/>
                <w:spacing w:val="0"/>
                <w:kern w:val="2"/>
                <w:sz w:val="24"/>
                <w:szCs w:val="24"/>
                <w:lang w:val="en-US" w:eastAsia="zh-CN" w:bidi="ar-SA"/>
              </w:rPr>
            </w:pPr>
            <w:r>
              <w:rPr>
                <w:rFonts w:hint="eastAsia" w:ascii="Times New Roman" w:hAnsi="Times New Roman" w:eastAsia="宋体" w:cs="Times New Roman"/>
                <w:b/>
                <w:bCs w:val="0"/>
                <w:caps w:val="0"/>
                <w:color w:val="auto"/>
                <w:spacing w:val="0"/>
                <w:kern w:val="2"/>
                <w:sz w:val="24"/>
                <w:szCs w:val="24"/>
                <w:lang w:val="en-US" w:eastAsia="zh-CN" w:bidi="ar-SA"/>
              </w:rPr>
              <w:t>4、</w:t>
            </w:r>
            <w:r>
              <w:rPr>
                <w:rFonts w:hint="eastAsia" w:eastAsia="宋体" w:cs="Times New Roman"/>
                <w:b/>
                <w:bCs w:val="0"/>
                <w:caps w:val="0"/>
                <w:color w:val="auto"/>
                <w:spacing w:val="0"/>
                <w:kern w:val="2"/>
                <w:sz w:val="24"/>
                <w:szCs w:val="24"/>
                <w:lang w:val="en-US" w:eastAsia="zh-CN" w:bidi="ar-SA"/>
              </w:rPr>
              <w:t>工程占地</w:t>
            </w:r>
          </w:p>
          <w:p>
            <w:pPr>
              <w:pStyle w:val="51"/>
              <w:keepNext w:val="0"/>
              <w:keepLines w:val="0"/>
              <w:pageBreakBefore w:val="0"/>
              <w:widowControl w:val="0"/>
              <w:kinsoku/>
              <w:wordWrap/>
              <w:overflowPunct/>
              <w:topLinePunct/>
              <w:autoSpaceDE/>
              <w:autoSpaceDN/>
              <w:bidi w:val="0"/>
              <w:adjustRightInd/>
              <w:snapToGrid/>
              <w:spacing w:line="360" w:lineRule="auto"/>
              <w:ind w:left="42" w:right="42" w:firstLine="420"/>
              <w:textAlignment w:val="auto"/>
              <w:rPr>
                <w:rFonts w:hint="eastAsia" w:eastAsia="宋体" w:cs="Times New Roman"/>
                <w:b w:val="0"/>
                <w:bCs/>
                <w:caps w:val="0"/>
                <w:color w:val="auto"/>
                <w:spacing w:val="0"/>
                <w:kern w:val="2"/>
                <w:sz w:val="24"/>
                <w:szCs w:val="24"/>
                <w:lang w:val="en-US" w:eastAsia="zh-CN" w:bidi="ar-SA"/>
              </w:rPr>
            </w:pPr>
            <w:r>
              <w:rPr>
                <w:rFonts w:hint="eastAsia" w:eastAsia="宋体" w:cs="Times New Roman"/>
                <w:b w:val="0"/>
                <w:bCs/>
                <w:caps w:val="0"/>
                <w:color w:val="auto"/>
                <w:spacing w:val="0"/>
                <w:kern w:val="2"/>
                <w:sz w:val="24"/>
                <w:szCs w:val="24"/>
                <w:lang w:val="en-US" w:eastAsia="zh-CN" w:bidi="ar-SA"/>
              </w:rPr>
              <w:t>根据《辽宁省人民政府办公厅关于进一步加强电网建设的通知》（辽政办发〔2016〕9号）对输电线路走廊（包括杆、塔基）可不办理征地手续，只对输电线路杆、塔基占地作一次性经济补偿。</w:t>
            </w:r>
          </w:p>
          <w:p>
            <w:pPr>
              <w:pStyle w:val="51"/>
              <w:keepNext w:val="0"/>
              <w:keepLines w:val="0"/>
              <w:pageBreakBefore w:val="0"/>
              <w:widowControl w:val="0"/>
              <w:kinsoku/>
              <w:wordWrap/>
              <w:overflowPunct/>
              <w:topLinePunct/>
              <w:autoSpaceDE/>
              <w:autoSpaceDN/>
              <w:bidi w:val="0"/>
              <w:adjustRightInd/>
              <w:snapToGrid/>
              <w:spacing w:line="360" w:lineRule="auto"/>
              <w:ind w:left="42" w:right="42" w:firstLine="420"/>
              <w:textAlignment w:val="auto"/>
              <w:rPr>
                <w:rFonts w:hint="eastAsia" w:eastAsia="宋体" w:cs="Times New Roman"/>
                <w:b w:val="0"/>
                <w:bCs/>
                <w:caps w:val="0"/>
                <w:color w:val="auto"/>
                <w:spacing w:val="0"/>
                <w:kern w:val="2"/>
                <w:sz w:val="24"/>
                <w:szCs w:val="24"/>
                <w:lang w:val="en-US" w:eastAsia="zh-CN" w:bidi="ar-SA"/>
              </w:rPr>
            </w:pPr>
            <w:r>
              <w:rPr>
                <w:rFonts w:hint="eastAsia" w:eastAsia="宋体" w:cs="Times New Roman"/>
                <w:b w:val="0"/>
                <w:bCs/>
                <w:caps w:val="0"/>
                <w:color w:val="auto"/>
                <w:spacing w:val="0"/>
                <w:kern w:val="2"/>
                <w:sz w:val="24"/>
                <w:szCs w:val="24"/>
                <w:lang w:val="en-US" w:eastAsia="zh-CN" w:bidi="ar-SA"/>
              </w:rPr>
              <w:t>本项目永久占地为塔基占地，占地面积为0.13hm</w:t>
            </w:r>
            <w:r>
              <w:rPr>
                <w:rFonts w:hint="eastAsia" w:eastAsia="宋体" w:cs="Times New Roman"/>
                <w:b w:val="0"/>
                <w:bCs/>
                <w:caps w:val="0"/>
                <w:color w:val="auto"/>
                <w:spacing w:val="0"/>
                <w:kern w:val="2"/>
                <w:sz w:val="24"/>
                <w:szCs w:val="24"/>
                <w:vertAlign w:val="superscript"/>
                <w:lang w:val="en-US" w:eastAsia="zh-CN" w:bidi="ar-SA"/>
              </w:rPr>
              <w:t>2</w:t>
            </w:r>
            <w:r>
              <w:rPr>
                <w:rFonts w:hint="eastAsia" w:eastAsia="宋体" w:cs="Times New Roman"/>
                <w:b w:val="0"/>
                <w:bCs/>
                <w:caps w:val="0"/>
                <w:color w:val="auto"/>
                <w:spacing w:val="0"/>
                <w:kern w:val="2"/>
                <w:sz w:val="24"/>
                <w:szCs w:val="24"/>
                <w:lang w:val="en-US" w:eastAsia="zh-CN" w:bidi="ar-SA"/>
              </w:rPr>
              <w:t>；临时占地面积为2.9lhm</w:t>
            </w:r>
            <w:r>
              <w:rPr>
                <w:rFonts w:hint="eastAsia" w:eastAsia="宋体" w:cs="Times New Roman"/>
                <w:b w:val="0"/>
                <w:bCs/>
                <w:caps w:val="0"/>
                <w:color w:val="auto"/>
                <w:spacing w:val="0"/>
                <w:kern w:val="2"/>
                <w:sz w:val="24"/>
                <w:szCs w:val="24"/>
                <w:vertAlign w:val="superscript"/>
                <w:lang w:val="en-US" w:eastAsia="zh-CN" w:bidi="ar-SA"/>
              </w:rPr>
              <w:t>2</w:t>
            </w:r>
            <w:r>
              <w:rPr>
                <w:rFonts w:hint="eastAsia" w:eastAsia="宋体" w:cs="Times New Roman"/>
                <w:b w:val="0"/>
                <w:bCs/>
                <w:caps w:val="0"/>
                <w:color w:val="auto"/>
                <w:spacing w:val="0"/>
                <w:kern w:val="2"/>
                <w:sz w:val="24"/>
                <w:szCs w:val="24"/>
                <w:lang w:val="en-US" w:eastAsia="zh-CN" w:bidi="ar-SA"/>
              </w:rPr>
              <w:t>，为塔基区、牵张场、临时道路。本项目占用土地类型见下表。</w:t>
            </w:r>
          </w:p>
          <w:p>
            <w:pPr>
              <w:pStyle w:val="51"/>
              <w:keepNext w:val="0"/>
              <w:keepLines w:val="0"/>
              <w:pageBreakBefore w:val="0"/>
              <w:widowControl w:val="0"/>
              <w:kinsoku/>
              <w:wordWrap/>
              <w:overflowPunct/>
              <w:topLinePunct/>
              <w:autoSpaceDE/>
              <w:autoSpaceDN/>
              <w:bidi w:val="0"/>
              <w:adjustRightInd/>
              <w:snapToGrid/>
              <w:spacing w:line="360" w:lineRule="auto"/>
              <w:ind w:left="42" w:right="42" w:firstLine="420"/>
              <w:textAlignment w:val="auto"/>
              <w:rPr>
                <w:rFonts w:hint="eastAsia" w:ascii="Times New Roman" w:hAnsi="Times New Roman" w:eastAsia="宋体" w:cs="Times New Roman"/>
                <w:b w:val="0"/>
                <w:bCs/>
                <w:caps w:val="0"/>
                <w:color w:val="auto"/>
                <w:spacing w:val="0"/>
                <w:kern w:val="2"/>
                <w:sz w:val="24"/>
                <w:szCs w:val="24"/>
                <w:lang w:val="en-US" w:eastAsia="zh-CN" w:bidi="ar-SA"/>
              </w:rPr>
            </w:pPr>
            <w:r>
              <w:rPr>
                <w:rFonts w:hint="eastAsia" w:eastAsia="宋体" w:cs="Times New Roman"/>
                <w:b w:val="0"/>
                <w:bCs/>
                <w:caps w:val="0"/>
                <w:color w:val="auto"/>
                <w:spacing w:val="0"/>
                <w:kern w:val="2"/>
                <w:sz w:val="24"/>
                <w:szCs w:val="24"/>
                <w:lang w:val="en-US" w:eastAsia="zh-CN" w:bidi="ar-SA"/>
              </w:rPr>
              <w:t>本项目</w:t>
            </w:r>
            <w:r>
              <w:rPr>
                <w:rFonts w:hint="eastAsia" w:ascii="Times New Roman" w:hAnsi="Times New Roman" w:eastAsia="宋体" w:cs="Times New Roman"/>
                <w:b w:val="0"/>
                <w:bCs/>
                <w:caps w:val="0"/>
                <w:color w:val="auto"/>
                <w:spacing w:val="0"/>
                <w:kern w:val="2"/>
                <w:sz w:val="24"/>
                <w:szCs w:val="24"/>
                <w:lang w:val="en-US" w:eastAsia="zh-CN" w:bidi="ar-SA"/>
              </w:rPr>
              <w:t>占地情况见表2-</w:t>
            </w:r>
            <w:r>
              <w:rPr>
                <w:rFonts w:hint="eastAsia" w:eastAsia="宋体" w:cs="Times New Roman"/>
                <w:b w:val="0"/>
                <w:bCs/>
                <w:caps w:val="0"/>
                <w:color w:val="auto"/>
                <w:spacing w:val="0"/>
                <w:kern w:val="2"/>
                <w:sz w:val="24"/>
                <w:szCs w:val="24"/>
                <w:lang w:val="en-US" w:eastAsia="zh-CN" w:bidi="ar-SA"/>
              </w:rPr>
              <w:t>4</w:t>
            </w:r>
            <w:r>
              <w:rPr>
                <w:rFonts w:hint="eastAsia" w:ascii="Times New Roman" w:hAnsi="Times New Roman" w:eastAsia="宋体" w:cs="Times New Roman"/>
                <w:b w:val="0"/>
                <w:bCs/>
                <w:caps w:val="0"/>
                <w:color w:val="auto"/>
                <w:spacing w:val="0"/>
                <w:kern w:val="2"/>
                <w:sz w:val="24"/>
                <w:szCs w:val="24"/>
                <w:lang w:val="en-US" w:eastAsia="zh-CN" w:bidi="ar-SA"/>
              </w:rPr>
              <w:t>。</w:t>
            </w:r>
          </w:p>
          <w:p>
            <w:pPr>
              <w:pStyle w:val="51"/>
              <w:ind w:left="42" w:right="42" w:firstLine="1687" w:firstLineChars="800"/>
              <w:rPr>
                <w:rFonts w:hint="eastAsia"/>
                <w:color w:val="auto"/>
                <w:sz w:val="21"/>
                <w:szCs w:val="21"/>
                <w:vertAlign w:val="superscript"/>
              </w:rPr>
            </w:pPr>
            <w:bookmarkStart w:id="40" w:name="_Hlk170891154"/>
            <w:r>
              <w:rPr>
                <w:rFonts w:hint="eastAsia" w:ascii="Times New Roman" w:hAnsi="Times New Roman" w:eastAsia="宋体" w:cs="Times New Roman"/>
                <w:b/>
                <w:caps w:val="0"/>
                <w:color w:val="auto"/>
                <w:sz w:val="21"/>
                <w:szCs w:val="21"/>
              </w:rPr>
              <w:t>表2-</w:t>
            </w:r>
            <w:r>
              <w:rPr>
                <w:rFonts w:hint="eastAsia" w:ascii="Times New Roman" w:hAnsi="Times New Roman" w:eastAsia="宋体" w:cs="Times New Roman"/>
                <w:b/>
                <w:caps w:val="0"/>
                <w:color w:val="auto"/>
                <w:sz w:val="21"/>
                <w:szCs w:val="21"/>
                <w:lang w:val="en-US" w:eastAsia="zh-CN"/>
              </w:rPr>
              <w:t>4</w:t>
            </w:r>
            <w:r>
              <w:rPr>
                <w:rFonts w:hint="eastAsia" w:ascii="Times New Roman" w:hAnsi="Times New Roman" w:eastAsia="宋体" w:cs="Times New Roman"/>
                <w:b/>
                <w:caps w:val="0"/>
                <w:color w:val="auto"/>
                <w:sz w:val="21"/>
                <w:szCs w:val="21"/>
              </w:rPr>
              <w:t xml:space="preserve">   </w:t>
            </w:r>
            <w:r>
              <w:rPr>
                <w:rFonts w:hint="eastAsia" w:eastAsia="宋体" w:cs="Times New Roman"/>
                <w:b/>
                <w:caps w:val="0"/>
                <w:color w:val="auto"/>
                <w:sz w:val="21"/>
                <w:szCs w:val="21"/>
                <w:lang w:val="en-US" w:eastAsia="zh-CN"/>
              </w:rPr>
              <w:t xml:space="preserve">          </w:t>
            </w:r>
            <w:r>
              <w:rPr>
                <w:rFonts w:hint="eastAsia" w:ascii="Times New Roman" w:hAnsi="Times New Roman" w:eastAsia="宋体" w:cs="Times New Roman"/>
                <w:b/>
                <w:caps w:val="0"/>
                <w:color w:val="auto"/>
                <w:sz w:val="21"/>
                <w:szCs w:val="21"/>
              </w:rPr>
              <w:t xml:space="preserve"> 本项目占地情况表</w:t>
            </w:r>
            <w:r>
              <w:rPr>
                <w:rFonts w:hint="eastAsia" w:eastAsia="宋体" w:cs="Times New Roman"/>
                <w:b/>
                <w:caps w:val="0"/>
                <w:color w:val="auto"/>
                <w:sz w:val="21"/>
                <w:szCs w:val="21"/>
                <w:lang w:val="en-US" w:eastAsia="zh-CN"/>
              </w:rPr>
              <w:t xml:space="preserve">                </w:t>
            </w:r>
            <w:r>
              <w:rPr>
                <w:rFonts w:hint="eastAsia" w:ascii="Times New Roman" w:hAnsi="Times New Roman" w:eastAsia="宋体" w:cs="Times New Roman"/>
                <w:b/>
                <w:caps w:val="0"/>
                <w:color w:val="auto"/>
                <w:sz w:val="21"/>
                <w:szCs w:val="21"/>
              </w:rPr>
              <w:t>单位：hm</w:t>
            </w:r>
            <w:r>
              <w:rPr>
                <w:rFonts w:hint="eastAsia" w:ascii="Times New Roman" w:hAnsi="Times New Roman" w:eastAsia="宋体" w:cs="Times New Roman"/>
                <w:b/>
                <w:caps w:val="0"/>
                <w:color w:val="auto"/>
                <w:sz w:val="21"/>
                <w:szCs w:val="21"/>
                <w:vertAlign w:val="superscript"/>
              </w:rPr>
              <w:t>2</w:t>
            </w:r>
            <w:bookmarkEnd w:id="40"/>
          </w:p>
          <w:tbl>
            <w:tblPr>
              <w:tblStyle w:val="31"/>
              <w:tblW w:w="499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74"/>
              <w:gridCol w:w="1680"/>
              <w:gridCol w:w="720"/>
              <w:gridCol w:w="1005"/>
              <w:gridCol w:w="675"/>
              <w:gridCol w:w="660"/>
              <w:gridCol w:w="731"/>
              <w:gridCol w:w="614"/>
              <w:gridCol w:w="596"/>
              <w:gridCol w:w="549"/>
              <w:gridCol w:w="81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2354" w:type="dxa"/>
                  <w:gridSpan w:val="2"/>
                  <w:vMerge w:val="restart"/>
                  <w:tcBorders>
                    <w:bottom w:val="nil"/>
                  </w:tcBorders>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工程组成</w:t>
                  </w:r>
                </w:p>
              </w:tc>
              <w:tc>
                <w:tcPr>
                  <w:tcW w:w="720" w:type="dxa"/>
                  <w:vMerge w:val="restart"/>
                  <w:tcBorders>
                    <w:bottom w:val="nil"/>
                  </w:tcBorders>
                  <w:vAlign w:val="center"/>
                </w:tcPr>
                <w:p>
                  <w:pPr>
                    <w:pStyle w:val="3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占地面积</w:t>
                  </w:r>
                </w:p>
              </w:tc>
              <w:tc>
                <w:tcPr>
                  <w:tcW w:w="3685" w:type="dxa"/>
                  <w:gridSpan w:val="5"/>
                  <w:vAlign w:val="center"/>
                </w:tcPr>
                <w:p>
                  <w:pPr>
                    <w:pStyle w:val="3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占地类型</w:t>
                  </w:r>
                </w:p>
              </w:tc>
              <w:tc>
                <w:tcPr>
                  <w:tcW w:w="1145" w:type="dxa"/>
                  <w:gridSpan w:val="2"/>
                  <w:vAlign w:val="center"/>
                </w:tcPr>
                <w:p>
                  <w:pPr>
                    <w:pStyle w:val="3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占地性质</w:t>
                  </w:r>
                </w:p>
              </w:tc>
              <w:tc>
                <w:tcPr>
                  <w:tcW w:w="817" w:type="dxa"/>
                  <w:vAlign w:val="center"/>
                </w:tcPr>
                <w:p>
                  <w:pPr>
                    <w:pStyle w:val="3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占用水</w:t>
                  </w:r>
                </w:p>
                <w:p>
                  <w:pPr>
                    <w:pStyle w:val="3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土保持设施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2354" w:type="dxa"/>
                  <w:gridSpan w:val="2"/>
                  <w:vMerge w:val="continue"/>
                  <w:tcBorders>
                    <w:top w:val="nil"/>
                  </w:tcBorders>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p>
              </w:tc>
              <w:tc>
                <w:tcPr>
                  <w:tcW w:w="720" w:type="dxa"/>
                  <w:vMerge w:val="continue"/>
                  <w:tcBorders>
                    <w:top w:val="nil"/>
                  </w:tcBorders>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p>
              </w:tc>
              <w:tc>
                <w:tcPr>
                  <w:tcW w:w="1005" w:type="dxa"/>
                  <w:vAlign w:val="center"/>
                </w:tcPr>
                <w:p>
                  <w:pPr>
                    <w:pStyle w:val="3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公共设施用地</w:t>
                  </w:r>
                </w:p>
              </w:tc>
              <w:tc>
                <w:tcPr>
                  <w:tcW w:w="675" w:type="dxa"/>
                  <w:vAlign w:val="center"/>
                </w:tcPr>
                <w:p>
                  <w:pPr>
                    <w:pStyle w:val="3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旱地</w:t>
                  </w:r>
                </w:p>
              </w:tc>
              <w:tc>
                <w:tcPr>
                  <w:tcW w:w="660" w:type="dxa"/>
                  <w:vAlign w:val="center"/>
                </w:tcPr>
                <w:p>
                  <w:pPr>
                    <w:pStyle w:val="3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其他</w:t>
                  </w:r>
                </w:p>
                <w:p>
                  <w:pPr>
                    <w:pStyle w:val="3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草地</w:t>
                  </w:r>
                </w:p>
              </w:tc>
              <w:tc>
                <w:tcPr>
                  <w:tcW w:w="731" w:type="dxa"/>
                  <w:vAlign w:val="center"/>
                </w:tcPr>
                <w:p>
                  <w:pPr>
                    <w:pStyle w:val="3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其他</w:t>
                  </w:r>
                </w:p>
                <w:p>
                  <w:pPr>
                    <w:pStyle w:val="3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林地</w:t>
                  </w:r>
                </w:p>
              </w:tc>
              <w:tc>
                <w:tcPr>
                  <w:tcW w:w="614" w:type="dxa"/>
                  <w:vAlign w:val="center"/>
                </w:tcPr>
                <w:p>
                  <w:pPr>
                    <w:pStyle w:val="3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乔木</w:t>
                  </w:r>
                </w:p>
                <w:p>
                  <w:pPr>
                    <w:pStyle w:val="3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林地</w:t>
                  </w:r>
                </w:p>
              </w:tc>
              <w:tc>
                <w:tcPr>
                  <w:tcW w:w="596" w:type="dxa"/>
                  <w:vAlign w:val="center"/>
                </w:tcPr>
                <w:p>
                  <w:pPr>
                    <w:pStyle w:val="3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永久</w:t>
                  </w:r>
                </w:p>
                <w:p>
                  <w:pPr>
                    <w:pStyle w:val="3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占地</w:t>
                  </w:r>
                </w:p>
              </w:tc>
              <w:tc>
                <w:tcPr>
                  <w:tcW w:w="549" w:type="dxa"/>
                  <w:vAlign w:val="center"/>
                </w:tcPr>
                <w:p>
                  <w:pPr>
                    <w:pStyle w:val="3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临时</w:t>
                  </w:r>
                </w:p>
                <w:p>
                  <w:pPr>
                    <w:pStyle w:val="3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占地</w:t>
                  </w:r>
                </w:p>
              </w:tc>
              <w:tc>
                <w:tcPr>
                  <w:tcW w:w="817" w:type="dxa"/>
                  <w:vAlign w:val="center"/>
                </w:tcPr>
                <w:p>
                  <w:pPr>
                    <w:pStyle w:val="3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水平</w:t>
                  </w:r>
                </w:p>
                <w:p>
                  <w:pPr>
                    <w:pStyle w:val="3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梯田</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674" w:type="dxa"/>
                  <w:vMerge w:val="restart"/>
                  <w:tcBorders>
                    <w:bottom w:val="nil"/>
                  </w:tcBorders>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输电线路区</w:t>
                  </w:r>
                </w:p>
              </w:tc>
              <w:tc>
                <w:tcPr>
                  <w:tcW w:w="1680"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塔基区</w:t>
                  </w:r>
                </w:p>
              </w:tc>
              <w:tc>
                <w:tcPr>
                  <w:tcW w:w="720"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 l3</w:t>
                  </w:r>
                </w:p>
              </w:tc>
              <w:tc>
                <w:tcPr>
                  <w:tcW w:w="1005"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p>
              </w:tc>
              <w:tc>
                <w:tcPr>
                  <w:tcW w:w="675"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0.07</w:t>
                  </w:r>
                </w:p>
              </w:tc>
              <w:tc>
                <w:tcPr>
                  <w:tcW w:w="660"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0.02</w:t>
                  </w:r>
                </w:p>
              </w:tc>
              <w:tc>
                <w:tcPr>
                  <w:tcW w:w="731"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0.0l</w:t>
                  </w:r>
                </w:p>
              </w:tc>
              <w:tc>
                <w:tcPr>
                  <w:tcW w:w="614"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0.03</w:t>
                  </w:r>
                </w:p>
              </w:tc>
              <w:tc>
                <w:tcPr>
                  <w:tcW w:w="596"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 l3</w:t>
                  </w:r>
                </w:p>
              </w:tc>
              <w:tc>
                <w:tcPr>
                  <w:tcW w:w="549"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p>
              </w:tc>
              <w:tc>
                <w:tcPr>
                  <w:tcW w:w="817"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0.03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674" w:type="dxa"/>
                  <w:vMerge w:val="continue"/>
                  <w:tcBorders>
                    <w:top w:val="nil"/>
                    <w:bottom w:val="nil"/>
                  </w:tcBorders>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p>
              </w:tc>
              <w:tc>
                <w:tcPr>
                  <w:tcW w:w="1680"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塔基施工场地</w:t>
                  </w:r>
                </w:p>
              </w:tc>
              <w:tc>
                <w:tcPr>
                  <w:tcW w:w="720"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0.76</w:t>
                  </w:r>
                </w:p>
              </w:tc>
              <w:tc>
                <w:tcPr>
                  <w:tcW w:w="1005"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p>
              </w:tc>
              <w:tc>
                <w:tcPr>
                  <w:tcW w:w="675"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0.4l</w:t>
                  </w:r>
                </w:p>
              </w:tc>
              <w:tc>
                <w:tcPr>
                  <w:tcW w:w="660"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 l2</w:t>
                  </w:r>
                </w:p>
              </w:tc>
              <w:tc>
                <w:tcPr>
                  <w:tcW w:w="731"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0.06</w:t>
                  </w:r>
                </w:p>
              </w:tc>
              <w:tc>
                <w:tcPr>
                  <w:tcW w:w="614"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 l7</w:t>
                  </w:r>
                </w:p>
              </w:tc>
              <w:tc>
                <w:tcPr>
                  <w:tcW w:w="596"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p>
              </w:tc>
              <w:tc>
                <w:tcPr>
                  <w:tcW w:w="549"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0.76</w:t>
                  </w:r>
                </w:p>
              </w:tc>
              <w:tc>
                <w:tcPr>
                  <w:tcW w:w="817"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 l8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674" w:type="dxa"/>
                  <w:vMerge w:val="continue"/>
                  <w:tcBorders>
                    <w:top w:val="nil"/>
                    <w:bottom w:val="nil"/>
                  </w:tcBorders>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p>
              </w:tc>
              <w:tc>
                <w:tcPr>
                  <w:tcW w:w="1680"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牵张场地</w:t>
                  </w:r>
                </w:p>
              </w:tc>
              <w:tc>
                <w:tcPr>
                  <w:tcW w:w="720"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0.30</w:t>
                  </w:r>
                </w:p>
              </w:tc>
              <w:tc>
                <w:tcPr>
                  <w:tcW w:w="1005"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p>
              </w:tc>
              <w:tc>
                <w:tcPr>
                  <w:tcW w:w="675"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0.30</w:t>
                  </w:r>
                </w:p>
              </w:tc>
              <w:tc>
                <w:tcPr>
                  <w:tcW w:w="660"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p>
              </w:tc>
              <w:tc>
                <w:tcPr>
                  <w:tcW w:w="731"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p>
              </w:tc>
              <w:tc>
                <w:tcPr>
                  <w:tcW w:w="614"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p>
              </w:tc>
              <w:tc>
                <w:tcPr>
                  <w:tcW w:w="596"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p>
              </w:tc>
              <w:tc>
                <w:tcPr>
                  <w:tcW w:w="549"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0.30</w:t>
                  </w:r>
                </w:p>
              </w:tc>
              <w:tc>
                <w:tcPr>
                  <w:tcW w:w="817"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674" w:type="dxa"/>
                  <w:vMerge w:val="continue"/>
                  <w:tcBorders>
                    <w:top w:val="nil"/>
                    <w:bottom w:val="nil"/>
                  </w:tcBorders>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p>
              </w:tc>
              <w:tc>
                <w:tcPr>
                  <w:tcW w:w="1680"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跨越施工场地</w:t>
                  </w:r>
                </w:p>
              </w:tc>
              <w:tc>
                <w:tcPr>
                  <w:tcW w:w="720"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0.69</w:t>
                  </w:r>
                </w:p>
              </w:tc>
              <w:tc>
                <w:tcPr>
                  <w:tcW w:w="1005"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p>
              </w:tc>
              <w:tc>
                <w:tcPr>
                  <w:tcW w:w="675"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0.36</w:t>
                  </w:r>
                </w:p>
              </w:tc>
              <w:tc>
                <w:tcPr>
                  <w:tcW w:w="660"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0.06</w:t>
                  </w:r>
                </w:p>
              </w:tc>
              <w:tc>
                <w:tcPr>
                  <w:tcW w:w="731"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0.27</w:t>
                  </w:r>
                </w:p>
              </w:tc>
              <w:tc>
                <w:tcPr>
                  <w:tcW w:w="614"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p>
              </w:tc>
              <w:tc>
                <w:tcPr>
                  <w:tcW w:w="596"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p>
              </w:tc>
              <w:tc>
                <w:tcPr>
                  <w:tcW w:w="549"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0.69</w:t>
                  </w:r>
                </w:p>
              </w:tc>
              <w:tc>
                <w:tcPr>
                  <w:tcW w:w="817"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674" w:type="dxa"/>
                  <w:vMerge w:val="continue"/>
                  <w:tcBorders>
                    <w:top w:val="nil"/>
                  </w:tcBorders>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p>
              </w:tc>
              <w:tc>
                <w:tcPr>
                  <w:tcW w:w="1680"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施工道路</w:t>
                  </w:r>
                </w:p>
              </w:tc>
              <w:tc>
                <w:tcPr>
                  <w:tcW w:w="720"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l. l5</w:t>
                  </w:r>
                </w:p>
              </w:tc>
              <w:tc>
                <w:tcPr>
                  <w:tcW w:w="1005"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p>
              </w:tc>
              <w:tc>
                <w:tcPr>
                  <w:tcW w:w="675"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0.6l</w:t>
                  </w:r>
                </w:p>
              </w:tc>
              <w:tc>
                <w:tcPr>
                  <w:tcW w:w="660"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 l8</w:t>
                  </w:r>
                </w:p>
              </w:tc>
              <w:tc>
                <w:tcPr>
                  <w:tcW w:w="731"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0.09</w:t>
                  </w:r>
                </w:p>
              </w:tc>
              <w:tc>
                <w:tcPr>
                  <w:tcW w:w="614"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0.27</w:t>
                  </w:r>
                </w:p>
              </w:tc>
              <w:tc>
                <w:tcPr>
                  <w:tcW w:w="596"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p>
              </w:tc>
              <w:tc>
                <w:tcPr>
                  <w:tcW w:w="549"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l. l5</w:t>
                  </w:r>
                </w:p>
              </w:tc>
              <w:tc>
                <w:tcPr>
                  <w:tcW w:w="817"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2354" w:type="dxa"/>
                  <w:gridSpan w:val="2"/>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合计</w:t>
                  </w:r>
                </w:p>
              </w:tc>
              <w:tc>
                <w:tcPr>
                  <w:tcW w:w="720"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3.0</w:t>
                  </w:r>
                  <w:r>
                    <w:rPr>
                      <w:rFonts w:hint="eastAsia" w:ascii="Times New Roman" w:hAnsi="Times New Roman" w:eastAsia="宋体" w:cs="Times New Roman"/>
                      <w:color w:val="auto"/>
                      <w:spacing w:val="7"/>
                      <w:kern w:val="2"/>
                      <w:sz w:val="21"/>
                      <w:szCs w:val="21"/>
                      <w:lang w:val="en-US" w:eastAsia="zh-CN" w:bidi="ar-SA"/>
                    </w:rPr>
                    <w:t>3</w:t>
                  </w:r>
                </w:p>
              </w:tc>
              <w:tc>
                <w:tcPr>
                  <w:tcW w:w="1005"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p>
              </w:tc>
              <w:tc>
                <w:tcPr>
                  <w:tcW w:w="675"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l.75</w:t>
                  </w:r>
                </w:p>
              </w:tc>
              <w:tc>
                <w:tcPr>
                  <w:tcW w:w="660"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0.38</w:t>
                  </w:r>
                </w:p>
              </w:tc>
              <w:tc>
                <w:tcPr>
                  <w:tcW w:w="731"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0.43</w:t>
                  </w:r>
                </w:p>
              </w:tc>
              <w:tc>
                <w:tcPr>
                  <w:tcW w:w="614"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0.47</w:t>
                  </w:r>
                </w:p>
              </w:tc>
              <w:tc>
                <w:tcPr>
                  <w:tcW w:w="596"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 xml:space="preserve">0. </w:t>
                  </w:r>
                  <w:r>
                    <w:rPr>
                      <w:rFonts w:hint="eastAsia" w:ascii="Times New Roman" w:hAnsi="Times New Roman" w:eastAsia="宋体" w:cs="Times New Roman"/>
                      <w:color w:val="auto"/>
                      <w:spacing w:val="7"/>
                      <w:kern w:val="2"/>
                      <w:sz w:val="21"/>
                      <w:szCs w:val="21"/>
                      <w:lang w:val="en-US" w:eastAsia="zh-CN" w:bidi="ar-SA"/>
                    </w:rPr>
                    <w:t>13</w:t>
                  </w:r>
                </w:p>
              </w:tc>
              <w:tc>
                <w:tcPr>
                  <w:tcW w:w="549"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2.9</w:t>
                  </w:r>
                  <w:r>
                    <w:rPr>
                      <w:rFonts w:hint="eastAsia" w:ascii="Times New Roman" w:hAnsi="Times New Roman" w:eastAsia="宋体" w:cs="Times New Roman"/>
                      <w:color w:val="auto"/>
                      <w:spacing w:val="7"/>
                      <w:kern w:val="2"/>
                      <w:sz w:val="21"/>
                      <w:szCs w:val="21"/>
                      <w:lang w:val="en-US" w:eastAsia="zh-CN" w:bidi="ar-SA"/>
                    </w:rPr>
                    <w:t>0</w:t>
                  </w:r>
                </w:p>
              </w:tc>
              <w:tc>
                <w:tcPr>
                  <w:tcW w:w="817" w:type="dxa"/>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0.2l</w:t>
                  </w:r>
                </w:p>
              </w:tc>
            </w:tr>
          </w:tbl>
          <w:p>
            <w:pPr>
              <w:pStyle w:val="51"/>
              <w:keepNext w:val="0"/>
              <w:keepLines w:val="0"/>
              <w:pageBreakBefore w:val="0"/>
              <w:widowControl w:val="0"/>
              <w:numPr>
                <w:ilvl w:val="0"/>
                <w:numId w:val="0"/>
              </w:numPr>
              <w:kinsoku/>
              <w:wordWrap/>
              <w:overflowPunct/>
              <w:topLinePunct/>
              <w:autoSpaceDE/>
              <w:autoSpaceDN/>
              <w:bidi w:val="0"/>
              <w:adjustRightInd/>
              <w:snapToGrid/>
              <w:spacing w:line="360" w:lineRule="auto"/>
              <w:ind w:left="0" w:leftChars="0" w:right="42" w:rightChars="20" w:firstLine="482" w:firstLineChars="200"/>
              <w:textAlignment w:val="auto"/>
              <w:rPr>
                <w:rFonts w:hint="eastAsia" w:eastAsia="宋体" w:cs="Times New Roman"/>
                <w:b/>
                <w:bCs w:val="0"/>
                <w:caps w:val="0"/>
                <w:color w:val="auto"/>
                <w:spacing w:val="0"/>
                <w:kern w:val="2"/>
                <w:sz w:val="24"/>
                <w:szCs w:val="24"/>
                <w:lang w:val="en-US" w:eastAsia="zh-CN" w:bidi="ar-SA"/>
              </w:rPr>
            </w:pPr>
            <w:r>
              <w:rPr>
                <w:rFonts w:hint="eastAsia" w:ascii="Times New Roman" w:hAnsi="Times New Roman" w:eastAsia="宋体" w:cs="Times New Roman"/>
                <w:b/>
                <w:bCs w:val="0"/>
                <w:caps w:val="0"/>
                <w:color w:val="auto"/>
                <w:spacing w:val="0"/>
                <w:kern w:val="2"/>
                <w:sz w:val="24"/>
                <w:szCs w:val="24"/>
                <w:lang w:val="en-US" w:eastAsia="zh-CN" w:bidi="ar-SA"/>
              </w:rPr>
              <w:t>5、</w:t>
            </w:r>
            <w:r>
              <w:rPr>
                <w:rFonts w:hint="eastAsia" w:eastAsia="宋体" w:cs="Times New Roman"/>
                <w:b/>
                <w:bCs w:val="0"/>
                <w:caps w:val="0"/>
                <w:color w:val="auto"/>
                <w:spacing w:val="0"/>
                <w:kern w:val="2"/>
                <w:sz w:val="24"/>
                <w:szCs w:val="24"/>
                <w:lang w:val="en-US" w:eastAsia="zh-CN" w:bidi="ar-SA"/>
              </w:rPr>
              <w:t>土石方</w:t>
            </w:r>
          </w:p>
          <w:p>
            <w:pPr>
              <w:pStyle w:val="51"/>
              <w:keepNext w:val="0"/>
              <w:keepLines w:val="0"/>
              <w:pageBreakBefore w:val="0"/>
              <w:widowControl w:val="0"/>
              <w:kinsoku/>
              <w:wordWrap/>
              <w:overflowPunct/>
              <w:topLinePunct/>
              <w:autoSpaceDE/>
              <w:autoSpaceDN/>
              <w:bidi w:val="0"/>
              <w:adjustRightInd/>
              <w:snapToGrid/>
              <w:spacing w:line="360" w:lineRule="auto"/>
              <w:ind w:left="42" w:right="42" w:firstLine="420"/>
              <w:textAlignment w:val="auto"/>
              <w:rPr>
                <w:rFonts w:cs="Times New Roman"/>
                <w:color w:val="auto"/>
                <w:sz w:val="24"/>
                <w:szCs w:val="24"/>
              </w:rPr>
            </w:pPr>
            <w:bookmarkStart w:id="41" w:name="_Hlk173204103"/>
            <w:r>
              <w:rPr>
                <w:rFonts w:hint="eastAsia" w:cs="Times New Roman"/>
                <w:color w:val="auto"/>
                <w:sz w:val="24"/>
                <w:szCs w:val="24"/>
              </w:rPr>
              <w:t>本项目施工期土石方填挖总量为0.96万m</w:t>
            </w:r>
            <w:r>
              <w:rPr>
                <w:rFonts w:hint="eastAsia" w:cs="Times New Roman"/>
                <w:color w:val="auto"/>
                <w:sz w:val="24"/>
                <w:szCs w:val="24"/>
                <w:vertAlign w:val="superscript"/>
              </w:rPr>
              <w:t>3</w:t>
            </w:r>
            <w:r>
              <w:rPr>
                <w:rFonts w:hint="eastAsia" w:cs="Times New Roman"/>
                <w:color w:val="auto"/>
                <w:sz w:val="24"/>
                <w:szCs w:val="24"/>
              </w:rPr>
              <w:t>，其中挖方0.48万m</w:t>
            </w:r>
            <w:r>
              <w:rPr>
                <w:rFonts w:hint="eastAsia" w:cs="Times New Roman"/>
                <w:color w:val="auto"/>
                <w:sz w:val="24"/>
                <w:szCs w:val="24"/>
                <w:vertAlign w:val="superscript"/>
              </w:rPr>
              <w:t>3</w:t>
            </w:r>
            <w:r>
              <w:rPr>
                <w:rFonts w:hint="eastAsia" w:cs="Times New Roman"/>
                <w:color w:val="auto"/>
                <w:sz w:val="24"/>
                <w:szCs w:val="24"/>
              </w:rPr>
              <w:t>（其中表土</w:t>
            </w:r>
            <w:r>
              <w:rPr>
                <w:rFonts w:hint="eastAsia" w:cs="Times New Roman"/>
                <w:color w:val="auto"/>
                <w:sz w:val="24"/>
                <w:szCs w:val="24"/>
                <w:lang w:val="en-US" w:eastAsia="zh-CN"/>
              </w:rPr>
              <w:t>0.14</w:t>
            </w:r>
            <w:r>
              <w:rPr>
                <w:rFonts w:hint="eastAsia" w:cs="Times New Roman"/>
                <w:color w:val="auto"/>
                <w:sz w:val="24"/>
                <w:szCs w:val="24"/>
              </w:rPr>
              <w:t>万m</w:t>
            </w:r>
            <w:r>
              <w:rPr>
                <w:rFonts w:hint="eastAsia" w:cs="Times New Roman"/>
                <w:color w:val="auto"/>
                <w:sz w:val="24"/>
                <w:szCs w:val="24"/>
                <w:vertAlign w:val="superscript"/>
              </w:rPr>
              <w:t>3</w:t>
            </w:r>
            <w:r>
              <w:rPr>
                <w:rFonts w:hint="eastAsia" w:cs="Times New Roman"/>
                <w:color w:val="auto"/>
                <w:sz w:val="24"/>
                <w:szCs w:val="24"/>
              </w:rPr>
              <w:t>），填方0.48万m</w:t>
            </w:r>
            <w:r>
              <w:rPr>
                <w:rFonts w:hint="eastAsia" w:cs="Times New Roman"/>
                <w:color w:val="auto"/>
                <w:sz w:val="24"/>
                <w:szCs w:val="24"/>
                <w:vertAlign w:val="superscript"/>
              </w:rPr>
              <w:t>3</w:t>
            </w:r>
            <w:r>
              <w:rPr>
                <w:rFonts w:hint="eastAsia" w:cs="Times New Roman"/>
                <w:color w:val="auto"/>
                <w:sz w:val="24"/>
                <w:szCs w:val="24"/>
              </w:rPr>
              <w:t>（其中表土0.l4万m</w:t>
            </w:r>
            <w:r>
              <w:rPr>
                <w:rFonts w:hint="eastAsia" w:cs="Times New Roman"/>
                <w:color w:val="auto"/>
                <w:sz w:val="24"/>
                <w:szCs w:val="24"/>
                <w:vertAlign w:val="superscript"/>
              </w:rPr>
              <w:t>3</w:t>
            </w:r>
            <w:r>
              <w:rPr>
                <w:rFonts w:hint="eastAsia" w:cs="Times New Roman"/>
                <w:color w:val="auto"/>
                <w:sz w:val="24"/>
                <w:szCs w:val="24"/>
              </w:rPr>
              <w:t>），无借方，无弃方。</w:t>
            </w:r>
          </w:p>
          <w:p>
            <w:pPr>
              <w:pStyle w:val="51"/>
              <w:keepNext w:val="0"/>
              <w:keepLines w:val="0"/>
              <w:pageBreakBefore w:val="0"/>
              <w:widowControl w:val="0"/>
              <w:kinsoku/>
              <w:wordWrap/>
              <w:overflowPunct/>
              <w:topLinePunct/>
              <w:autoSpaceDE/>
              <w:autoSpaceDN/>
              <w:bidi w:val="0"/>
              <w:adjustRightInd/>
              <w:snapToGrid/>
              <w:spacing w:line="360" w:lineRule="auto"/>
              <w:ind w:left="42" w:right="42" w:firstLine="420"/>
              <w:textAlignment w:val="auto"/>
              <w:rPr>
                <w:rFonts w:cs="Times New Roman"/>
                <w:color w:val="auto"/>
                <w:sz w:val="24"/>
                <w:szCs w:val="24"/>
              </w:rPr>
            </w:pPr>
            <w:r>
              <w:rPr>
                <w:rFonts w:hint="eastAsia" w:cs="Times New Roman"/>
                <w:color w:val="auto"/>
                <w:sz w:val="24"/>
                <w:szCs w:val="24"/>
              </w:rPr>
              <w:t>塔基挖方回填在塔基征地范围内，进行平整、夯实。施工道路区主要是利用原有的道路和乡村小道，涉及土石方挖填主要是路面进行平整后就地回填，不产生大量土石方基础开挖和弃方。</w:t>
            </w:r>
          </w:p>
          <w:p>
            <w:pPr>
              <w:pStyle w:val="51"/>
              <w:keepNext w:val="0"/>
              <w:keepLines w:val="0"/>
              <w:pageBreakBefore w:val="0"/>
              <w:widowControl w:val="0"/>
              <w:kinsoku/>
              <w:wordWrap/>
              <w:overflowPunct/>
              <w:topLinePunct/>
              <w:autoSpaceDE/>
              <w:autoSpaceDN/>
              <w:bidi w:val="0"/>
              <w:adjustRightInd/>
              <w:snapToGrid/>
              <w:spacing w:line="360" w:lineRule="auto"/>
              <w:ind w:left="42" w:right="42" w:firstLine="420"/>
              <w:textAlignment w:val="auto"/>
              <w:rPr>
                <w:rFonts w:hint="eastAsia" w:cs="Times New Roman"/>
                <w:color w:val="auto"/>
                <w:sz w:val="24"/>
                <w:szCs w:val="24"/>
              </w:rPr>
            </w:pPr>
            <w:r>
              <w:rPr>
                <w:rFonts w:hint="eastAsia" w:cs="Times New Roman"/>
                <w:color w:val="auto"/>
                <w:sz w:val="24"/>
                <w:szCs w:val="24"/>
              </w:rPr>
              <w:t>多余弃土根据基坑回填后的余土工程量计算出抬高基础的外露高度，将弃土堆放于基础的塔基范围内，并堆放成龟背</w:t>
            </w:r>
            <w:r>
              <w:rPr>
                <w:rFonts w:hint="eastAsia" w:cs="Times New Roman"/>
                <w:color w:val="auto"/>
                <w:sz w:val="24"/>
                <w:szCs w:val="24"/>
                <w:lang w:eastAsia="zh-CN"/>
              </w:rPr>
              <w:t>形</w:t>
            </w:r>
            <w:r>
              <w:rPr>
                <w:rFonts w:hint="eastAsia" w:cs="Times New Roman"/>
                <w:color w:val="auto"/>
                <w:sz w:val="24"/>
                <w:szCs w:val="24"/>
              </w:rPr>
              <w:t>（堆放土石方边缘按1∶1.5放坡），以防止积水。</w:t>
            </w:r>
          </w:p>
          <w:p>
            <w:pPr>
              <w:pStyle w:val="51"/>
              <w:keepNext w:val="0"/>
              <w:keepLines w:val="0"/>
              <w:pageBreakBefore w:val="0"/>
              <w:widowControl w:val="0"/>
              <w:kinsoku/>
              <w:wordWrap/>
              <w:overflowPunct/>
              <w:topLinePunct/>
              <w:autoSpaceDE/>
              <w:autoSpaceDN/>
              <w:bidi w:val="0"/>
              <w:adjustRightInd/>
              <w:snapToGrid/>
              <w:spacing w:line="360" w:lineRule="auto"/>
              <w:ind w:left="42" w:right="42" w:firstLine="420"/>
              <w:textAlignment w:val="auto"/>
              <w:rPr>
                <w:rFonts w:hint="default" w:cs="Times New Roman"/>
                <w:color w:val="auto"/>
                <w:sz w:val="24"/>
                <w:szCs w:val="24"/>
                <w:lang w:val="en-US" w:eastAsia="zh-CN"/>
              </w:rPr>
            </w:pPr>
            <w:r>
              <w:rPr>
                <w:rFonts w:hint="eastAsia" w:cs="Times New Roman"/>
                <w:color w:val="auto"/>
                <w:sz w:val="24"/>
                <w:szCs w:val="24"/>
                <w:lang w:val="en-US" w:eastAsia="zh-CN"/>
              </w:rPr>
              <w:t>1）塔基区</w:t>
            </w:r>
          </w:p>
          <w:p>
            <w:pPr>
              <w:pStyle w:val="51"/>
              <w:keepNext w:val="0"/>
              <w:keepLines w:val="0"/>
              <w:pageBreakBefore w:val="0"/>
              <w:widowControl w:val="0"/>
              <w:kinsoku/>
              <w:wordWrap/>
              <w:overflowPunct/>
              <w:topLinePunct/>
              <w:autoSpaceDE/>
              <w:autoSpaceDN/>
              <w:bidi w:val="0"/>
              <w:adjustRightInd/>
              <w:snapToGrid/>
              <w:spacing w:line="360" w:lineRule="auto"/>
              <w:ind w:left="42" w:right="42" w:firstLine="420"/>
              <w:textAlignment w:val="auto"/>
              <w:rPr>
                <w:rFonts w:hint="eastAsia" w:cs="Times New Roman"/>
                <w:color w:val="auto"/>
                <w:sz w:val="24"/>
                <w:szCs w:val="24"/>
                <w:lang w:eastAsia="zh-CN"/>
              </w:rPr>
            </w:pPr>
            <w:r>
              <w:rPr>
                <w:rFonts w:hint="eastAsia" w:cs="Times New Roman"/>
                <w:color w:val="auto"/>
                <w:sz w:val="24"/>
                <w:szCs w:val="24"/>
              </w:rPr>
              <w:t>根据主体初步设计，塔基土石方开挖填筑活动主要集中在、表土剥离、基坑和施工基面的开挖、填筑，施工结束后进行全面整地或复耕。塔基挖方回填在塔基征地范围内，进行平整、夯实。本项目共计</w:t>
            </w:r>
            <w:r>
              <w:rPr>
                <w:rFonts w:hint="eastAsia" w:cs="Times New Roman"/>
                <w:color w:val="auto"/>
                <w:sz w:val="24"/>
                <w:szCs w:val="24"/>
                <w:lang w:val="en-US" w:eastAsia="zh-CN"/>
              </w:rPr>
              <w:t>21</w:t>
            </w:r>
            <w:r>
              <w:rPr>
                <w:rFonts w:hint="eastAsia" w:cs="Times New Roman"/>
                <w:color w:val="auto"/>
                <w:sz w:val="24"/>
                <w:szCs w:val="24"/>
              </w:rPr>
              <w:t>基铁塔，采用灌注桩基础l 基、挖孔桩基础20基。灌注桩基础柱径2.0m，平均埋深9.0m，平均每基挖方68m</w:t>
            </w:r>
            <w:r>
              <w:rPr>
                <w:rFonts w:hint="eastAsia" w:cs="Times New Roman"/>
                <w:color w:val="auto"/>
                <w:sz w:val="24"/>
                <w:szCs w:val="24"/>
                <w:vertAlign w:val="superscript"/>
              </w:rPr>
              <w:t>3</w:t>
            </w:r>
            <w:r>
              <w:rPr>
                <w:rFonts w:hint="eastAsia" w:cs="Times New Roman"/>
                <w:color w:val="auto"/>
                <w:sz w:val="24"/>
                <w:szCs w:val="24"/>
              </w:rPr>
              <w:t>；挖孔基础底宽3.0m，平均埋深7.9m，平均每基挖方56m</w:t>
            </w:r>
            <w:r>
              <w:rPr>
                <w:rFonts w:hint="eastAsia" w:cs="Times New Roman"/>
                <w:color w:val="auto"/>
                <w:sz w:val="24"/>
                <w:szCs w:val="24"/>
                <w:vertAlign w:val="superscript"/>
              </w:rPr>
              <w:t>3</w:t>
            </w:r>
            <w:r>
              <w:rPr>
                <w:rFonts w:hint="eastAsia" w:cs="Times New Roman"/>
                <w:color w:val="auto"/>
                <w:sz w:val="24"/>
                <w:szCs w:val="24"/>
              </w:rPr>
              <w:t>；经计算统计塔基基础开挖土石方0.l2万m</w:t>
            </w:r>
            <w:r>
              <w:rPr>
                <w:rFonts w:hint="eastAsia" w:cs="Times New Roman"/>
                <w:color w:val="auto"/>
                <w:sz w:val="24"/>
                <w:szCs w:val="24"/>
                <w:vertAlign w:val="superscript"/>
              </w:rPr>
              <w:t>3</w:t>
            </w:r>
            <w:r>
              <w:rPr>
                <w:rFonts w:hint="eastAsia" w:cs="Times New Roman"/>
                <w:color w:val="auto"/>
                <w:sz w:val="24"/>
                <w:szCs w:val="24"/>
              </w:rPr>
              <w:t>，施工前剥离表土0.03万m</w:t>
            </w:r>
            <w:r>
              <w:rPr>
                <w:rFonts w:hint="eastAsia" w:cs="Times New Roman"/>
                <w:color w:val="auto"/>
                <w:sz w:val="24"/>
                <w:szCs w:val="24"/>
                <w:vertAlign w:val="superscript"/>
              </w:rPr>
              <w:t>3</w:t>
            </w:r>
            <w:r>
              <w:rPr>
                <w:rFonts w:hint="eastAsia" w:cs="Times New Roman"/>
                <w:color w:val="auto"/>
                <w:sz w:val="24"/>
                <w:szCs w:val="24"/>
              </w:rPr>
              <w:t>，施工期塔基区共开挖土石方0.15万m³（其中表土0.03万m³</w:t>
            </w:r>
            <w:r>
              <w:rPr>
                <w:rFonts w:hint="eastAsia" w:cs="Times New Roman"/>
                <w:color w:val="auto"/>
                <w:sz w:val="24"/>
                <w:szCs w:val="24"/>
                <w:lang w:eastAsia="zh-CN"/>
              </w:rPr>
              <w:t>），</w:t>
            </w:r>
            <w:r>
              <w:rPr>
                <w:rFonts w:hint="eastAsia" w:cs="Times New Roman"/>
                <w:color w:val="auto"/>
                <w:sz w:val="24"/>
                <w:szCs w:val="24"/>
              </w:rPr>
              <w:t>开挖土方全部临时堆存在塔基施工场地内，一般土方和表土分开堆存，施工结束全部回填平整塔基区域</w:t>
            </w:r>
            <w:r>
              <w:rPr>
                <w:rFonts w:hint="eastAsia" w:cs="Times New Roman"/>
                <w:color w:val="auto"/>
                <w:sz w:val="24"/>
                <w:szCs w:val="24"/>
                <w:lang w:eastAsia="zh-CN"/>
              </w:rPr>
              <w:t>。</w:t>
            </w:r>
          </w:p>
          <w:p>
            <w:pPr>
              <w:pStyle w:val="51"/>
              <w:keepNext w:val="0"/>
              <w:keepLines w:val="0"/>
              <w:pageBreakBefore w:val="0"/>
              <w:widowControl w:val="0"/>
              <w:kinsoku/>
              <w:wordWrap/>
              <w:overflowPunct/>
              <w:topLinePunct/>
              <w:autoSpaceDE/>
              <w:autoSpaceDN/>
              <w:bidi w:val="0"/>
              <w:adjustRightInd/>
              <w:snapToGrid/>
              <w:spacing w:line="360" w:lineRule="auto"/>
              <w:ind w:left="42" w:right="42" w:firstLine="420"/>
              <w:textAlignment w:val="auto"/>
              <w:rPr>
                <w:rFonts w:hint="eastAsia" w:cs="Times New Roman"/>
                <w:color w:val="auto"/>
                <w:sz w:val="24"/>
                <w:szCs w:val="24"/>
                <w:lang w:eastAsia="zh-CN"/>
              </w:rPr>
            </w:pPr>
            <w:r>
              <w:rPr>
                <w:rFonts w:hint="eastAsia" w:cs="Times New Roman"/>
                <w:color w:val="auto"/>
                <w:sz w:val="24"/>
                <w:szCs w:val="24"/>
                <w:lang w:val="en-US" w:eastAsia="zh-CN"/>
              </w:rPr>
              <w:t>2</w:t>
            </w:r>
            <w:r>
              <w:rPr>
                <w:rFonts w:hint="eastAsia" w:cs="Times New Roman"/>
                <w:color w:val="auto"/>
                <w:sz w:val="24"/>
                <w:szCs w:val="24"/>
                <w:lang w:eastAsia="zh-CN"/>
              </w:rPr>
              <w:t>）塔基施工场地区</w:t>
            </w:r>
          </w:p>
          <w:p>
            <w:pPr>
              <w:pStyle w:val="51"/>
              <w:keepNext w:val="0"/>
              <w:keepLines w:val="0"/>
              <w:pageBreakBefore w:val="0"/>
              <w:widowControl w:val="0"/>
              <w:kinsoku/>
              <w:wordWrap/>
              <w:overflowPunct/>
              <w:topLinePunct/>
              <w:autoSpaceDE/>
              <w:autoSpaceDN/>
              <w:bidi w:val="0"/>
              <w:adjustRightInd/>
              <w:snapToGrid/>
              <w:spacing w:line="360" w:lineRule="auto"/>
              <w:ind w:left="42" w:right="42" w:firstLine="420"/>
              <w:textAlignment w:val="auto"/>
              <w:rPr>
                <w:rFonts w:hint="eastAsia" w:cs="Times New Roman"/>
                <w:color w:val="auto"/>
                <w:sz w:val="24"/>
                <w:szCs w:val="24"/>
                <w:lang w:eastAsia="zh-CN"/>
              </w:rPr>
            </w:pPr>
            <w:r>
              <w:rPr>
                <w:rFonts w:hint="eastAsia" w:cs="Times New Roman"/>
                <w:color w:val="auto"/>
                <w:sz w:val="24"/>
                <w:szCs w:val="24"/>
                <w:lang w:eastAsia="zh-CN"/>
              </w:rPr>
              <w:t>根据塔基基础的不同形式，施工场地的布置及扰动形式也有所不同，塔基掏挖基础及挖孔基础的施工场地扰动主要以堆土压覆、人员踩踏为主，不涉及土石方挖填。灌注桩基础施工时需布置泥浆池用来处理塔基施工时产生的泥浆每座泥浆池尺寸为8m（长）×4m（宽）×1.5m（深），每座挖方约48m³（表土剥离量6.4m</w:t>
            </w:r>
            <w:r>
              <w:rPr>
                <w:rFonts w:hint="eastAsia" w:cs="Times New Roman"/>
                <w:color w:val="auto"/>
                <w:sz w:val="24"/>
                <w:szCs w:val="24"/>
                <w:vertAlign w:val="superscript"/>
                <w:lang w:eastAsia="zh-CN"/>
              </w:rPr>
              <w:t>3</w:t>
            </w:r>
            <w:r>
              <w:rPr>
                <w:rFonts w:hint="eastAsia" w:cs="Times New Roman"/>
                <w:color w:val="auto"/>
                <w:sz w:val="24"/>
                <w:szCs w:val="24"/>
                <w:lang w:eastAsia="zh-CN"/>
              </w:rPr>
              <w:t>，剥离面积为32m</w:t>
            </w:r>
            <w:r>
              <w:rPr>
                <w:rFonts w:hint="eastAsia" w:cs="Times New Roman"/>
                <w:color w:val="auto"/>
                <w:sz w:val="24"/>
                <w:szCs w:val="24"/>
                <w:vertAlign w:val="superscript"/>
                <w:lang w:eastAsia="zh-CN"/>
              </w:rPr>
              <w:t>2</w:t>
            </w:r>
            <w:r>
              <w:rPr>
                <w:rFonts w:hint="eastAsia" w:cs="Times New Roman"/>
                <w:color w:val="auto"/>
                <w:sz w:val="24"/>
                <w:szCs w:val="24"/>
                <w:lang w:eastAsia="zh-CN"/>
              </w:rPr>
              <w:t>，剥离厚度为20cm），开挖土方全部临时堆存在施工场地内，施工结束后全部回填或平铺施工场地范围内。</w:t>
            </w:r>
          </w:p>
          <w:p>
            <w:pPr>
              <w:pStyle w:val="51"/>
              <w:keepNext w:val="0"/>
              <w:keepLines w:val="0"/>
              <w:pageBreakBefore w:val="0"/>
              <w:widowControl w:val="0"/>
              <w:kinsoku/>
              <w:wordWrap/>
              <w:overflowPunct/>
              <w:topLinePunct/>
              <w:autoSpaceDE/>
              <w:autoSpaceDN/>
              <w:bidi w:val="0"/>
              <w:adjustRightInd/>
              <w:snapToGrid/>
              <w:spacing w:line="360" w:lineRule="auto"/>
              <w:ind w:left="42" w:right="42" w:firstLine="420"/>
              <w:textAlignment w:val="auto"/>
              <w:rPr>
                <w:rFonts w:hint="eastAsia" w:cs="Times New Roman"/>
                <w:color w:val="auto"/>
                <w:sz w:val="24"/>
                <w:szCs w:val="24"/>
                <w:lang w:eastAsia="zh-CN"/>
              </w:rPr>
            </w:pPr>
            <w:r>
              <w:rPr>
                <w:rFonts w:hint="eastAsia" w:cs="Times New Roman"/>
                <w:color w:val="auto"/>
                <w:sz w:val="24"/>
                <w:szCs w:val="24"/>
                <w:lang w:val="en-US" w:eastAsia="zh-CN"/>
              </w:rPr>
              <w:t>3）</w:t>
            </w:r>
            <w:r>
              <w:rPr>
                <w:rFonts w:hint="eastAsia" w:cs="Times New Roman"/>
                <w:color w:val="auto"/>
                <w:sz w:val="24"/>
                <w:szCs w:val="24"/>
                <w:lang w:eastAsia="zh-CN"/>
              </w:rPr>
              <w:t>牵张场地区</w:t>
            </w:r>
          </w:p>
          <w:p>
            <w:pPr>
              <w:pStyle w:val="51"/>
              <w:keepNext w:val="0"/>
              <w:keepLines w:val="0"/>
              <w:pageBreakBefore w:val="0"/>
              <w:widowControl w:val="0"/>
              <w:kinsoku/>
              <w:wordWrap/>
              <w:overflowPunct/>
              <w:topLinePunct/>
              <w:autoSpaceDE/>
              <w:autoSpaceDN/>
              <w:bidi w:val="0"/>
              <w:adjustRightInd/>
              <w:snapToGrid/>
              <w:spacing w:line="360" w:lineRule="auto"/>
              <w:ind w:left="42" w:right="42" w:firstLine="420"/>
              <w:textAlignment w:val="auto"/>
              <w:rPr>
                <w:rFonts w:hint="eastAsia" w:cs="Times New Roman"/>
                <w:color w:val="auto"/>
                <w:sz w:val="24"/>
                <w:szCs w:val="24"/>
                <w:lang w:eastAsia="zh-CN"/>
              </w:rPr>
            </w:pPr>
            <w:r>
              <w:rPr>
                <w:rFonts w:hint="eastAsia" w:cs="Times New Roman"/>
                <w:color w:val="auto"/>
                <w:sz w:val="24"/>
                <w:szCs w:val="24"/>
                <w:lang w:eastAsia="zh-CN"/>
              </w:rPr>
              <w:t>牵张场施工场地占地一般选择地形平缓、靠近现有道路的区域，扰动方式主要为踩踏、压覆等为主，不涉及开挖等扰动，同时对占用的耕地采用钢板进行防护，故牵张场不涉及土石方挖填。</w:t>
            </w:r>
          </w:p>
          <w:p>
            <w:pPr>
              <w:pStyle w:val="51"/>
              <w:keepNext w:val="0"/>
              <w:keepLines w:val="0"/>
              <w:pageBreakBefore w:val="0"/>
              <w:widowControl w:val="0"/>
              <w:kinsoku/>
              <w:wordWrap/>
              <w:overflowPunct/>
              <w:topLinePunct/>
              <w:autoSpaceDE/>
              <w:autoSpaceDN/>
              <w:bidi w:val="0"/>
              <w:adjustRightInd/>
              <w:snapToGrid/>
              <w:spacing w:line="360" w:lineRule="auto"/>
              <w:ind w:left="42" w:right="42" w:firstLine="420"/>
              <w:textAlignment w:val="auto"/>
              <w:rPr>
                <w:rFonts w:hint="eastAsia" w:cs="Times New Roman"/>
                <w:color w:val="auto"/>
                <w:sz w:val="24"/>
                <w:szCs w:val="24"/>
                <w:lang w:eastAsia="zh-CN"/>
              </w:rPr>
            </w:pPr>
            <w:r>
              <w:rPr>
                <w:rFonts w:hint="eastAsia" w:cs="Times New Roman"/>
                <w:color w:val="auto"/>
                <w:sz w:val="24"/>
                <w:szCs w:val="24"/>
                <w:lang w:val="en-US" w:eastAsia="zh-CN"/>
              </w:rPr>
              <w:t>4</w:t>
            </w:r>
            <w:r>
              <w:rPr>
                <w:rFonts w:hint="eastAsia" w:cs="Times New Roman"/>
                <w:color w:val="auto"/>
                <w:sz w:val="24"/>
                <w:szCs w:val="24"/>
                <w:lang w:eastAsia="zh-CN"/>
              </w:rPr>
              <w:t>）跨越施工场地区</w:t>
            </w:r>
          </w:p>
          <w:p>
            <w:pPr>
              <w:pStyle w:val="51"/>
              <w:keepNext w:val="0"/>
              <w:keepLines w:val="0"/>
              <w:pageBreakBefore w:val="0"/>
              <w:widowControl w:val="0"/>
              <w:kinsoku/>
              <w:wordWrap/>
              <w:overflowPunct/>
              <w:topLinePunct/>
              <w:autoSpaceDE/>
              <w:autoSpaceDN/>
              <w:bidi w:val="0"/>
              <w:adjustRightInd/>
              <w:snapToGrid/>
              <w:spacing w:line="360" w:lineRule="auto"/>
              <w:ind w:left="42" w:right="42" w:firstLine="420"/>
              <w:textAlignment w:val="auto"/>
              <w:rPr>
                <w:rFonts w:hint="eastAsia" w:cs="Times New Roman"/>
                <w:color w:val="auto"/>
                <w:sz w:val="24"/>
                <w:szCs w:val="24"/>
                <w:lang w:eastAsia="zh-CN"/>
              </w:rPr>
            </w:pPr>
            <w:r>
              <w:rPr>
                <w:rFonts w:hint="eastAsia" w:cs="Times New Roman"/>
                <w:color w:val="auto"/>
                <w:sz w:val="24"/>
                <w:szCs w:val="24"/>
                <w:lang w:eastAsia="zh-CN"/>
              </w:rPr>
              <w:t>跨越施工场地一般依地形搭架，不涉及土石方挖填。</w:t>
            </w:r>
          </w:p>
          <w:p>
            <w:pPr>
              <w:pStyle w:val="51"/>
              <w:keepNext w:val="0"/>
              <w:keepLines w:val="0"/>
              <w:pageBreakBefore w:val="0"/>
              <w:widowControl w:val="0"/>
              <w:kinsoku/>
              <w:wordWrap/>
              <w:overflowPunct/>
              <w:topLinePunct/>
              <w:autoSpaceDE/>
              <w:autoSpaceDN/>
              <w:bidi w:val="0"/>
              <w:adjustRightInd/>
              <w:snapToGrid/>
              <w:spacing w:line="360" w:lineRule="auto"/>
              <w:ind w:left="42" w:right="42" w:firstLine="420"/>
              <w:textAlignment w:val="auto"/>
              <w:rPr>
                <w:rFonts w:hint="eastAsia" w:cs="Times New Roman"/>
                <w:color w:val="auto"/>
                <w:sz w:val="24"/>
                <w:szCs w:val="24"/>
                <w:lang w:eastAsia="zh-CN"/>
              </w:rPr>
            </w:pPr>
            <w:r>
              <w:rPr>
                <w:rFonts w:hint="eastAsia" w:cs="Times New Roman"/>
                <w:color w:val="auto"/>
                <w:sz w:val="24"/>
                <w:szCs w:val="24"/>
                <w:lang w:val="en-US" w:eastAsia="zh-CN"/>
              </w:rPr>
              <w:t>5）</w:t>
            </w:r>
            <w:r>
              <w:rPr>
                <w:rFonts w:hint="eastAsia" w:cs="Times New Roman"/>
                <w:color w:val="auto"/>
                <w:sz w:val="24"/>
                <w:szCs w:val="24"/>
                <w:lang w:eastAsia="zh-CN"/>
              </w:rPr>
              <w:t>施工道路区</w:t>
            </w:r>
          </w:p>
          <w:p>
            <w:pPr>
              <w:pStyle w:val="51"/>
              <w:keepNext w:val="0"/>
              <w:keepLines w:val="0"/>
              <w:pageBreakBefore w:val="0"/>
              <w:widowControl w:val="0"/>
              <w:kinsoku/>
              <w:wordWrap/>
              <w:overflowPunct/>
              <w:topLinePunct/>
              <w:autoSpaceDE/>
              <w:autoSpaceDN/>
              <w:bidi w:val="0"/>
              <w:adjustRightInd/>
              <w:snapToGrid/>
              <w:spacing w:line="360" w:lineRule="auto"/>
              <w:ind w:left="42" w:right="42" w:firstLine="420"/>
              <w:textAlignment w:val="auto"/>
              <w:rPr>
                <w:rFonts w:hint="eastAsia" w:cs="Times New Roman"/>
                <w:color w:val="auto"/>
                <w:sz w:val="24"/>
                <w:szCs w:val="24"/>
                <w:lang w:eastAsia="zh-CN"/>
              </w:rPr>
            </w:pPr>
            <w:r>
              <w:rPr>
                <w:rFonts w:hint="eastAsia" w:cs="Times New Roman"/>
                <w:color w:val="auto"/>
                <w:sz w:val="24"/>
                <w:szCs w:val="24"/>
                <w:lang w:eastAsia="zh-CN"/>
              </w:rPr>
              <w:t>本区的土石方主要来源于机械修建施工道路基础开挖、整平及表土剥离。本项目共修建道路3.84km，其中2.01km位于占用旱地的部分，较为平整，不需要开挖修筑，采用钢板进行防护，不涉及土石方挖填。剩余部分道路修建共开挖土石方0.32万m³（其中表土0.11万m³），施工结束后全部回填平整，回填土石方0.32万m³（其中表土0.11万m³）。土石方及表土调运情况详见下表。</w:t>
            </w:r>
          </w:p>
          <w:p>
            <w:pPr>
              <w:pStyle w:val="51"/>
              <w:keepNext w:val="0"/>
              <w:keepLines w:val="0"/>
              <w:pageBreakBefore w:val="0"/>
              <w:widowControl w:val="0"/>
              <w:kinsoku/>
              <w:wordWrap/>
              <w:overflowPunct/>
              <w:topLinePunct/>
              <w:autoSpaceDE/>
              <w:autoSpaceDN/>
              <w:bidi w:val="0"/>
              <w:adjustRightInd/>
              <w:snapToGrid/>
              <w:spacing w:line="240" w:lineRule="auto"/>
              <w:ind w:left="42" w:right="42" w:firstLine="420"/>
              <w:textAlignment w:val="auto"/>
              <w:rPr>
                <w:rFonts w:hint="eastAsia" w:cs="Times New Roman"/>
                <w:color w:val="auto"/>
                <w:sz w:val="24"/>
                <w:szCs w:val="24"/>
                <w:lang w:eastAsia="zh-CN"/>
              </w:rPr>
            </w:pPr>
          </w:p>
          <w:p>
            <w:pPr>
              <w:pStyle w:val="51"/>
              <w:keepNext w:val="0"/>
              <w:keepLines w:val="0"/>
              <w:pageBreakBefore w:val="0"/>
              <w:widowControl w:val="0"/>
              <w:kinsoku/>
              <w:wordWrap/>
              <w:overflowPunct/>
              <w:topLinePunct/>
              <w:autoSpaceDE/>
              <w:autoSpaceDN/>
              <w:bidi w:val="0"/>
              <w:adjustRightInd/>
              <w:snapToGrid/>
              <w:spacing w:line="240" w:lineRule="auto"/>
              <w:ind w:left="42" w:right="42" w:firstLine="420"/>
              <w:textAlignment w:val="auto"/>
              <w:rPr>
                <w:rFonts w:hint="eastAsia" w:cs="Times New Roman"/>
                <w:color w:val="auto"/>
                <w:sz w:val="24"/>
                <w:szCs w:val="24"/>
                <w:lang w:eastAsia="zh-CN"/>
              </w:rPr>
            </w:pPr>
          </w:p>
          <w:p>
            <w:pPr>
              <w:pStyle w:val="51"/>
              <w:keepNext w:val="0"/>
              <w:keepLines w:val="0"/>
              <w:pageBreakBefore w:val="0"/>
              <w:widowControl w:val="0"/>
              <w:kinsoku/>
              <w:wordWrap/>
              <w:overflowPunct/>
              <w:topLinePunct/>
              <w:autoSpaceDE/>
              <w:autoSpaceDN/>
              <w:bidi w:val="0"/>
              <w:adjustRightInd/>
              <w:snapToGrid/>
              <w:spacing w:line="240" w:lineRule="auto"/>
              <w:ind w:left="42" w:right="42" w:firstLine="1476" w:firstLineChars="700"/>
              <w:textAlignment w:val="auto"/>
              <w:rPr>
                <w:sz w:val="21"/>
                <w:szCs w:val="21"/>
              </w:rPr>
            </w:pPr>
            <w:r>
              <w:rPr>
                <w:rFonts w:hint="eastAsia" w:ascii="Times New Roman" w:hAnsi="Times New Roman" w:eastAsia="宋体" w:cs="Times New Roman"/>
                <w:b/>
                <w:caps w:val="0"/>
                <w:color w:val="auto"/>
                <w:sz w:val="21"/>
                <w:szCs w:val="21"/>
                <w:lang w:val="en-US" w:eastAsia="zh-CN"/>
              </w:rPr>
              <w:t xml:space="preserve">表2-5     </w:t>
            </w:r>
            <w:r>
              <w:rPr>
                <w:rFonts w:hint="eastAsia" w:eastAsia="宋体" w:cs="Times New Roman"/>
                <w:b/>
                <w:caps w:val="0"/>
                <w:color w:val="auto"/>
                <w:sz w:val="21"/>
                <w:szCs w:val="21"/>
                <w:lang w:val="en-US" w:eastAsia="zh-CN"/>
              </w:rPr>
              <w:t xml:space="preserve">      </w:t>
            </w:r>
            <w:r>
              <w:rPr>
                <w:rFonts w:hint="eastAsia" w:ascii="Times New Roman" w:hAnsi="Times New Roman" w:eastAsia="宋体" w:cs="Times New Roman"/>
                <w:b/>
                <w:caps w:val="0"/>
                <w:color w:val="auto"/>
                <w:sz w:val="21"/>
                <w:szCs w:val="21"/>
              </w:rPr>
              <w:t>土石方平衡表        单位：万 m³</w:t>
            </w:r>
          </w:p>
          <w:tbl>
            <w:tblPr>
              <w:tblStyle w:val="31"/>
              <w:tblW w:w="4995"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44"/>
              <w:gridCol w:w="1872"/>
              <w:gridCol w:w="917"/>
              <w:gridCol w:w="1463"/>
              <w:gridCol w:w="495"/>
              <w:gridCol w:w="477"/>
              <w:gridCol w:w="495"/>
              <w:gridCol w:w="461"/>
              <w:gridCol w:w="443"/>
              <w:gridCol w:w="512"/>
              <w:gridCol w:w="435"/>
              <w:gridCol w:w="50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jc w:val="center"/>
              </w:trPr>
              <w:tc>
                <w:tcPr>
                  <w:tcW w:w="644" w:type="dxa"/>
                  <w:vMerge w:val="restart"/>
                  <w:tcBorders>
                    <w:bottom w:val="nil"/>
                  </w:tcBorders>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序号</w:t>
                  </w:r>
                </w:p>
              </w:tc>
              <w:tc>
                <w:tcPr>
                  <w:tcW w:w="1873" w:type="dxa"/>
                  <w:vMerge w:val="restart"/>
                  <w:tcBorders>
                    <w:bottom w:val="nil"/>
                  </w:tcBorders>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分区</w:t>
                  </w:r>
                </w:p>
              </w:tc>
              <w:tc>
                <w:tcPr>
                  <w:tcW w:w="917" w:type="dxa"/>
                  <w:vMerge w:val="restart"/>
                  <w:tcBorders>
                    <w:bottom w:val="nil"/>
                  </w:tcBorders>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挖方</w:t>
                  </w:r>
                </w:p>
              </w:tc>
              <w:tc>
                <w:tcPr>
                  <w:tcW w:w="1464" w:type="dxa"/>
                  <w:vMerge w:val="restart"/>
                  <w:tcBorders>
                    <w:bottom w:val="nil"/>
                  </w:tcBorders>
                  <w:vAlign w:val="center"/>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填方</w:t>
                  </w:r>
                </w:p>
              </w:tc>
              <w:tc>
                <w:tcPr>
                  <w:tcW w:w="972" w:type="dxa"/>
                  <w:gridSpan w:val="2"/>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调入</w:t>
                  </w:r>
                </w:p>
              </w:tc>
              <w:tc>
                <w:tcPr>
                  <w:tcW w:w="956" w:type="dxa"/>
                  <w:gridSpan w:val="2"/>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调出</w:t>
                  </w:r>
                </w:p>
              </w:tc>
              <w:tc>
                <w:tcPr>
                  <w:tcW w:w="955" w:type="dxa"/>
                  <w:gridSpan w:val="2"/>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借方</w:t>
                  </w:r>
                </w:p>
              </w:tc>
              <w:tc>
                <w:tcPr>
                  <w:tcW w:w="936" w:type="dxa"/>
                  <w:gridSpan w:val="2"/>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弃方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jc w:val="center"/>
              </w:trPr>
              <w:tc>
                <w:tcPr>
                  <w:tcW w:w="644" w:type="dxa"/>
                  <w:vMerge w:val="continue"/>
                  <w:tcBorders>
                    <w:top w:val="nil"/>
                  </w:tcBorders>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p>
              </w:tc>
              <w:tc>
                <w:tcPr>
                  <w:tcW w:w="1873" w:type="dxa"/>
                  <w:vMerge w:val="continue"/>
                  <w:tcBorders>
                    <w:top w:val="nil"/>
                  </w:tcBorders>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p>
              </w:tc>
              <w:tc>
                <w:tcPr>
                  <w:tcW w:w="917" w:type="dxa"/>
                  <w:vMerge w:val="continue"/>
                  <w:tcBorders>
                    <w:top w:val="nil"/>
                  </w:tcBorders>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p>
              </w:tc>
              <w:tc>
                <w:tcPr>
                  <w:tcW w:w="1464" w:type="dxa"/>
                  <w:vMerge w:val="continue"/>
                  <w:tcBorders>
                    <w:top w:val="nil"/>
                  </w:tcBorders>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p>
              </w:tc>
              <w:tc>
                <w:tcPr>
                  <w:tcW w:w="495" w:type="dxa"/>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数量</w:t>
                  </w:r>
                </w:p>
              </w:tc>
              <w:tc>
                <w:tcPr>
                  <w:tcW w:w="477" w:type="dxa"/>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来源</w:t>
                  </w:r>
                </w:p>
              </w:tc>
              <w:tc>
                <w:tcPr>
                  <w:tcW w:w="495" w:type="dxa"/>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数量</w:t>
                  </w:r>
                </w:p>
              </w:tc>
              <w:tc>
                <w:tcPr>
                  <w:tcW w:w="461" w:type="dxa"/>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去向</w:t>
                  </w:r>
                </w:p>
              </w:tc>
              <w:tc>
                <w:tcPr>
                  <w:tcW w:w="443" w:type="dxa"/>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数量</w:t>
                  </w:r>
                </w:p>
              </w:tc>
              <w:tc>
                <w:tcPr>
                  <w:tcW w:w="512" w:type="dxa"/>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来源</w:t>
                  </w:r>
                </w:p>
              </w:tc>
              <w:tc>
                <w:tcPr>
                  <w:tcW w:w="435" w:type="dxa"/>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数量</w:t>
                  </w:r>
                </w:p>
              </w:tc>
              <w:tc>
                <w:tcPr>
                  <w:tcW w:w="501" w:type="dxa"/>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去向</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644" w:type="dxa"/>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①</w:t>
                  </w:r>
                </w:p>
              </w:tc>
              <w:tc>
                <w:tcPr>
                  <w:tcW w:w="1873" w:type="dxa"/>
                  <w:shd w:val="clear" w:color="auto" w:fill="auto"/>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firstLineChars="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塔基区</w:t>
                  </w:r>
                </w:p>
              </w:tc>
              <w:tc>
                <w:tcPr>
                  <w:tcW w:w="917" w:type="dxa"/>
                  <w:shd w:val="clear" w:color="auto" w:fill="auto"/>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firstLineChars="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0.1500</w:t>
                  </w:r>
                </w:p>
              </w:tc>
              <w:tc>
                <w:tcPr>
                  <w:tcW w:w="1464" w:type="dxa"/>
                  <w:shd w:val="clear" w:color="auto" w:fill="auto"/>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firstLineChars="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0.1500</w:t>
                  </w:r>
                </w:p>
              </w:tc>
              <w:tc>
                <w:tcPr>
                  <w:tcW w:w="495" w:type="dxa"/>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w:t>
                  </w:r>
                </w:p>
              </w:tc>
              <w:tc>
                <w:tcPr>
                  <w:tcW w:w="477" w:type="dxa"/>
                  <w:vAlign w:val="top"/>
                </w:tcPr>
                <w:p>
                  <w:pPr>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w:t>
                  </w:r>
                </w:p>
              </w:tc>
              <w:tc>
                <w:tcPr>
                  <w:tcW w:w="495" w:type="dxa"/>
                  <w:vAlign w:val="top"/>
                </w:tcPr>
                <w:p>
                  <w:pPr>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w:t>
                  </w:r>
                </w:p>
              </w:tc>
              <w:tc>
                <w:tcPr>
                  <w:tcW w:w="461" w:type="dxa"/>
                  <w:vAlign w:val="top"/>
                </w:tcPr>
                <w:p>
                  <w:pPr>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w:t>
                  </w:r>
                </w:p>
              </w:tc>
              <w:tc>
                <w:tcPr>
                  <w:tcW w:w="443" w:type="dxa"/>
                  <w:vAlign w:val="top"/>
                </w:tcPr>
                <w:p>
                  <w:pPr>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w:t>
                  </w:r>
                </w:p>
              </w:tc>
              <w:tc>
                <w:tcPr>
                  <w:tcW w:w="512" w:type="dxa"/>
                  <w:vAlign w:val="top"/>
                </w:tcPr>
                <w:p>
                  <w:pPr>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w:t>
                  </w:r>
                </w:p>
              </w:tc>
              <w:tc>
                <w:tcPr>
                  <w:tcW w:w="435" w:type="dxa"/>
                  <w:vAlign w:val="top"/>
                </w:tcPr>
                <w:p>
                  <w:pPr>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w:t>
                  </w:r>
                </w:p>
              </w:tc>
              <w:tc>
                <w:tcPr>
                  <w:tcW w:w="501" w:type="dxa"/>
                  <w:vAlign w:val="top"/>
                </w:tcPr>
                <w:p>
                  <w:pPr>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jc w:val="center"/>
              </w:trPr>
              <w:tc>
                <w:tcPr>
                  <w:tcW w:w="644" w:type="dxa"/>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②</w:t>
                  </w:r>
                </w:p>
              </w:tc>
              <w:tc>
                <w:tcPr>
                  <w:tcW w:w="1873" w:type="dxa"/>
                  <w:shd w:val="clear" w:color="auto" w:fill="auto"/>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firstLineChars="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塔基施工场地区</w:t>
                  </w:r>
                </w:p>
              </w:tc>
              <w:tc>
                <w:tcPr>
                  <w:tcW w:w="917" w:type="dxa"/>
                  <w:shd w:val="clear" w:color="auto" w:fill="auto"/>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firstLineChars="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0.0048</w:t>
                  </w:r>
                </w:p>
              </w:tc>
              <w:tc>
                <w:tcPr>
                  <w:tcW w:w="1464" w:type="dxa"/>
                  <w:shd w:val="clear" w:color="auto" w:fill="auto"/>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firstLineChars="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0.0048</w:t>
                  </w:r>
                </w:p>
              </w:tc>
              <w:tc>
                <w:tcPr>
                  <w:tcW w:w="495" w:type="dxa"/>
                  <w:vAlign w:val="top"/>
                </w:tcPr>
                <w:p>
                  <w:pPr>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w:t>
                  </w:r>
                </w:p>
              </w:tc>
              <w:tc>
                <w:tcPr>
                  <w:tcW w:w="477" w:type="dxa"/>
                  <w:vAlign w:val="top"/>
                </w:tcPr>
                <w:p>
                  <w:pPr>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w:t>
                  </w:r>
                </w:p>
              </w:tc>
              <w:tc>
                <w:tcPr>
                  <w:tcW w:w="495" w:type="dxa"/>
                  <w:vAlign w:val="top"/>
                </w:tcPr>
                <w:p>
                  <w:pPr>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w:t>
                  </w:r>
                </w:p>
              </w:tc>
              <w:tc>
                <w:tcPr>
                  <w:tcW w:w="461" w:type="dxa"/>
                  <w:vAlign w:val="top"/>
                </w:tcPr>
                <w:p>
                  <w:pPr>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w:t>
                  </w:r>
                </w:p>
              </w:tc>
              <w:tc>
                <w:tcPr>
                  <w:tcW w:w="443" w:type="dxa"/>
                  <w:vAlign w:val="top"/>
                </w:tcPr>
                <w:p>
                  <w:pPr>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w:t>
                  </w:r>
                </w:p>
              </w:tc>
              <w:tc>
                <w:tcPr>
                  <w:tcW w:w="512" w:type="dxa"/>
                  <w:vAlign w:val="top"/>
                </w:tcPr>
                <w:p>
                  <w:pPr>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w:t>
                  </w:r>
                </w:p>
              </w:tc>
              <w:tc>
                <w:tcPr>
                  <w:tcW w:w="435" w:type="dxa"/>
                  <w:vAlign w:val="top"/>
                </w:tcPr>
                <w:p>
                  <w:pPr>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w:t>
                  </w:r>
                </w:p>
              </w:tc>
              <w:tc>
                <w:tcPr>
                  <w:tcW w:w="501" w:type="dxa"/>
                  <w:vAlign w:val="top"/>
                </w:tcPr>
                <w:p>
                  <w:pPr>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644" w:type="dxa"/>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③</w:t>
                  </w:r>
                </w:p>
              </w:tc>
              <w:tc>
                <w:tcPr>
                  <w:tcW w:w="1873" w:type="dxa"/>
                  <w:shd w:val="clear" w:color="auto" w:fill="auto"/>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firstLineChars="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施工道路区</w:t>
                  </w:r>
                </w:p>
              </w:tc>
              <w:tc>
                <w:tcPr>
                  <w:tcW w:w="917" w:type="dxa"/>
                  <w:shd w:val="clear" w:color="auto" w:fill="auto"/>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firstLineChars="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0.3200</w:t>
                  </w:r>
                </w:p>
              </w:tc>
              <w:tc>
                <w:tcPr>
                  <w:tcW w:w="1464" w:type="dxa"/>
                  <w:shd w:val="clear" w:color="auto" w:fill="auto"/>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firstLineChars="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0.3200</w:t>
                  </w:r>
                </w:p>
              </w:tc>
              <w:tc>
                <w:tcPr>
                  <w:tcW w:w="495" w:type="dxa"/>
                  <w:vAlign w:val="top"/>
                </w:tcPr>
                <w:p>
                  <w:pPr>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w:t>
                  </w:r>
                </w:p>
              </w:tc>
              <w:tc>
                <w:tcPr>
                  <w:tcW w:w="477" w:type="dxa"/>
                  <w:vAlign w:val="top"/>
                </w:tcPr>
                <w:p>
                  <w:pPr>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w:t>
                  </w:r>
                </w:p>
              </w:tc>
              <w:tc>
                <w:tcPr>
                  <w:tcW w:w="495" w:type="dxa"/>
                  <w:vAlign w:val="top"/>
                </w:tcPr>
                <w:p>
                  <w:pPr>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w:t>
                  </w:r>
                </w:p>
              </w:tc>
              <w:tc>
                <w:tcPr>
                  <w:tcW w:w="461" w:type="dxa"/>
                  <w:vAlign w:val="top"/>
                </w:tcPr>
                <w:p>
                  <w:pPr>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w:t>
                  </w:r>
                </w:p>
              </w:tc>
              <w:tc>
                <w:tcPr>
                  <w:tcW w:w="443" w:type="dxa"/>
                  <w:vAlign w:val="top"/>
                </w:tcPr>
                <w:p>
                  <w:pPr>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w:t>
                  </w:r>
                </w:p>
              </w:tc>
              <w:tc>
                <w:tcPr>
                  <w:tcW w:w="512" w:type="dxa"/>
                  <w:vAlign w:val="top"/>
                </w:tcPr>
                <w:p>
                  <w:pPr>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w:t>
                  </w:r>
                </w:p>
              </w:tc>
              <w:tc>
                <w:tcPr>
                  <w:tcW w:w="435" w:type="dxa"/>
                  <w:vAlign w:val="top"/>
                </w:tcPr>
                <w:p>
                  <w:pPr>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w:t>
                  </w:r>
                </w:p>
              </w:tc>
              <w:tc>
                <w:tcPr>
                  <w:tcW w:w="501" w:type="dxa"/>
                  <w:vAlign w:val="top"/>
                </w:tcPr>
                <w:p>
                  <w:pPr>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644" w:type="dxa"/>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p>
              </w:tc>
              <w:tc>
                <w:tcPr>
                  <w:tcW w:w="1873" w:type="dxa"/>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合计</w:t>
                  </w:r>
                </w:p>
              </w:tc>
              <w:tc>
                <w:tcPr>
                  <w:tcW w:w="917" w:type="dxa"/>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0.4</w:t>
                  </w:r>
                  <w:r>
                    <w:rPr>
                      <w:rFonts w:hint="eastAsia" w:ascii="Times New Roman" w:hAnsi="Times New Roman" w:eastAsia="宋体" w:cs="Times New Roman"/>
                      <w:color w:val="auto"/>
                      <w:spacing w:val="7"/>
                      <w:kern w:val="2"/>
                      <w:sz w:val="21"/>
                      <w:szCs w:val="21"/>
                      <w:lang w:val="en-US" w:eastAsia="zh-CN" w:bidi="ar-SA"/>
                    </w:rPr>
                    <w:t>7</w:t>
                  </w:r>
                  <w:r>
                    <w:rPr>
                      <w:rFonts w:hint="default" w:ascii="Times New Roman" w:hAnsi="Times New Roman" w:eastAsia="宋体" w:cs="Times New Roman"/>
                      <w:color w:val="auto"/>
                      <w:spacing w:val="7"/>
                      <w:kern w:val="2"/>
                      <w:sz w:val="21"/>
                      <w:szCs w:val="21"/>
                      <w:lang w:val="en-US" w:eastAsia="zh-CN" w:bidi="ar-SA"/>
                    </w:rPr>
                    <w:t>48</w:t>
                  </w:r>
                </w:p>
              </w:tc>
              <w:tc>
                <w:tcPr>
                  <w:tcW w:w="1464" w:type="dxa"/>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default" w:ascii="Times New Roman" w:hAnsi="Times New Roman" w:eastAsia="宋体" w:cs="Times New Roman"/>
                      <w:color w:val="auto"/>
                      <w:spacing w:val="7"/>
                      <w:kern w:val="2"/>
                      <w:sz w:val="21"/>
                      <w:szCs w:val="21"/>
                      <w:lang w:val="en-US" w:eastAsia="zh-CN" w:bidi="ar-SA"/>
                    </w:rPr>
                    <w:t>0.4</w:t>
                  </w:r>
                  <w:r>
                    <w:rPr>
                      <w:rFonts w:hint="eastAsia" w:ascii="Times New Roman" w:hAnsi="Times New Roman" w:eastAsia="宋体" w:cs="Times New Roman"/>
                      <w:color w:val="auto"/>
                      <w:spacing w:val="7"/>
                      <w:kern w:val="2"/>
                      <w:sz w:val="21"/>
                      <w:szCs w:val="21"/>
                      <w:lang w:val="en-US" w:eastAsia="zh-CN" w:bidi="ar-SA"/>
                    </w:rPr>
                    <w:t>7</w:t>
                  </w:r>
                  <w:r>
                    <w:rPr>
                      <w:rFonts w:hint="default" w:ascii="Times New Roman" w:hAnsi="Times New Roman" w:eastAsia="宋体" w:cs="Times New Roman"/>
                      <w:color w:val="auto"/>
                      <w:spacing w:val="7"/>
                      <w:kern w:val="2"/>
                      <w:sz w:val="21"/>
                      <w:szCs w:val="21"/>
                      <w:lang w:val="en-US" w:eastAsia="zh-CN" w:bidi="ar-SA"/>
                    </w:rPr>
                    <w:t>48</w:t>
                  </w:r>
                </w:p>
              </w:tc>
              <w:tc>
                <w:tcPr>
                  <w:tcW w:w="495" w:type="dxa"/>
                  <w:vAlign w:val="top"/>
                </w:tcPr>
                <w:p>
                  <w:pPr>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w:t>
                  </w:r>
                </w:p>
              </w:tc>
              <w:tc>
                <w:tcPr>
                  <w:tcW w:w="477" w:type="dxa"/>
                  <w:vAlign w:val="top"/>
                </w:tcPr>
                <w:p>
                  <w:pPr>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w:t>
                  </w:r>
                </w:p>
              </w:tc>
              <w:tc>
                <w:tcPr>
                  <w:tcW w:w="495" w:type="dxa"/>
                  <w:vAlign w:val="top"/>
                </w:tcPr>
                <w:p>
                  <w:pPr>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w:t>
                  </w:r>
                </w:p>
              </w:tc>
              <w:tc>
                <w:tcPr>
                  <w:tcW w:w="461" w:type="dxa"/>
                  <w:vAlign w:val="top"/>
                </w:tcPr>
                <w:p>
                  <w:pPr>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w:t>
                  </w:r>
                </w:p>
              </w:tc>
              <w:tc>
                <w:tcPr>
                  <w:tcW w:w="443" w:type="dxa"/>
                  <w:vAlign w:val="top"/>
                </w:tcPr>
                <w:p>
                  <w:pPr>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w:t>
                  </w:r>
                </w:p>
              </w:tc>
              <w:tc>
                <w:tcPr>
                  <w:tcW w:w="512" w:type="dxa"/>
                  <w:vAlign w:val="top"/>
                </w:tcPr>
                <w:p>
                  <w:pPr>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w:t>
                  </w:r>
                </w:p>
              </w:tc>
              <w:tc>
                <w:tcPr>
                  <w:tcW w:w="435" w:type="dxa"/>
                  <w:vAlign w:val="top"/>
                </w:tcPr>
                <w:p>
                  <w:pPr>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w:t>
                  </w:r>
                </w:p>
              </w:tc>
              <w:tc>
                <w:tcPr>
                  <w:tcW w:w="501" w:type="dxa"/>
                  <w:vAlign w:val="top"/>
                </w:tcPr>
                <w:p>
                  <w:pPr>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rPr>
                      <w:rFonts w:hint="default" w:ascii="Times New Roman" w:hAnsi="Times New Roman" w:eastAsia="宋体" w:cs="Times New Roman"/>
                      <w:color w:val="auto"/>
                      <w:spacing w:val="7"/>
                      <w:kern w:val="2"/>
                      <w:sz w:val="21"/>
                      <w:szCs w:val="21"/>
                      <w:lang w:val="en-US" w:eastAsia="zh-CN" w:bidi="ar-SA"/>
                    </w:rPr>
                  </w:pPr>
                  <w:r>
                    <w:rPr>
                      <w:rFonts w:hint="eastAsia" w:ascii="Times New Roman" w:hAnsi="Times New Roman" w:eastAsia="宋体" w:cs="Times New Roman"/>
                      <w:color w:val="auto"/>
                      <w:spacing w:val="7"/>
                      <w:kern w:val="2"/>
                      <w:sz w:val="21"/>
                      <w:szCs w:val="21"/>
                      <w:lang w:val="en-US" w:eastAsia="zh-CN" w:bidi="ar-SA"/>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jc w:val="center"/>
              </w:trPr>
              <w:tc>
                <w:tcPr>
                  <w:tcW w:w="8717" w:type="dxa"/>
                  <w:gridSpan w:val="12"/>
                  <w:vAlign w:val="top"/>
                </w:tcPr>
                <w:p>
                  <w:pPr>
                    <w:pStyle w:val="38"/>
                    <w:keepNext w:val="0"/>
                    <w:keepLines w:val="0"/>
                    <w:pageBreakBefore w:val="0"/>
                    <w:widowControl w:val="0"/>
                    <w:kinsoku/>
                    <w:wordWrap/>
                    <w:overflowPunct/>
                    <w:autoSpaceDE/>
                    <w:autoSpaceDN/>
                    <w:bidi w:val="0"/>
                    <w:adjustRightInd/>
                    <w:snapToGrid/>
                    <w:spacing w:before="39" w:line="240" w:lineRule="auto"/>
                    <w:ind w:left="0" w:leftChars="0" w:right="0" w:rightChars="0" w:firstLine="0"/>
                    <w:jc w:val="center"/>
                    <w:textAlignment w:val="auto"/>
                  </w:pPr>
                  <w:r>
                    <w:rPr>
                      <w:rFonts w:hint="default" w:ascii="Times New Roman" w:hAnsi="Times New Roman" w:eastAsia="宋体" w:cs="Times New Roman"/>
                      <w:color w:val="auto"/>
                      <w:spacing w:val="7"/>
                      <w:kern w:val="2"/>
                      <w:sz w:val="21"/>
                      <w:szCs w:val="21"/>
                      <w:lang w:val="en-US" w:eastAsia="zh-CN" w:bidi="ar-SA"/>
                    </w:rPr>
                    <w:t>备注：土石方为自然方。弃方用于抬高基础的外露高度</w:t>
                  </w:r>
                </w:p>
              </w:tc>
            </w:tr>
          </w:tbl>
          <w:p>
            <w:pPr>
              <w:pStyle w:val="51"/>
              <w:ind w:left="42" w:right="42" w:firstLine="420"/>
              <w:rPr>
                <w:rFonts w:hint="eastAsia" w:ascii="仿宋" w:hAnsi="仿宋" w:eastAsia="仿宋" w:cs="仿宋"/>
                <w:spacing w:val="7"/>
                <w:sz w:val="23"/>
                <w:szCs w:val="23"/>
                <w:lang w:eastAsia="zh-CN"/>
              </w:rPr>
            </w:pPr>
          </w:p>
          <w:p>
            <w:pPr>
              <w:pStyle w:val="51"/>
              <w:spacing w:line="240" w:lineRule="auto"/>
              <w:ind w:left="0" w:leftChars="0" w:right="0" w:rightChars="0" w:firstLine="0" w:firstLineChars="0"/>
              <w:jc w:val="center"/>
              <w:rPr>
                <w:rFonts w:cs="Times New Roman"/>
                <w:color w:val="auto"/>
              </w:rPr>
            </w:pPr>
            <w:r>
              <w:rPr>
                <w:snapToGrid/>
                <w:color w:val="auto"/>
              </w:rPr>
              <w:drawing>
                <wp:inline distT="0" distB="0" distL="0" distR="0">
                  <wp:extent cx="3563620" cy="1567180"/>
                  <wp:effectExtent l="0" t="0" r="17780" b="13970"/>
                  <wp:docPr id="19698397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839765" name="图片 1"/>
                          <pic:cNvPicPr>
                            <a:picLocks noChangeAspect="1"/>
                          </pic:cNvPicPr>
                        </pic:nvPicPr>
                        <pic:blipFill>
                          <a:blip r:embed="rId29"/>
                          <a:stretch>
                            <a:fillRect/>
                          </a:stretch>
                        </pic:blipFill>
                        <pic:spPr>
                          <a:xfrm>
                            <a:off x="0" y="0"/>
                            <a:ext cx="3578462" cy="1573820"/>
                          </a:xfrm>
                          <a:prstGeom prst="rect">
                            <a:avLst/>
                          </a:prstGeom>
                        </pic:spPr>
                      </pic:pic>
                    </a:graphicData>
                  </a:graphic>
                </wp:inline>
              </w:drawing>
            </w:r>
          </w:p>
          <w:p>
            <w:pPr>
              <w:pStyle w:val="51"/>
              <w:ind w:left="0" w:leftChars="0" w:right="42" w:firstLine="0" w:firstLineChars="0"/>
              <w:jc w:val="center"/>
              <w:rPr>
                <w:rFonts w:cs="Times New Roman"/>
                <w:b/>
                <w:bCs/>
                <w:color w:val="auto"/>
              </w:rPr>
            </w:pPr>
            <w:r>
              <w:rPr>
                <w:rFonts w:hint="eastAsia" w:cs="Times New Roman"/>
                <w:b/>
                <w:bCs/>
                <w:color w:val="auto"/>
              </w:rPr>
              <w:t>图2</w:t>
            </w:r>
            <w:r>
              <w:rPr>
                <w:rFonts w:cs="Times New Roman"/>
                <w:b/>
                <w:bCs/>
                <w:color w:val="auto"/>
              </w:rPr>
              <w:t>-</w:t>
            </w:r>
            <w:r>
              <w:rPr>
                <w:rFonts w:hint="eastAsia" w:cs="Times New Roman"/>
                <w:b/>
                <w:bCs/>
                <w:color w:val="auto"/>
                <w:lang w:val="en-US" w:eastAsia="zh-CN"/>
              </w:rPr>
              <w:t>2</w:t>
            </w:r>
            <w:r>
              <w:rPr>
                <w:rFonts w:cs="Times New Roman"/>
                <w:b/>
                <w:bCs/>
                <w:color w:val="auto"/>
              </w:rPr>
              <w:t xml:space="preserve">    </w:t>
            </w:r>
            <w:r>
              <w:rPr>
                <w:rFonts w:hint="eastAsia" w:cs="Times New Roman"/>
                <w:b/>
                <w:bCs/>
                <w:color w:val="auto"/>
              </w:rPr>
              <w:t>弃土处理示意图</w:t>
            </w:r>
          </w:p>
          <w:bookmarkEnd w:id="41"/>
          <w:p>
            <w:pPr>
              <w:numPr>
                <w:ilvl w:val="0"/>
                <w:numId w:val="0"/>
              </w:numPr>
              <w:spacing w:before="42" w:line="221" w:lineRule="auto"/>
              <w:ind w:left="0" w:leftChars="0" w:firstLine="458" w:firstLineChars="200"/>
              <w:rPr>
                <w:rFonts w:hint="eastAsia" w:ascii="Times New Roman" w:hAnsi="Times New Roman" w:eastAsia="宋体" w:cs="Times New Roman"/>
                <w:b/>
                <w:bCs/>
                <w:color w:val="auto"/>
                <w:spacing w:val="-6"/>
                <w:sz w:val="24"/>
                <w:szCs w:val="24"/>
                <w:lang w:val="en-US" w:eastAsia="zh-CN"/>
              </w:rPr>
            </w:pPr>
            <w:r>
              <w:rPr>
                <w:rFonts w:hint="eastAsia" w:ascii="Times New Roman" w:hAnsi="Times New Roman" w:eastAsia="宋体" w:cs="Times New Roman"/>
                <w:b/>
                <w:bCs/>
                <w:color w:val="auto"/>
                <w:spacing w:val="-6"/>
                <w:kern w:val="2"/>
                <w:sz w:val="24"/>
                <w:szCs w:val="24"/>
                <w:lang w:val="en-US" w:eastAsia="zh-CN" w:bidi="ar-SA"/>
              </w:rPr>
              <w:t>6、</w:t>
            </w:r>
            <w:r>
              <w:rPr>
                <w:rFonts w:hint="eastAsia" w:ascii="Times New Roman" w:hAnsi="Times New Roman" w:eastAsia="宋体" w:cs="Times New Roman"/>
                <w:b/>
                <w:bCs/>
                <w:color w:val="auto"/>
                <w:spacing w:val="-6"/>
                <w:sz w:val="24"/>
                <w:szCs w:val="24"/>
                <w:lang w:val="en-US" w:eastAsia="zh-CN"/>
              </w:rPr>
              <w:t>拆迁工程</w:t>
            </w:r>
          </w:p>
          <w:p>
            <w:pPr>
              <w:spacing w:before="178" w:line="219" w:lineRule="auto"/>
              <w:ind w:left="588"/>
              <w:rPr>
                <w:rFonts w:hint="eastAsia" w:ascii="宋体" w:hAnsi="宋体" w:eastAsia="宋体" w:cs="宋体"/>
                <w:color w:val="auto"/>
                <w:spacing w:val="-1"/>
                <w:sz w:val="24"/>
                <w:szCs w:val="24"/>
                <w:lang w:val="en-US" w:eastAsia="zh-CN"/>
              </w:rPr>
            </w:pPr>
            <w:r>
              <w:rPr>
                <w:rFonts w:hint="eastAsia" w:ascii="宋体" w:hAnsi="宋体" w:eastAsia="宋体" w:cs="宋体"/>
                <w:color w:val="auto"/>
                <w:spacing w:val="-1"/>
                <w:sz w:val="24"/>
                <w:szCs w:val="24"/>
                <w:lang w:val="en-US" w:eastAsia="zh-CN"/>
              </w:rPr>
              <w:t>本项目不涉及拆迁工程。</w:t>
            </w:r>
          </w:p>
          <w:p>
            <w:pPr>
              <w:numPr>
                <w:ilvl w:val="0"/>
                <w:numId w:val="0"/>
              </w:numPr>
              <w:spacing w:before="42" w:line="221" w:lineRule="auto"/>
              <w:ind w:left="0" w:leftChars="0" w:firstLine="458" w:firstLineChars="200"/>
              <w:rPr>
                <w:rFonts w:hint="eastAsia" w:ascii="Times New Roman" w:hAnsi="Times New Roman" w:eastAsia="宋体" w:cs="Times New Roman"/>
                <w:b/>
                <w:bCs/>
                <w:color w:val="auto"/>
                <w:spacing w:val="-6"/>
                <w:kern w:val="2"/>
                <w:sz w:val="24"/>
                <w:szCs w:val="24"/>
                <w:lang w:val="en-US" w:eastAsia="zh-CN" w:bidi="ar-SA"/>
              </w:rPr>
            </w:pPr>
            <w:r>
              <w:rPr>
                <w:rFonts w:hint="eastAsia" w:ascii="Times New Roman" w:hAnsi="Times New Roman" w:eastAsia="宋体" w:cs="Times New Roman"/>
                <w:b/>
                <w:bCs/>
                <w:color w:val="auto"/>
                <w:spacing w:val="-6"/>
                <w:kern w:val="2"/>
                <w:sz w:val="24"/>
                <w:szCs w:val="24"/>
                <w:lang w:val="en-US" w:eastAsia="zh-CN" w:bidi="ar-SA"/>
              </w:rPr>
              <w:t>7、主要设备</w:t>
            </w:r>
          </w:p>
          <w:p>
            <w:pPr>
              <w:spacing w:before="178" w:line="219" w:lineRule="auto"/>
              <w:ind w:left="588"/>
              <w:rPr>
                <w:rFonts w:ascii="宋体" w:hAnsi="宋体" w:eastAsia="宋体" w:cs="宋体"/>
                <w:color w:val="auto"/>
                <w:sz w:val="24"/>
                <w:szCs w:val="24"/>
              </w:rPr>
            </w:pPr>
            <w:r>
              <w:rPr>
                <w:rFonts w:ascii="宋体" w:hAnsi="宋体" w:eastAsia="宋体" w:cs="宋体"/>
                <w:color w:val="auto"/>
                <w:spacing w:val="-1"/>
                <w:sz w:val="24"/>
                <w:szCs w:val="24"/>
              </w:rPr>
              <w:t>本项目主要设备清单见下表：</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firstLine="462" w:firstLineChars="200"/>
              <w:jc w:val="center"/>
              <w:textAlignment w:val="auto"/>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表</w:t>
            </w:r>
            <w:r>
              <w:rPr>
                <w:rFonts w:hint="default" w:ascii="Times New Roman" w:hAnsi="Times New Roman" w:eastAsia="宋体" w:cs="Times New Roman"/>
                <w:color w:val="auto"/>
                <w:spacing w:val="-41"/>
                <w:sz w:val="24"/>
                <w:szCs w:val="24"/>
              </w:rPr>
              <w:t xml:space="preserve"> </w:t>
            </w:r>
            <w:r>
              <w:rPr>
                <w:rFonts w:hint="default" w:ascii="Times New Roman" w:hAnsi="Times New Roman" w:eastAsia="宋体" w:cs="Times New Roman"/>
                <w:b/>
                <w:bCs/>
                <w:color w:val="auto"/>
                <w:spacing w:val="-5"/>
                <w:sz w:val="24"/>
                <w:szCs w:val="24"/>
              </w:rPr>
              <w:t>2-</w:t>
            </w:r>
            <w:r>
              <w:rPr>
                <w:rFonts w:hint="eastAsia" w:ascii="Times New Roman" w:hAnsi="Times New Roman" w:eastAsia="宋体" w:cs="Times New Roman"/>
                <w:b/>
                <w:bCs/>
                <w:color w:val="auto"/>
                <w:spacing w:val="-5"/>
                <w:sz w:val="24"/>
                <w:szCs w:val="24"/>
                <w:lang w:val="en-US" w:eastAsia="zh-CN"/>
              </w:rPr>
              <w:t>6</w:t>
            </w:r>
            <w:r>
              <w:rPr>
                <w:rFonts w:hint="default" w:ascii="Times New Roman" w:hAnsi="Times New Roman" w:eastAsia="宋体" w:cs="Times New Roman"/>
                <w:color w:val="auto"/>
                <w:spacing w:val="-47"/>
                <w:sz w:val="24"/>
                <w:szCs w:val="24"/>
              </w:rPr>
              <w:t xml:space="preserve"> </w:t>
            </w:r>
            <w:r>
              <w:rPr>
                <w:rFonts w:hint="eastAsia" w:ascii="Times New Roman" w:hAnsi="Times New Roman" w:eastAsia="宋体" w:cs="Times New Roman"/>
                <w:color w:val="auto"/>
                <w:spacing w:val="-47"/>
                <w:sz w:val="24"/>
                <w:szCs w:val="24"/>
                <w:lang w:val="en-US" w:eastAsia="zh-CN"/>
              </w:rPr>
              <w:t xml:space="preserve">       </w:t>
            </w:r>
            <w:r>
              <w:rPr>
                <w:rFonts w:hint="default" w:ascii="Times New Roman" w:hAnsi="Times New Roman" w:eastAsia="宋体" w:cs="Times New Roman"/>
                <w:b/>
                <w:bCs/>
                <w:color w:val="auto"/>
                <w:spacing w:val="-5"/>
                <w:sz w:val="24"/>
                <w:szCs w:val="24"/>
              </w:rPr>
              <w:t>本项目设备一览表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0"/>
              <w:gridCol w:w="2402"/>
              <w:gridCol w:w="3581"/>
              <w:gridCol w:w="1085"/>
              <w:gridCol w:w="10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32" w:type="pct"/>
                  <w:shd w:val="clear" w:color="auto" w:fill="auto"/>
                  <w:noWrap/>
                  <w:vAlign w:val="center"/>
                </w:tcPr>
                <w:p>
                  <w:pPr>
                    <w:widowControl/>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序号</w:t>
                  </w:r>
                </w:p>
              </w:tc>
              <w:tc>
                <w:tcPr>
                  <w:tcW w:w="1377" w:type="pct"/>
                  <w:shd w:val="clear" w:color="auto" w:fill="auto"/>
                  <w:noWrap/>
                  <w:vAlign w:val="center"/>
                </w:tcPr>
                <w:p>
                  <w:pPr>
                    <w:widowControl/>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设备名称</w:t>
                  </w:r>
                </w:p>
              </w:tc>
              <w:tc>
                <w:tcPr>
                  <w:tcW w:w="2053" w:type="pct"/>
                  <w:shd w:val="clear" w:color="auto" w:fill="auto"/>
                  <w:noWrap/>
                  <w:vAlign w:val="center"/>
                </w:tcPr>
                <w:p>
                  <w:pPr>
                    <w:widowControl/>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型号及规格</w:t>
                  </w:r>
                </w:p>
              </w:tc>
              <w:tc>
                <w:tcPr>
                  <w:tcW w:w="622" w:type="pct"/>
                  <w:shd w:val="clear" w:color="auto" w:fill="auto"/>
                  <w:noWrap/>
                  <w:vAlign w:val="center"/>
                </w:tcPr>
                <w:p>
                  <w:pPr>
                    <w:widowControl/>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单位</w:t>
                  </w:r>
                </w:p>
              </w:tc>
              <w:tc>
                <w:tcPr>
                  <w:tcW w:w="614" w:type="pct"/>
                  <w:shd w:val="clear" w:color="auto" w:fill="auto"/>
                  <w:noWrap/>
                  <w:vAlign w:val="center"/>
                </w:tcPr>
                <w:p>
                  <w:pPr>
                    <w:widowControl/>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32" w:type="pct"/>
                  <w:shd w:val="clear" w:color="auto" w:fill="auto"/>
                  <w:noWrap/>
                  <w:vAlign w:val="center"/>
                </w:tcPr>
                <w:p>
                  <w:pPr>
                    <w:widowControl/>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w:t>
                  </w:r>
                </w:p>
              </w:tc>
              <w:tc>
                <w:tcPr>
                  <w:tcW w:w="1377" w:type="pct"/>
                  <w:shd w:val="clear" w:color="auto" w:fill="auto"/>
                  <w:noWrap/>
                  <w:vAlign w:val="center"/>
                </w:tcPr>
                <w:p>
                  <w:pPr>
                    <w:widowControl/>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220kVHGIS组合电器</w:t>
                  </w:r>
                </w:p>
              </w:tc>
              <w:tc>
                <w:tcPr>
                  <w:tcW w:w="2053" w:type="pct"/>
                  <w:shd w:val="clear" w:color="auto" w:fill="auto"/>
                  <w:noWrap/>
                  <w:vAlign w:val="center"/>
                </w:tcPr>
                <w:p>
                  <w:pPr>
                    <w:widowControl/>
                    <w:spacing w:line="240" w:lineRule="auto"/>
                    <w:ind w:firstLine="0" w:firstLineChars="0"/>
                    <w:jc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cs="Times New Roman"/>
                      <w:color w:val="auto"/>
                      <w:kern w:val="0"/>
                      <w:sz w:val="21"/>
                      <w:szCs w:val="21"/>
                    </w:rPr>
                    <w:t>252kV</w:t>
                  </w:r>
                  <w:r>
                    <w:rPr>
                      <w:rFonts w:hint="eastAsia"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 xml:space="preserve"> 4000A</w:t>
                  </w:r>
                  <w:r>
                    <w:rPr>
                      <w:rFonts w:hint="eastAsia"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50kA/3S</w:t>
                  </w:r>
                  <w:r>
                    <w:rPr>
                      <w:rFonts w:hint="eastAsia" w:ascii="Times New Roman" w:hAnsi="Times New Roman" w:cs="Times New Roman"/>
                      <w:color w:val="auto"/>
                      <w:kern w:val="0"/>
                      <w:sz w:val="21"/>
                      <w:szCs w:val="21"/>
                      <w:lang w:eastAsia="zh-CN"/>
                    </w:rPr>
                    <w:t>,2x800/5A</w:t>
                  </w:r>
                  <w:r>
                    <w:rPr>
                      <w:rFonts w:hint="default" w:ascii="Times New Roman" w:hAnsi="Times New Roman" w:cs="Times New Roman"/>
                      <w:color w:val="auto"/>
                      <w:kern w:val="0"/>
                      <w:sz w:val="21"/>
                      <w:szCs w:val="21"/>
                    </w:rPr>
                    <w:t>　</w:t>
                  </w:r>
                </w:p>
              </w:tc>
              <w:tc>
                <w:tcPr>
                  <w:tcW w:w="622" w:type="pct"/>
                  <w:shd w:val="clear" w:color="auto" w:fill="auto"/>
                  <w:noWrap/>
                  <w:vAlign w:val="center"/>
                </w:tcPr>
                <w:p>
                  <w:pPr>
                    <w:widowControl/>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台</w:t>
                  </w:r>
                </w:p>
              </w:tc>
              <w:tc>
                <w:tcPr>
                  <w:tcW w:w="614" w:type="pct"/>
                  <w:shd w:val="clear" w:color="auto" w:fill="auto"/>
                  <w:noWrap/>
                  <w:vAlign w:val="center"/>
                </w:tcPr>
                <w:p>
                  <w:pPr>
                    <w:widowControl/>
                    <w:spacing w:line="240" w:lineRule="auto"/>
                    <w:ind w:firstLine="0" w:firstLineChars="0"/>
                    <w:jc w:val="center"/>
                    <w:rPr>
                      <w:rFonts w:hint="eastAsia" w:ascii="Times New Roman" w:hAnsi="Times New Roman" w:cs="Times New Roman" w:eastAsiaTheme="minorEastAsia"/>
                      <w:color w:val="auto"/>
                      <w:kern w:val="0"/>
                      <w:sz w:val="21"/>
                      <w:szCs w:val="21"/>
                      <w:lang w:val="en-US" w:eastAsia="zh-CN"/>
                    </w:rPr>
                  </w:pPr>
                  <w:r>
                    <w:rPr>
                      <w:rFonts w:hint="eastAsia" w:ascii="Times New Roman" w:hAnsi="Times New Roman" w:cs="Times New Roman"/>
                      <w:color w:val="auto"/>
                      <w:kern w:val="0"/>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32" w:type="pct"/>
                  <w:shd w:val="clear" w:color="auto" w:fill="auto"/>
                  <w:noWrap/>
                  <w:vAlign w:val="center"/>
                </w:tcPr>
                <w:p>
                  <w:pPr>
                    <w:widowControl/>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2</w:t>
                  </w:r>
                </w:p>
              </w:tc>
              <w:tc>
                <w:tcPr>
                  <w:tcW w:w="1377" w:type="pct"/>
                  <w:shd w:val="clear" w:color="auto" w:fill="auto"/>
                  <w:noWrap/>
                  <w:vAlign w:val="center"/>
                </w:tcPr>
                <w:p>
                  <w:pPr>
                    <w:widowControl/>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220kV支柱绝缘子</w:t>
                  </w:r>
                </w:p>
              </w:tc>
              <w:tc>
                <w:tcPr>
                  <w:tcW w:w="2053" w:type="pct"/>
                  <w:shd w:val="clear" w:color="auto" w:fill="auto"/>
                  <w:noWrap/>
                  <w:vAlign w:val="center"/>
                </w:tcPr>
                <w:p>
                  <w:pPr>
                    <w:widowControl/>
                    <w:spacing w:line="240" w:lineRule="auto"/>
                    <w:ind w:firstLine="0" w:firstLineChars="0"/>
                    <w:jc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cs="Times New Roman"/>
                      <w:color w:val="auto"/>
                      <w:kern w:val="0"/>
                      <w:sz w:val="21"/>
                      <w:szCs w:val="21"/>
                    </w:rPr>
                    <w:t>ZSW-252/8-4 爬电距离&gt;7812mm</w:t>
                  </w:r>
                </w:p>
              </w:tc>
              <w:tc>
                <w:tcPr>
                  <w:tcW w:w="622" w:type="pct"/>
                  <w:shd w:val="clear" w:color="auto" w:fill="auto"/>
                  <w:noWrap/>
                  <w:vAlign w:val="center"/>
                </w:tcPr>
                <w:p>
                  <w:pPr>
                    <w:widowControl/>
                    <w:spacing w:line="240" w:lineRule="auto"/>
                    <w:ind w:firstLine="0" w:firstLineChars="0"/>
                    <w:jc w:val="center"/>
                    <w:rPr>
                      <w:rFonts w:hint="default" w:ascii="Times New Roman" w:hAnsi="Times New Roman" w:cs="Times New Roman" w:eastAsiaTheme="minorEastAsia"/>
                      <w:color w:val="auto"/>
                      <w:kern w:val="0"/>
                      <w:sz w:val="21"/>
                      <w:szCs w:val="21"/>
                      <w:lang w:val="en-US" w:eastAsia="zh-CN"/>
                    </w:rPr>
                  </w:pPr>
                  <w:r>
                    <w:rPr>
                      <w:rFonts w:hint="eastAsia" w:ascii="Times New Roman" w:hAnsi="Times New Roman" w:cs="Times New Roman"/>
                      <w:color w:val="auto"/>
                      <w:kern w:val="0"/>
                      <w:sz w:val="21"/>
                      <w:szCs w:val="21"/>
                      <w:lang w:val="en-US" w:eastAsia="zh-CN"/>
                    </w:rPr>
                    <w:t>支</w:t>
                  </w:r>
                </w:p>
              </w:tc>
              <w:tc>
                <w:tcPr>
                  <w:tcW w:w="614" w:type="pct"/>
                  <w:shd w:val="clear" w:color="auto" w:fill="auto"/>
                  <w:noWrap/>
                  <w:vAlign w:val="center"/>
                </w:tcPr>
                <w:p>
                  <w:pPr>
                    <w:widowControl/>
                    <w:spacing w:line="240" w:lineRule="auto"/>
                    <w:ind w:firstLine="0" w:firstLineChars="0"/>
                    <w:jc w:val="center"/>
                    <w:rPr>
                      <w:rFonts w:hint="default" w:ascii="Times New Roman" w:hAnsi="Times New Roman" w:cs="Times New Roman" w:eastAsiaTheme="minorEastAsia"/>
                      <w:color w:val="auto"/>
                      <w:kern w:val="0"/>
                      <w:sz w:val="21"/>
                      <w:szCs w:val="21"/>
                      <w:lang w:val="en-US" w:eastAsia="zh-CN"/>
                    </w:rPr>
                  </w:pPr>
                  <w:r>
                    <w:rPr>
                      <w:rFonts w:hint="eastAsia" w:ascii="Times New Roman" w:hAnsi="Times New Roman" w:cs="Times New Roman"/>
                      <w:color w:val="auto"/>
                      <w:kern w:val="0"/>
                      <w:sz w:val="21"/>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32" w:type="pct"/>
                  <w:shd w:val="clear" w:color="auto" w:fill="auto"/>
                  <w:noWrap/>
                  <w:vAlign w:val="center"/>
                </w:tcPr>
                <w:p>
                  <w:pPr>
                    <w:widowControl/>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3</w:t>
                  </w:r>
                </w:p>
              </w:tc>
              <w:tc>
                <w:tcPr>
                  <w:tcW w:w="1377" w:type="pct"/>
                  <w:shd w:val="clear" w:color="auto" w:fill="auto"/>
                  <w:noWrap/>
                  <w:vAlign w:val="center"/>
                </w:tcPr>
                <w:p>
                  <w:pPr>
                    <w:widowControl/>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220kV氧化锌避雷器</w:t>
                  </w:r>
                </w:p>
              </w:tc>
              <w:tc>
                <w:tcPr>
                  <w:tcW w:w="2053" w:type="pct"/>
                  <w:shd w:val="clear" w:color="auto" w:fill="auto"/>
                  <w:noWrap/>
                  <w:vAlign w:val="center"/>
                </w:tcPr>
                <w:p>
                  <w:pPr>
                    <w:widowControl/>
                    <w:spacing w:line="240" w:lineRule="auto"/>
                    <w:ind w:firstLine="0" w:firstLineChars="0"/>
                    <w:jc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cs="Times New Roman"/>
                      <w:color w:val="auto"/>
                      <w:kern w:val="0"/>
                      <w:sz w:val="21"/>
                      <w:szCs w:val="21"/>
                    </w:rPr>
                    <w:t>y10W4-204/532</w:t>
                  </w:r>
                </w:p>
              </w:tc>
              <w:tc>
                <w:tcPr>
                  <w:tcW w:w="622" w:type="pct"/>
                  <w:shd w:val="clear" w:color="auto" w:fill="auto"/>
                  <w:noWrap/>
                  <w:vAlign w:val="center"/>
                </w:tcPr>
                <w:p>
                  <w:pPr>
                    <w:widowControl/>
                    <w:spacing w:line="240" w:lineRule="auto"/>
                    <w:ind w:firstLine="0" w:firstLineChars="0"/>
                    <w:jc w:val="center"/>
                    <w:rPr>
                      <w:rFonts w:hint="eastAsia" w:ascii="Times New Roman" w:hAnsi="Times New Roman" w:cs="Times New Roman" w:eastAsiaTheme="minorEastAsia"/>
                      <w:color w:val="auto"/>
                      <w:kern w:val="0"/>
                      <w:sz w:val="21"/>
                      <w:szCs w:val="21"/>
                      <w:lang w:eastAsia="zh-CN"/>
                    </w:rPr>
                  </w:pPr>
                  <w:r>
                    <w:rPr>
                      <w:rFonts w:hint="eastAsia" w:ascii="Times New Roman" w:hAnsi="Times New Roman" w:cs="Times New Roman"/>
                      <w:color w:val="auto"/>
                      <w:kern w:val="0"/>
                      <w:sz w:val="21"/>
                      <w:szCs w:val="21"/>
                      <w:lang w:val="en-US" w:eastAsia="zh-CN"/>
                    </w:rPr>
                    <w:t>支</w:t>
                  </w:r>
                </w:p>
              </w:tc>
              <w:tc>
                <w:tcPr>
                  <w:tcW w:w="614" w:type="pct"/>
                  <w:shd w:val="clear" w:color="auto" w:fill="auto"/>
                  <w:noWrap/>
                  <w:vAlign w:val="center"/>
                </w:tcPr>
                <w:p>
                  <w:pPr>
                    <w:widowControl/>
                    <w:spacing w:line="240" w:lineRule="auto"/>
                    <w:ind w:firstLine="0" w:firstLineChars="0"/>
                    <w:jc w:val="center"/>
                    <w:rPr>
                      <w:rFonts w:hint="eastAsia" w:ascii="Times New Roman" w:hAnsi="Times New Roman" w:cs="Times New Roman" w:eastAsiaTheme="minorEastAsia"/>
                      <w:color w:val="auto"/>
                      <w:kern w:val="0"/>
                      <w:sz w:val="21"/>
                      <w:szCs w:val="21"/>
                      <w:lang w:val="en-US" w:eastAsia="zh-CN"/>
                    </w:rPr>
                  </w:pPr>
                  <w:r>
                    <w:rPr>
                      <w:rFonts w:hint="eastAsia" w:ascii="Times New Roman" w:hAnsi="Times New Roman" w:cs="Times New Roman"/>
                      <w:color w:val="auto"/>
                      <w:kern w:val="0"/>
                      <w:sz w:val="21"/>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32" w:type="pct"/>
                  <w:shd w:val="clear" w:color="auto" w:fill="auto"/>
                  <w:noWrap/>
                  <w:vAlign w:val="center"/>
                </w:tcPr>
                <w:p>
                  <w:pPr>
                    <w:widowControl/>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4</w:t>
                  </w:r>
                </w:p>
              </w:tc>
              <w:tc>
                <w:tcPr>
                  <w:tcW w:w="1377" w:type="pct"/>
                  <w:shd w:val="clear" w:color="auto" w:fill="auto"/>
                  <w:noWrap/>
                  <w:vAlign w:val="center"/>
                </w:tcPr>
                <w:p>
                  <w:pPr>
                    <w:widowControl/>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双导线设备线夹</w:t>
                  </w:r>
                </w:p>
              </w:tc>
              <w:tc>
                <w:tcPr>
                  <w:tcW w:w="2053" w:type="pct"/>
                  <w:shd w:val="clear" w:color="auto" w:fill="auto"/>
                  <w:noWrap/>
                  <w:vAlign w:val="center"/>
                </w:tcPr>
                <w:p>
                  <w:pPr>
                    <w:widowControl/>
                    <w:spacing w:line="240" w:lineRule="auto"/>
                    <w:ind w:firstLine="0" w:firstLineChars="0"/>
                    <w:jc w:val="center"/>
                    <w:rPr>
                      <w:rFonts w:hint="default" w:ascii="Times New Roman" w:hAnsi="Times New Roman" w:cs="Times New Roman" w:eastAsiaTheme="minorEastAsia"/>
                      <w:color w:val="auto"/>
                      <w:kern w:val="0"/>
                      <w:sz w:val="21"/>
                      <w:szCs w:val="21"/>
                      <w:lang w:val="en-US" w:eastAsia="zh-CN"/>
                    </w:rPr>
                  </w:pPr>
                  <w:r>
                    <w:rPr>
                      <w:rFonts w:hint="default" w:ascii="Times New Roman" w:hAnsi="Times New Roman" w:cs="Times New Roman"/>
                      <w:color w:val="auto"/>
                      <w:kern w:val="0"/>
                      <w:sz w:val="21"/>
                      <w:szCs w:val="21"/>
                    </w:rPr>
                    <w:t>J</w:t>
                  </w:r>
                  <w:r>
                    <w:rPr>
                      <w:rFonts w:hint="eastAsia" w:ascii="Times New Roman" w:hAnsi="Times New Roman" w:cs="Times New Roman"/>
                      <w:color w:val="auto"/>
                      <w:kern w:val="0"/>
                      <w:sz w:val="21"/>
                      <w:szCs w:val="21"/>
                      <w:lang w:val="en-US" w:eastAsia="zh-CN"/>
                    </w:rPr>
                    <w:t>SSY-400B/120</w:t>
                  </w:r>
                </w:p>
              </w:tc>
              <w:tc>
                <w:tcPr>
                  <w:tcW w:w="622" w:type="pct"/>
                  <w:shd w:val="clear" w:color="auto" w:fill="auto"/>
                  <w:noWrap/>
                  <w:vAlign w:val="center"/>
                </w:tcPr>
                <w:p>
                  <w:pPr>
                    <w:widowControl/>
                    <w:spacing w:line="240" w:lineRule="auto"/>
                    <w:ind w:firstLine="0" w:firstLineChars="0"/>
                    <w:jc w:val="center"/>
                    <w:rPr>
                      <w:rFonts w:hint="default" w:ascii="Times New Roman" w:hAnsi="Times New Roman" w:cs="Times New Roman"/>
                      <w:color w:val="auto"/>
                      <w:kern w:val="0"/>
                      <w:sz w:val="21"/>
                      <w:szCs w:val="21"/>
                    </w:rPr>
                  </w:pPr>
                  <w:r>
                    <w:rPr>
                      <w:rFonts w:hint="eastAsia" w:ascii="Times New Roman" w:hAnsi="Times New Roman" w:cs="Times New Roman"/>
                      <w:color w:val="auto"/>
                      <w:kern w:val="0"/>
                      <w:sz w:val="21"/>
                      <w:szCs w:val="21"/>
                      <w:lang w:val="en-US" w:eastAsia="zh-CN"/>
                    </w:rPr>
                    <w:t>套</w:t>
                  </w:r>
                </w:p>
              </w:tc>
              <w:tc>
                <w:tcPr>
                  <w:tcW w:w="614" w:type="pct"/>
                  <w:shd w:val="clear" w:color="auto" w:fill="auto"/>
                  <w:noWrap/>
                  <w:vAlign w:val="center"/>
                </w:tcPr>
                <w:p>
                  <w:pPr>
                    <w:widowControl/>
                    <w:spacing w:line="240" w:lineRule="auto"/>
                    <w:ind w:firstLine="0" w:firstLineChars="0"/>
                    <w:jc w:val="center"/>
                    <w:rPr>
                      <w:rFonts w:hint="eastAsia" w:ascii="Times New Roman" w:hAnsi="Times New Roman" w:cs="Times New Roman" w:eastAsiaTheme="minorEastAsia"/>
                      <w:color w:val="auto"/>
                      <w:kern w:val="0"/>
                      <w:sz w:val="21"/>
                      <w:szCs w:val="21"/>
                      <w:lang w:val="en-US" w:eastAsia="zh-CN"/>
                    </w:rPr>
                  </w:pPr>
                  <w:r>
                    <w:rPr>
                      <w:rFonts w:hint="eastAsia" w:ascii="Times New Roman" w:hAnsi="Times New Roman" w:cs="Times New Roman"/>
                      <w:color w:val="auto"/>
                      <w:kern w:val="0"/>
                      <w:sz w:val="21"/>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32" w:type="pct"/>
                  <w:shd w:val="clear" w:color="auto" w:fill="auto"/>
                  <w:noWrap/>
                  <w:vAlign w:val="center"/>
                </w:tcPr>
                <w:p>
                  <w:pPr>
                    <w:widowControl/>
                    <w:spacing w:line="240" w:lineRule="auto"/>
                    <w:ind w:firstLine="0" w:firstLineChars="0"/>
                    <w:jc w:val="center"/>
                    <w:rPr>
                      <w:rFonts w:hint="eastAsia" w:ascii="Times New Roman" w:hAnsi="Times New Roman" w:cs="Times New Roman" w:eastAsiaTheme="minorEastAsia"/>
                      <w:color w:val="auto"/>
                      <w:kern w:val="0"/>
                      <w:sz w:val="21"/>
                      <w:szCs w:val="21"/>
                      <w:lang w:val="en-US" w:eastAsia="zh-CN"/>
                    </w:rPr>
                  </w:pPr>
                  <w:r>
                    <w:rPr>
                      <w:rFonts w:hint="eastAsia" w:ascii="Times New Roman" w:hAnsi="Times New Roman" w:cs="Times New Roman"/>
                      <w:color w:val="auto"/>
                      <w:kern w:val="0"/>
                      <w:sz w:val="21"/>
                      <w:szCs w:val="21"/>
                      <w:lang w:val="en-US" w:eastAsia="zh-CN"/>
                    </w:rPr>
                    <w:t>5</w:t>
                  </w:r>
                </w:p>
              </w:tc>
              <w:tc>
                <w:tcPr>
                  <w:tcW w:w="1377" w:type="pct"/>
                  <w:shd w:val="clear" w:color="auto" w:fill="auto"/>
                  <w:noWrap/>
                  <w:vAlign w:val="center"/>
                </w:tcPr>
                <w:p>
                  <w:pPr>
                    <w:widowControl/>
                    <w:spacing w:line="240" w:lineRule="auto"/>
                    <w:ind w:firstLine="0" w:firstLineChars="0"/>
                    <w:jc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cs="Times New Roman"/>
                      <w:color w:val="auto"/>
                      <w:kern w:val="0"/>
                      <w:sz w:val="21"/>
                      <w:szCs w:val="21"/>
                    </w:rPr>
                    <w:t>双导线设备线夹</w:t>
                  </w:r>
                </w:p>
              </w:tc>
              <w:tc>
                <w:tcPr>
                  <w:tcW w:w="2053" w:type="pct"/>
                  <w:shd w:val="clear" w:color="auto" w:fill="auto"/>
                  <w:noWrap/>
                  <w:vAlign w:val="center"/>
                </w:tcPr>
                <w:p>
                  <w:pPr>
                    <w:widowControl/>
                    <w:spacing w:line="240" w:lineRule="auto"/>
                    <w:ind w:firstLine="0" w:firstLineChars="0"/>
                    <w:jc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cs="Times New Roman"/>
                      <w:color w:val="auto"/>
                      <w:kern w:val="0"/>
                      <w:sz w:val="21"/>
                      <w:szCs w:val="21"/>
                    </w:rPr>
                    <w:t>J</w:t>
                  </w:r>
                  <w:r>
                    <w:rPr>
                      <w:rFonts w:hint="eastAsia" w:ascii="Times New Roman" w:hAnsi="Times New Roman" w:cs="Times New Roman"/>
                      <w:color w:val="auto"/>
                      <w:kern w:val="0"/>
                      <w:sz w:val="21"/>
                      <w:szCs w:val="21"/>
                      <w:lang w:val="en-US" w:eastAsia="zh-CN"/>
                    </w:rPr>
                    <w:t>SSY-400B/120</w:t>
                  </w:r>
                </w:p>
              </w:tc>
              <w:tc>
                <w:tcPr>
                  <w:tcW w:w="622" w:type="pct"/>
                  <w:shd w:val="clear" w:color="auto" w:fill="auto"/>
                  <w:noWrap/>
                  <w:vAlign w:val="center"/>
                </w:tcPr>
                <w:p>
                  <w:pPr>
                    <w:widowControl/>
                    <w:spacing w:line="240" w:lineRule="auto"/>
                    <w:ind w:firstLine="0" w:firstLineChars="0"/>
                    <w:jc w:val="center"/>
                    <w:rPr>
                      <w:rFonts w:hint="default" w:ascii="Times New Roman" w:hAnsi="Times New Roman" w:cs="Times New Roman"/>
                      <w:color w:val="auto"/>
                      <w:kern w:val="0"/>
                      <w:sz w:val="21"/>
                      <w:szCs w:val="21"/>
                    </w:rPr>
                  </w:pPr>
                  <w:r>
                    <w:rPr>
                      <w:rFonts w:hint="eastAsia" w:ascii="Times New Roman" w:hAnsi="Times New Roman" w:cs="Times New Roman"/>
                      <w:color w:val="auto"/>
                      <w:kern w:val="0"/>
                      <w:sz w:val="21"/>
                      <w:szCs w:val="21"/>
                      <w:lang w:val="en-US" w:eastAsia="zh-CN"/>
                    </w:rPr>
                    <w:t>套</w:t>
                  </w:r>
                </w:p>
              </w:tc>
              <w:tc>
                <w:tcPr>
                  <w:tcW w:w="614" w:type="pct"/>
                  <w:shd w:val="clear" w:color="auto" w:fill="auto"/>
                  <w:noWrap/>
                  <w:vAlign w:val="center"/>
                </w:tcPr>
                <w:p>
                  <w:pPr>
                    <w:widowControl/>
                    <w:spacing w:line="240" w:lineRule="auto"/>
                    <w:ind w:firstLine="0" w:firstLineChars="0"/>
                    <w:jc w:val="center"/>
                    <w:rPr>
                      <w:rFonts w:hint="eastAsia" w:ascii="Times New Roman" w:hAnsi="Times New Roman" w:cs="Times New Roman" w:eastAsiaTheme="minorEastAsia"/>
                      <w:color w:val="auto"/>
                      <w:kern w:val="0"/>
                      <w:sz w:val="21"/>
                      <w:szCs w:val="21"/>
                      <w:lang w:val="en-US" w:eastAsia="zh-CN"/>
                    </w:rPr>
                  </w:pPr>
                  <w:r>
                    <w:rPr>
                      <w:rFonts w:hint="eastAsia" w:ascii="Times New Roman" w:hAnsi="Times New Roman" w:cs="Times New Roman"/>
                      <w:color w:val="auto"/>
                      <w:kern w:val="0"/>
                      <w:sz w:val="21"/>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32" w:type="pct"/>
                  <w:shd w:val="clear" w:color="auto" w:fill="auto"/>
                  <w:noWrap/>
                  <w:vAlign w:val="center"/>
                </w:tcPr>
                <w:p>
                  <w:pPr>
                    <w:widowControl/>
                    <w:spacing w:line="240" w:lineRule="auto"/>
                    <w:ind w:firstLine="0" w:firstLineChars="0"/>
                    <w:jc w:val="center"/>
                    <w:rPr>
                      <w:rFonts w:hint="default" w:ascii="Times New Roman" w:hAnsi="Times New Roman" w:cs="Times New Roman" w:eastAsiaTheme="minorEastAsia"/>
                      <w:color w:val="auto"/>
                      <w:kern w:val="0"/>
                      <w:sz w:val="21"/>
                      <w:szCs w:val="21"/>
                      <w:lang w:val="en-US" w:eastAsia="zh-CN"/>
                    </w:rPr>
                  </w:pPr>
                  <w:r>
                    <w:rPr>
                      <w:rFonts w:hint="eastAsia" w:ascii="Times New Roman" w:hAnsi="Times New Roman" w:cs="Times New Roman"/>
                      <w:color w:val="auto"/>
                      <w:kern w:val="0"/>
                      <w:sz w:val="21"/>
                      <w:szCs w:val="21"/>
                      <w:lang w:val="en-US" w:eastAsia="zh-CN"/>
                    </w:rPr>
                    <w:t>6</w:t>
                  </w:r>
                </w:p>
              </w:tc>
              <w:tc>
                <w:tcPr>
                  <w:tcW w:w="1377" w:type="pct"/>
                  <w:shd w:val="clear" w:color="auto" w:fill="auto"/>
                  <w:noWrap/>
                  <w:vAlign w:val="center"/>
                </w:tcPr>
                <w:p>
                  <w:pPr>
                    <w:widowControl/>
                    <w:spacing w:line="240" w:lineRule="auto"/>
                    <w:ind w:firstLine="0" w:firstLineChars="0"/>
                    <w:jc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cs="Times New Roman"/>
                      <w:color w:val="auto"/>
                      <w:kern w:val="0"/>
                      <w:sz w:val="21"/>
                      <w:szCs w:val="21"/>
                    </w:rPr>
                    <w:t>双导线设备线夹</w:t>
                  </w:r>
                </w:p>
              </w:tc>
              <w:tc>
                <w:tcPr>
                  <w:tcW w:w="2053" w:type="pct"/>
                  <w:shd w:val="clear" w:color="auto" w:fill="auto"/>
                  <w:noWrap/>
                  <w:vAlign w:val="center"/>
                </w:tcPr>
                <w:p>
                  <w:pPr>
                    <w:widowControl/>
                    <w:spacing w:line="240" w:lineRule="auto"/>
                    <w:ind w:firstLine="0" w:firstLineChars="0"/>
                    <w:jc w:val="center"/>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cs="Times New Roman"/>
                      <w:color w:val="auto"/>
                      <w:kern w:val="0"/>
                      <w:sz w:val="21"/>
                      <w:szCs w:val="21"/>
                    </w:rPr>
                    <w:t>J</w:t>
                  </w:r>
                  <w:r>
                    <w:rPr>
                      <w:rFonts w:hint="eastAsia" w:ascii="Times New Roman" w:hAnsi="Times New Roman" w:cs="Times New Roman"/>
                      <w:color w:val="auto"/>
                      <w:kern w:val="0"/>
                      <w:sz w:val="21"/>
                      <w:szCs w:val="21"/>
                      <w:lang w:val="en-US" w:eastAsia="zh-CN"/>
                    </w:rPr>
                    <w:t>SSY-400C/120</w:t>
                  </w:r>
                </w:p>
              </w:tc>
              <w:tc>
                <w:tcPr>
                  <w:tcW w:w="622" w:type="pct"/>
                  <w:shd w:val="clear" w:color="auto" w:fill="auto"/>
                  <w:noWrap/>
                  <w:vAlign w:val="center"/>
                </w:tcPr>
                <w:p>
                  <w:pPr>
                    <w:widowControl/>
                    <w:spacing w:line="240" w:lineRule="auto"/>
                    <w:ind w:firstLine="0" w:firstLineChars="0"/>
                    <w:jc w:val="center"/>
                    <w:rPr>
                      <w:rFonts w:hint="default" w:ascii="Times New Roman" w:hAnsi="Times New Roman" w:cs="Times New Roman"/>
                      <w:color w:val="auto"/>
                      <w:kern w:val="0"/>
                      <w:sz w:val="21"/>
                      <w:szCs w:val="21"/>
                    </w:rPr>
                  </w:pPr>
                  <w:r>
                    <w:rPr>
                      <w:rFonts w:hint="eastAsia" w:ascii="Times New Roman" w:hAnsi="Times New Roman" w:cs="Times New Roman"/>
                      <w:color w:val="auto"/>
                      <w:kern w:val="0"/>
                      <w:sz w:val="21"/>
                      <w:szCs w:val="21"/>
                      <w:lang w:val="en-US" w:eastAsia="zh-CN"/>
                    </w:rPr>
                    <w:t>套</w:t>
                  </w:r>
                </w:p>
              </w:tc>
              <w:tc>
                <w:tcPr>
                  <w:tcW w:w="614" w:type="pct"/>
                  <w:shd w:val="clear" w:color="auto" w:fill="auto"/>
                  <w:noWrap/>
                  <w:vAlign w:val="center"/>
                </w:tcPr>
                <w:p>
                  <w:pPr>
                    <w:widowControl/>
                    <w:spacing w:line="240" w:lineRule="auto"/>
                    <w:ind w:firstLine="0" w:firstLineChars="0"/>
                    <w:jc w:val="center"/>
                    <w:rPr>
                      <w:rFonts w:hint="eastAsia" w:ascii="Times New Roman" w:hAnsi="Times New Roman" w:cs="Times New Roman" w:eastAsiaTheme="minorEastAsia"/>
                      <w:color w:val="auto"/>
                      <w:kern w:val="0"/>
                      <w:sz w:val="21"/>
                      <w:szCs w:val="21"/>
                      <w:lang w:val="en-US" w:eastAsia="zh-CN"/>
                    </w:rPr>
                  </w:pPr>
                  <w:r>
                    <w:rPr>
                      <w:rFonts w:hint="eastAsia" w:ascii="Times New Roman" w:hAnsi="Times New Roman" w:cs="Times New Roman"/>
                      <w:color w:val="auto"/>
                      <w:kern w:val="0"/>
                      <w:sz w:val="21"/>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32" w:type="pct"/>
                  <w:shd w:val="clear" w:color="auto" w:fill="auto"/>
                  <w:noWrap/>
                  <w:vAlign w:val="center"/>
                </w:tcPr>
                <w:p>
                  <w:pPr>
                    <w:widowControl/>
                    <w:spacing w:line="240" w:lineRule="auto"/>
                    <w:ind w:firstLine="0" w:firstLineChars="0"/>
                    <w:jc w:val="center"/>
                    <w:rPr>
                      <w:rFonts w:hint="eastAsia" w:ascii="Times New Roman" w:hAnsi="Times New Roman" w:cs="Times New Roman" w:eastAsiaTheme="minorEastAsia"/>
                      <w:color w:val="auto"/>
                      <w:kern w:val="0"/>
                      <w:sz w:val="21"/>
                      <w:szCs w:val="21"/>
                      <w:lang w:val="en-US" w:eastAsia="zh-CN"/>
                    </w:rPr>
                  </w:pPr>
                  <w:r>
                    <w:rPr>
                      <w:rFonts w:hint="eastAsia" w:ascii="Times New Roman" w:hAnsi="Times New Roman" w:cs="Times New Roman"/>
                      <w:color w:val="auto"/>
                      <w:kern w:val="0"/>
                      <w:sz w:val="21"/>
                      <w:szCs w:val="21"/>
                      <w:lang w:val="en-US" w:eastAsia="zh-CN"/>
                    </w:rPr>
                    <w:t>7</w:t>
                  </w:r>
                </w:p>
              </w:tc>
              <w:tc>
                <w:tcPr>
                  <w:tcW w:w="1377" w:type="pct"/>
                  <w:shd w:val="clear" w:color="auto" w:fill="auto"/>
                  <w:noWrap/>
                  <w:vAlign w:val="center"/>
                </w:tcPr>
                <w:p>
                  <w:pPr>
                    <w:widowControl/>
                    <w:spacing w:line="240" w:lineRule="auto"/>
                    <w:ind w:firstLine="0" w:firstLineChars="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双导线固定金具</w:t>
                  </w:r>
                </w:p>
              </w:tc>
              <w:tc>
                <w:tcPr>
                  <w:tcW w:w="2053" w:type="pct"/>
                  <w:shd w:val="clear" w:color="auto" w:fill="auto"/>
                  <w:noWrap/>
                  <w:vAlign w:val="center"/>
                </w:tcPr>
                <w:p>
                  <w:pPr>
                    <w:widowControl/>
                    <w:spacing w:line="240" w:lineRule="auto"/>
                    <w:ind w:firstLine="0" w:firstLineChars="0"/>
                    <w:jc w:val="center"/>
                    <w:rPr>
                      <w:rFonts w:hint="default" w:ascii="Times New Roman" w:hAnsi="Times New Roman" w:cs="Times New Roman" w:eastAsiaTheme="minorEastAsia"/>
                      <w:color w:val="auto"/>
                      <w:kern w:val="0"/>
                      <w:sz w:val="21"/>
                      <w:szCs w:val="21"/>
                      <w:lang w:val="en-US" w:eastAsia="zh-CN"/>
                    </w:rPr>
                  </w:pPr>
                  <w:r>
                    <w:rPr>
                      <w:rFonts w:hint="eastAsia" w:ascii="Times New Roman" w:hAnsi="Times New Roman" w:cs="Times New Roman"/>
                      <w:color w:val="auto"/>
                      <w:kern w:val="0"/>
                      <w:sz w:val="21"/>
                      <w:szCs w:val="21"/>
                      <w:lang w:val="en-US" w:eastAsia="zh-CN"/>
                    </w:rPr>
                    <w:t>MSG-5</w:t>
                  </w:r>
                </w:p>
              </w:tc>
              <w:tc>
                <w:tcPr>
                  <w:tcW w:w="622" w:type="pct"/>
                  <w:shd w:val="clear" w:color="auto" w:fill="auto"/>
                  <w:noWrap/>
                  <w:vAlign w:val="center"/>
                </w:tcPr>
                <w:p>
                  <w:pPr>
                    <w:widowControl/>
                    <w:spacing w:line="240" w:lineRule="auto"/>
                    <w:ind w:firstLine="0" w:firstLineChars="0"/>
                    <w:jc w:val="center"/>
                    <w:rPr>
                      <w:rFonts w:hint="default" w:ascii="Times New Roman" w:hAnsi="Times New Roman" w:cs="Times New Roman"/>
                      <w:color w:val="auto"/>
                      <w:kern w:val="0"/>
                      <w:sz w:val="21"/>
                      <w:szCs w:val="21"/>
                    </w:rPr>
                  </w:pPr>
                  <w:r>
                    <w:rPr>
                      <w:rFonts w:hint="eastAsia" w:ascii="Times New Roman" w:hAnsi="Times New Roman" w:cs="Times New Roman"/>
                      <w:color w:val="auto"/>
                      <w:kern w:val="0"/>
                      <w:sz w:val="21"/>
                      <w:szCs w:val="21"/>
                      <w:lang w:val="en-US" w:eastAsia="zh-CN"/>
                    </w:rPr>
                    <w:t>套</w:t>
                  </w:r>
                </w:p>
              </w:tc>
              <w:tc>
                <w:tcPr>
                  <w:tcW w:w="614" w:type="pct"/>
                  <w:shd w:val="clear" w:color="auto" w:fill="auto"/>
                  <w:noWrap/>
                  <w:vAlign w:val="center"/>
                </w:tcPr>
                <w:p>
                  <w:pPr>
                    <w:widowControl/>
                    <w:spacing w:line="240" w:lineRule="auto"/>
                    <w:ind w:firstLine="0" w:firstLineChars="0"/>
                    <w:jc w:val="center"/>
                    <w:rPr>
                      <w:rFonts w:hint="default" w:ascii="Times New Roman" w:hAnsi="Times New Roman" w:cs="Times New Roman" w:eastAsiaTheme="minorEastAsia"/>
                      <w:color w:val="auto"/>
                      <w:kern w:val="0"/>
                      <w:sz w:val="21"/>
                      <w:szCs w:val="21"/>
                      <w:lang w:val="en-US" w:eastAsia="zh-CN"/>
                    </w:rPr>
                  </w:pPr>
                  <w:r>
                    <w:rPr>
                      <w:rFonts w:hint="eastAsia" w:ascii="Times New Roman" w:hAnsi="Times New Roman" w:cs="Times New Roman"/>
                      <w:color w:val="auto"/>
                      <w:kern w:val="0"/>
                      <w:sz w:val="21"/>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32" w:type="pct"/>
                  <w:shd w:val="clear" w:color="auto" w:fill="auto"/>
                  <w:noWrap/>
                  <w:vAlign w:val="center"/>
                </w:tcPr>
                <w:p>
                  <w:pPr>
                    <w:widowControl/>
                    <w:spacing w:line="240" w:lineRule="auto"/>
                    <w:ind w:firstLine="0" w:firstLineChars="0"/>
                    <w:jc w:val="center"/>
                    <w:rPr>
                      <w:rFonts w:hint="eastAsia" w:ascii="Times New Roman" w:hAnsi="Times New Roman" w:cs="Times New Roman" w:eastAsiaTheme="minorEastAsia"/>
                      <w:color w:val="auto"/>
                      <w:kern w:val="0"/>
                      <w:sz w:val="21"/>
                      <w:szCs w:val="21"/>
                      <w:lang w:val="en-US" w:eastAsia="zh-CN"/>
                    </w:rPr>
                  </w:pPr>
                  <w:r>
                    <w:rPr>
                      <w:rFonts w:hint="eastAsia" w:ascii="Times New Roman" w:hAnsi="Times New Roman" w:cs="Times New Roman"/>
                      <w:color w:val="auto"/>
                      <w:kern w:val="0"/>
                      <w:sz w:val="21"/>
                      <w:szCs w:val="21"/>
                      <w:lang w:val="en-US" w:eastAsia="zh-CN"/>
                    </w:rPr>
                    <w:t>8</w:t>
                  </w:r>
                </w:p>
              </w:tc>
              <w:tc>
                <w:tcPr>
                  <w:tcW w:w="1377" w:type="pct"/>
                  <w:shd w:val="clear" w:color="auto" w:fill="auto"/>
                  <w:noWrap/>
                  <w:vAlign w:val="center"/>
                </w:tcPr>
                <w:p>
                  <w:pPr>
                    <w:widowControl/>
                    <w:spacing w:line="240" w:lineRule="auto"/>
                    <w:ind w:firstLine="0" w:firstLineChars="0"/>
                    <w:jc w:val="center"/>
                    <w:rPr>
                      <w:rFonts w:hint="default" w:ascii="Times New Roman" w:hAnsi="Times New Roman" w:cs="Times New Roman" w:eastAsiaTheme="minorEastAsia"/>
                      <w:color w:val="auto"/>
                      <w:kern w:val="0"/>
                      <w:sz w:val="21"/>
                      <w:szCs w:val="21"/>
                      <w:lang w:val="en-US" w:eastAsia="zh-CN"/>
                    </w:rPr>
                  </w:pPr>
                  <w:r>
                    <w:rPr>
                      <w:rFonts w:hint="eastAsia" w:ascii="Times New Roman" w:hAnsi="Times New Roman" w:cs="Times New Roman"/>
                      <w:color w:val="auto"/>
                      <w:kern w:val="0"/>
                      <w:sz w:val="21"/>
                      <w:szCs w:val="21"/>
                      <w:lang w:val="en-US" w:eastAsia="zh-CN"/>
                    </w:rPr>
                    <w:t>设备线夹</w:t>
                  </w:r>
                </w:p>
              </w:tc>
              <w:tc>
                <w:tcPr>
                  <w:tcW w:w="2053" w:type="pct"/>
                  <w:shd w:val="clear" w:color="auto" w:fill="auto"/>
                  <w:noWrap/>
                  <w:vAlign w:val="center"/>
                </w:tcPr>
                <w:p>
                  <w:pPr>
                    <w:widowControl/>
                    <w:spacing w:line="240" w:lineRule="auto"/>
                    <w:ind w:firstLine="0" w:firstLineChars="0"/>
                    <w:jc w:val="center"/>
                    <w:rPr>
                      <w:rFonts w:hint="default" w:ascii="Times New Roman" w:hAnsi="Times New Roman" w:cs="Times New Roman" w:eastAsiaTheme="minorEastAsia"/>
                      <w:color w:val="auto"/>
                      <w:kern w:val="0"/>
                      <w:sz w:val="21"/>
                      <w:szCs w:val="21"/>
                      <w:lang w:val="en-US" w:eastAsia="zh-CN"/>
                    </w:rPr>
                  </w:pPr>
                  <w:r>
                    <w:rPr>
                      <w:rFonts w:hint="eastAsia" w:ascii="Times New Roman" w:hAnsi="Times New Roman" w:cs="Times New Roman"/>
                      <w:color w:val="auto"/>
                      <w:kern w:val="0"/>
                      <w:sz w:val="21"/>
                      <w:szCs w:val="21"/>
                      <w:lang w:val="en-US" w:eastAsia="zh-CN"/>
                    </w:rPr>
                    <w:t>SY-400B</w:t>
                  </w:r>
                </w:p>
              </w:tc>
              <w:tc>
                <w:tcPr>
                  <w:tcW w:w="622" w:type="pct"/>
                  <w:shd w:val="clear" w:color="auto" w:fill="auto"/>
                  <w:noWrap/>
                  <w:vAlign w:val="center"/>
                </w:tcPr>
                <w:p>
                  <w:pPr>
                    <w:widowControl/>
                    <w:spacing w:line="240" w:lineRule="auto"/>
                    <w:ind w:firstLine="0" w:firstLineChars="0"/>
                    <w:jc w:val="center"/>
                    <w:rPr>
                      <w:rFonts w:hint="default" w:ascii="Times New Roman" w:hAnsi="Times New Roman" w:cs="Times New Roman"/>
                      <w:color w:val="auto"/>
                      <w:kern w:val="0"/>
                      <w:sz w:val="21"/>
                      <w:szCs w:val="21"/>
                    </w:rPr>
                  </w:pPr>
                  <w:r>
                    <w:rPr>
                      <w:rFonts w:hint="eastAsia" w:ascii="Times New Roman" w:hAnsi="Times New Roman" w:cs="Times New Roman"/>
                      <w:color w:val="auto"/>
                      <w:kern w:val="0"/>
                      <w:sz w:val="21"/>
                      <w:szCs w:val="21"/>
                      <w:lang w:val="en-US" w:eastAsia="zh-CN"/>
                    </w:rPr>
                    <w:t>套</w:t>
                  </w:r>
                </w:p>
              </w:tc>
              <w:tc>
                <w:tcPr>
                  <w:tcW w:w="614" w:type="pct"/>
                  <w:shd w:val="clear" w:color="auto" w:fill="auto"/>
                  <w:noWrap/>
                  <w:vAlign w:val="center"/>
                </w:tcPr>
                <w:p>
                  <w:pPr>
                    <w:widowControl/>
                    <w:spacing w:line="240" w:lineRule="auto"/>
                    <w:ind w:firstLine="0" w:firstLineChars="0"/>
                    <w:jc w:val="center"/>
                    <w:rPr>
                      <w:rFonts w:hint="eastAsia" w:ascii="Times New Roman" w:hAnsi="Times New Roman" w:cs="Times New Roman" w:eastAsiaTheme="minorEastAsia"/>
                      <w:color w:val="auto"/>
                      <w:kern w:val="0"/>
                      <w:sz w:val="21"/>
                      <w:szCs w:val="21"/>
                      <w:lang w:val="en-US" w:eastAsia="zh-CN"/>
                    </w:rPr>
                  </w:pPr>
                  <w:r>
                    <w:rPr>
                      <w:rFonts w:hint="eastAsia" w:ascii="Times New Roman" w:hAnsi="Times New Roman" w:cs="Times New Roman"/>
                      <w:color w:val="auto"/>
                      <w:kern w:val="0"/>
                      <w:sz w:val="21"/>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32" w:type="pct"/>
                  <w:shd w:val="clear" w:color="auto" w:fill="auto"/>
                  <w:noWrap/>
                  <w:vAlign w:val="center"/>
                </w:tcPr>
                <w:p>
                  <w:pPr>
                    <w:widowControl/>
                    <w:spacing w:line="240" w:lineRule="auto"/>
                    <w:ind w:firstLine="0" w:firstLineChars="0"/>
                    <w:jc w:val="center"/>
                    <w:rPr>
                      <w:rFonts w:hint="eastAsia" w:ascii="Times New Roman" w:hAnsi="Times New Roman" w:cs="Times New Roman" w:eastAsiaTheme="minorEastAsia"/>
                      <w:color w:val="auto"/>
                      <w:kern w:val="0"/>
                      <w:sz w:val="21"/>
                      <w:szCs w:val="21"/>
                      <w:lang w:val="en-US" w:eastAsia="zh-CN"/>
                    </w:rPr>
                  </w:pPr>
                  <w:r>
                    <w:rPr>
                      <w:rFonts w:hint="eastAsia" w:ascii="Times New Roman" w:hAnsi="Times New Roman" w:cs="Times New Roman"/>
                      <w:color w:val="auto"/>
                      <w:kern w:val="0"/>
                      <w:sz w:val="21"/>
                      <w:szCs w:val="21"/>
                      <w:lang w:val="en-US" w:eastAsia="zh-CN"/>
                    </w:rPr>
                    <w:t>9</w:t>
                  </w:r>
                </w:p>
              </w:tc>
              <w:tc>
                <w:tcPr>
                  <w:tcW w:w="1377" w:type="pct"/>
                  <w:shd w:val="clear" w:color="auto" w:fill="auto"/>
                  <w:noWrap/>
                  <w:vAlign w:val="center"/>
                </w:tcPr>
                <w:p>
                  <w:pPr>
                    <w:widowControl/>
                    <w:spacing w:line="240" w:lineRule="auto"/>
                    <w:ind w:firstLine="0" w:firstLineChars="0"/>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T型线夹</w:t>
                  </w:r>
                </w:p>
              </w:tc>
              <w:tc>
                <w:tcPr>
                  <w:tcW w:w="2053" w:type="pct"/>
                  <w:shd w:val="clear" w:color="auto" w:fill="auto"/>
                  <w:noWrap/>
                  <w:vAlign w:val="center"/>
                </w:tcPr>
                <w:p>
                  <w:pPr>
                    <w:widowControl/>
                    <w:spacing w:line="240" w:lineRule="auto"/>
                    <w:ind w:firstLine="0" w:firstLineChars="0"/>
                    <w:jc w:val="center"/>
                    <w:rPr>
                      <w:rFonts w:hint="eastAsia"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TYS-2X400/120</w:t>
                  </w:r>
                </w:p>
              </w:tc>
              <w:tc>
                <w:tcPr>
                  <w:tcW w:w="622" w:type="pct"/>
                  <w:shd w:val="clear" w:color="auto" w:fill="auto"/>
                  <w:noWrap/>
                  <w:vAlign w:val="center"/>
                </w:tcPr>
                <w:p>
                  <w:pPr>
                    <w:widowControl/>
                    <w:spacing w:line="240" w:lineRule="auto"/>
                    <w:ind w:firstLine="0" w:firstLineChars="0"/>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套</w:t>
                  </w:r>
                </w:p>
              </w:tc>
              <w:tc>
                <w:tcPr>
                  <w:tcW w:w="614" w:type="pct"/>
                  <w:shd w:val="clear" w:color="auto" w:fill="auto"/>
                  <w:noWrap/>
                  <w:vAlign w:val="center"/>
                </w:tcPr>
                <w:p>
                  <w:pPr>
                    <w:widowControl/>
                    <w:spacing w:line="240" w:lineRule="auto"/>
                    <w:ind w:firstLine="0" w:firstLineChars="0"/>
                    <w:jc w:val="center"/>
                    <w:rPr>
                      <w:rFonts w:hint="eastAsia" w:ascii="Times New Roman" w:hAnsi="Times New Roman" w:cs="Times New Roman" w:eastAsiaTheme="minorEastAsia"/>
                      <w:color w:val="auto"/>
                      <w:kern w:val="0"/>
                      <w:sz w:val="21"/>
                      <w:szCs w:val="21"/>
                      <w:lang w:val="en-US" w:eastAsia="zh-CN"/>
                    </w:rPr>
                  </w:pPr>
                  <w:r>
                    <w:rPr>
                      <w:rFonts w:hint="eastAsia" w:ascii="Times New Roman" w:hAnsi="Times New Roman" w:cs="Times New Roman"/>
                      <w:color w:val="auto"/>
                      <w:kern w:val="0"/>
                      <w:sz w:val="21"/>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32" w:type="pct"/>
                  <w:shd w:val="clear" w:color="auto" w:fill="auto"/>
                  <w:noWrap/>
                  <w:vAlign w:val="center"/>
                </w:tcPr>
                <w:p>
                  <w:pPr>
                    <w:widowControl/>
                    <w:spacing w:line="240" w:lineRule="auto"/>
                    <w:ind w:firstLine="0" w:firstLineChars="0"/>
                    <w:jc w:val="center"/>
                    <w:rPr>
                      <w:rFonts w:hint="default" w:ascii="Times New Roman" w:hAnsi="Times New Roman" w:cs="Times New Roman" w:eastAsiaTheme="minorEastAsia"/>
                      <w:color w:val="auto"/>
                      <w:kern w:val="0"/>
                      <w:sz w:val="21"/>
                      <w:szCs w:val="21"/>
                      <w:lang w:val="en-US" w:eastAsia="zh-CN"/>
                    </w:rPr>
                  </w:pPr>
                  <w:r>
                    <w:rPr>
                      <w:rFonts w:hint="eastAsia" w:ascii="Times New Roman" w:hAnsi="Times New Roman" w:cs="Times New Roman"/>
                      <w:color w:val="auto"/>
                      <w:kern w:val="0"/>
                      <w:sz w:val="21"/>
                      <w:szCs w:val="21"/>
                      <w:lang w:val="en-US" w:eastAsia="zh-CN"/>
                    </w:rPr>
                    <w:t>10</w:t>
                  </w:r>
                </w:p>
              </w:tc>
              <w:tc>
                <w:tcPr>
                  <w:tcW w:w="1377" w:type="pct"/>
                  <w:shd w:val="clear" w:color="auto" w:fill="auto"/>
                  <w:noWrap/>
                  <w:vAlign w:val="center"/>
                </w:tcPr>
                <w:p>
                  <w:pPr>
                    <w:widowControl/>
                    <w:spacing w:line="240" w:lineRule="auto"/>
                    <w:ind w:firstLine="0" w:firstLineChars="0"/>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钢芯铝绞线</w:t>
                  </w:r>
                </w:p>
              </w:tc>
              <w:tc>
                <w:tcPr>
                  <w:tcW w:w="2053" w:type="pct"/>
                  <w:shd w:val="clear" w:color="auto" w:fill="auto"/>
                  <w:noWrap/>
                  <w:vAlign w:val="center"/>
                </w:tcPr>
                <w:p>
                  <w:pPr>
                    <w:widowControl/>
                    <w:spacing w:line="240" w:lineRule="auto"/>
                    <w:ind w:firstLine="0" w:firstLineChars="0"/>
                    <w:jc w:val="center"/>
                    <w:rPr>
                      <w:rFonts w:hint="eastAsia"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LGJ-400/35</w:t>
                  </w:r>
                </w:p>
              </w:tc>
              <w:tc>
                <w:tcPr>
                  <w:tcW w:w="622" w:type="pct"/>
                  <w:shd w:val="clear" w:color="auto" w:fill="auto"/>
                  <w:noWrap/>
                  <w:vAlign w:val="center"/>
                </w:tcPr>
                <w:p>
                  <w:pPr>
                    <w:widowControl/>
                    <w:spacing w:line="240" w:lineRule="auto"/>
                    <w:ind w:firstLine="0" w:firstLineChars="0"/>
                    <w:jc w:val="center"/>
                    <w:rPr>
                      <w:rFonts w:hint="default"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米</w:t>
                  </w:r>
                </w:p>
              </w:tc>
              <w:tc>
                <w:tcPr>
                  <w:tcW w:w="614" w:type="pct"/>
                  <w:shd w:val="clear" w:color="auto" w:fill="auto"/>
                  <w:noWrap/>
                  <w:vAlign w:val="center"/>
                </w:tcPr>
                <w:p>
                  <w:pPr>
                    <w:widowControl/>
                    <w:spacing w:line="240" w:lineRule="auto"/>
                    <w:ind w:firstLine="0" w:firstLineChars="0"/>
                    <w:jc w:val="center"/>
                    <w:rPr>
                      <w:rFonts w:hint="default" w:ascii="Times New Roman" w:hAnsi="Times New Roman" w:cs="Times New Roman" w:eastAsiaTheme="minorEastAsia"/>
                      <w:color w:val="auto"/>
                      <w:kern w:val="0"/>
                      <w:sz w:val="21"/>
                      <w:szCs w:val="21"/>
                      <w:lang w:val="en-US" w:eastAsia="zh-CN"/>
                    </w:rPr>
                  </w:pPr>
                  <w:r>
                    <w:rPr>
                      <w:rFonts w:hint="eastAsia" w:ascii="Times New Roman" w:hAnsi="Times New Roman" w:cs="Times New Roman"/>
                      <w:color w:val="auto"/>
                      <w:kern w:val="0"/>
                      <w:sz w:val="21"/>
                      <w:szCs w:val="21"/>
                      <w:lang w:val="en-US" w:eastAsia="zh-CN"/>
                    </w:rPr>
                    <w:t>258</w:t>
                  </w:r>
                </w:p>
              </w:tc>
            </w:tr>
          </w:tbl>
          <w:p>
            <w:pPr>
              <w:keepNext w:val="0"/>
              <w:keepLines w:val="0"/>
              <w:pageBreakBefore w:val="0"/>
              <w:kinsoku/>
              <w:wordWrap/>
              <w:overflowPunct/>
              <w:topLinePunct w:val="0"/>
              <w:autoSpaceDE/>
              <w:autoSpaceDN/>
              <w:bidi w:val="0"/>
              <w:adjustRightInd/>
              <w:snapToGrid/>
              <w:spacing w:line="360" w:lineRule="auto"/>
              <w:ind w:left="0" w:right="0" w:firstLine="420" w:firstLineChars="200"/>
              <w:jc w:val="both"/>
              <w:textAlignment w:val="auto"/>
              <w:rPr>
                <w:rFonts w:hint="eastAsia" w:eastAsiaTheme="minorEastAsia"/>
                <w:color w:val="auto"/>
                <w:lang w:eastAsia="zh-CN"/>
              </w:rPr>
            </w:pPr>
          </w:p>
          <w:p>
            <w:pPr>
              <w:keepNext w:val="0"/>
              <w:keepLines w:val="0"/>
              <w:pageBreakBefore w:val="0"/>
              <w:kinsoku/>
              <w:wordWrap/>
              <w:overflowPunct/>
              <w:topLinePunct w:val="0"/>
              <w:autoSpaceDE/>
              <w:autoSpaceDN/>
              <w:bidi w:val="0"/>
              <w:adjustRightInd/>
              <w:snapToGrid/>
              <w:spacing w:line="360" w:lineRule="auto"/>
              <w:ind w:left="0" w:right="0" w:firstLine="420" w:firstLineChars="200"/>
              <w:jc w:val="both"/>
              <w:textAlignment w:val="auto"/>
              <w:rPr>
                <w:rFonts w:hint="eastAsia" w:eastAsiaTheme="minorEastAsia"/>
                <w:color w:val="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527" w:hRule="atLeast"/>
          <w:jc w:val="center"/>
        </w:trPr>
        <w:tc>
          <w:tcPr>
            <w:tcW w:w="61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aps w:val="0"/>
                <w:color w:val="auto"/>
                <w:sz w:val="24"/>
                <w:szCs w:val="24"/>
                <w:lang w:val="en-US" w:eastAsia="zh-CN"/>
              </w:rPr>
            </w:pPr>
            <w:r>
              <w:rPr>
                <w:rFonts w:hint="eastAsia" w:ascii="Times New Roman" w:hAnsi="Times New Roman" w:eastAsia="宋体" w:cs="Times New Roman"/>
                <w:b/>
                <w:bCs/>
                <w:caps w:val="0"/>
                <w:color w:val="auto"/>
                <w:sz w:val="24"/>
                <w:szCs w:val="24"/>
                <w:lang w:val="en-US" w:eastAsia="zh-CN"/>
              </w:rPr>
              <w:t>总平面及现场布置</w:t>
            </w:r>
          </w:p>
        </w:tc>
        <w:tc>
          <w:tcPr>
            <w:tcW w:w="8944"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right="0" w:firstLine="444" w:firstLineChars="200"/>
              <w:textAlignment w:val="auto"/>
              <w:rPr>
                <w:rFonts w:ascii="宋体" w:hAnsi="宋体" w:eastAsia="宋体" w:cs="宋体"/>
                <w:color w:val="auto"/>
                <w:sz w:val="24"/>
                <w:szCs w:val="24"/>
              </w:rPr>
            </w:pPr>
            <w:r>
              <w:rPr>
                <w:rFonts w:ascii="Times New Roman" w:hAnsi="Times New Roman" w:eastAsia="Times New Roman" w:cs="Times New Roman"/>
                <w:b/>
                <w:bCs/>
                <w:color w:val="auto"/>
                <w:spacing w:val="-9"/>
                <w:sz w:val="24"/>
                <w:szCs w:val="24"/>
              </w:rPr>
              <w:t>1</w:t>
            </w:r>
            <w:r>
              <w:rPr>
                <w:rFonts w:ascii="Times New Roman" w:hAnsi="Times New Roman" w:eastAsia="Times New Roman" w:cs="Times New Roman"/>
                <w:b/>
                <w:bCs/>
                <w:color w:val="auto"/>
                <w:spacing w:val="-31"/>
                <w:sz w:val="24"/>
                <w:szCs w:val="24"/>
              </w:rPr>
              <w:t xml:space="preserve"> </w:t>
            </w:r>
            <w:r>
              <w:rPr>
                <w:rFonts w:ascii="宋体" w:hAnsi="宋体" w:eastAsia="宋体" w:cs="宋体"/>
                <w:b/>
                <w:bCs/>
                <w:color w:val="auto"/>
                <w:spacing w:val="-9"/>
                <w:sz w:val="24"/>
                <w:szCs w:val="24"/>
              </w:rPr>
              <w:t>、总体布置</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朝阳国宏100MW储能项目220千伏送出工程项目位于朝阳市龙城区边杖子镇新房村、朱杖子村（起于马山220kV变电站，止于新建国宏200MW储能站）。</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220</w:t>
            </w:r>
            <w:r>
              <w:rPr>
                <w:rFonts w:hint="eastAsia" w:ascii="Times New Roman" w:hAnsi="Times New Roman" w:eastAsia="宋体" w:cs="Times New Roman"/>
                <w:color w:val="auto"/>
                <w:sz w:val="24"/>
                <w:szCs w:val="24"/>
                <w:vertAlign w:val="baseline"/>
              </w:rPr>
              <w:t>kV送出线路</w:t>
            </w:r>
            <w:r>
              <w:rPr>
                <w:rFonts w:hint="eastAsia" w:ascii="Times New Roman" w:hAnsi="Times New Roman" w:eastAsia="宋体" w:cs="Times New Roman"/>
                <w:color w:val="auto"/>
                <w:sz w:val="24"/>
                <w:szCs w:val="24"/>
                <w:vertAlign w:val="baseline"/>
                <w:lang w:val="en-US" w:eastAsia="zh-CN"/>
              </w:rPr>
              <w:t>起点（马山变电站）：东经</w:t>
            </w:r>
            <w:r>
              <w:rPr>
                <w:rFonts w:hint="default" w:ascii="Times New Roman" w:hAnsi="Times New Roman" w:eastAsia="宋体" w:cs="Times New Roman"/>
                <w:color w:val="auto"/>
                <w:sz w:val="24"/>
                <w:szCs w:val="24"/>
                <w:vertAlign w:val="baseline"/>
                <w:lang w:val="en-US" w:eastAsia="zh-CN"/>
              </w:rPr>
              <w:t>120.2877415</w:t>
            </w:r>
            <w:r>
              <w:rPr>
                <w:rFonts w:hint="eastAsia" w:ascii="Times New Roman" w:hAnsi="Times New Roman" w:eastAsia="宋体" w:cs="Times New Roman"/>
                <w:color w:val="auto"/>
                <w:sz w:val="24"/>
                <w:szCs w:val="24"/>
                <w:vertAlign w:val="baseline"/>
                <w:lang w:val="en-US" w:eastAsia="zh-CN"/>
              </w:rPr>
              <w:t>°，北纬</w:t>
            </w:r>
            <w:r>
              <w:rPr>
                <w:rFonts w:hint="default" w:ascii="Times New Roman" w:hAnsi="Times New Roman" w:eastAsia="宋体" w:cs="Times New Roman"/>
                <w:color w:val="auto"/>
                <w:sz w:val="24"/>
                <w:szCs w:val="24"/>
                <w:vertAlign w:val="baseline"/>
                <w:lang w:val="en-US" w:eastAsia="zh-CN"/>
              </w:rPr>
              <w:t>41.56779389</w:t>
            </w:r>
            <w:r>
              <w:rPr>
                <w:rFonts w:hint="eastAsia" w:ascii="Times New Roman" w:hAnsi="Times New Roman" w:eastAsia="宋体" w:cs="Times New Roman"/>
                <w:color w:val="auto"/>
                <w:sz w:val="24"/>
                <w:szCs w:val="24"/>
                <w:vertAlign w:val="baseline"/>
                <w:lang w:val="en-US" w:eastAsia="zh-CN"/>
              </w:rPr>
              <w:t>°；220kV 送出线路终点（规划储能站）：东经120.321686809°，北纬41.59365028°。</w:t>
            </w:r>
          </w:p>
          <w:p>
            <w:pPr>
              <w:keepNext w:val="0"/>
              <w:keepLines w:val="0"/>
              <w:pageBreakBefore w:val="0"/>
              <w:kinsoku/>
              <w:wordWrap/>
              <w:overflowPunct/>
              <w:topLinePunct w:val="0"/>
              <w:autoSpaceDE/>
              <w:autoSpaceDN/>
              <w:bidi w:val="0"/>
              <w:adjustRightInd/>
              <w:snapToGrid/>
              <w:spacing w:line="360" w:lineRule="auto"/>
              <w:ind w:left="0" w:firstLine="480" w:firstLineChars="200"/>
              <w:textAlignment w:val="auto"/>
              <w:rPr>
                <w:color w:val="auto"/>
              </w:rPr>
            </w:pPr>
            <w:r>
              <w:rPr>
                <w:rFonts w:hint="eastAsia" w:ascii="Times New Roman" w:hAnsi="Times New Roman" w:eastAsia="宋体" w:cs="Times New Roman"/>
                <w:color w:val="auto"/>
                <w:sz w:val="24"/>
                <w:szCs w:val="24"/>
                <w:highlight w:val="none"/>
                <w:lang w:val="en-US" w:eastAsia="zh-CN"/>
              </w:rPr>
              <w:t>项目线路工程坐标及位置坐标如下：</w:t>
            </w:r>
          </w:p>
          <w:p>
            <w:pPr>
              <w:keepNext w:val="0"/>
              <w:keepLines w:val="0"/>
              <w:pageBreakBefore w:val="0"/>
              <w:kinsoku/>
              <w:wordWrap/>
              <w:overflowPunct/>
              <w:topLinePunct w:val="0"/>
              <w:autoSpaceDE/>
              <w:autoSpaceDN/>
              <w:bidi w:val="0"/>
              <w:adjustRightInd/>
              <w:snapToGrid/>
              <w:spacing w:line="360" w:lineRule="auto"/>
              <w:ind w:left="0" w:leftChars="0" w:firstLine="0" w:firstLineChars="0"/>
              <w:jc w:val="center"/>
              <w:textAlignment w:val="auto"/>
              <w:rPr>
                <w:rFonts w:ascii="Times New Roman" w:hAnsi="Times New Roman" w:eastAsia="Times New Roman" w:cs="Times New Roman"/>
                <w:b/>
                <w:bCs/>
                <w:color w:val="auto"/>
                <w:spacing w:val="-6"/>
                <w:sz w:val="24"/>
                <w:szCs w:val="24"/>
              </w:rPr>
            </w:pPr>
            <w:r>
              <w:rPr>
                <w:color w:val="auto"/>
              </w:rPr>
              <w:drawing>
                <wp:inline distT="0" distB="0" distL="114300" distR="114300">
                  <wp:extent cx="5313045" cy="3597275"/>
                  <wp:effectExtent l="0" t="0" r="1905" b="3175"/>
                  <wp:docPr id="6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
                          <pic:cNvPicPr>
                            <a:picLocks noChangeAspect="1"/>
                          </pic:cNvPicPr>
                        </pic:nvPicPr>
                        <pic:blipFill>
                          <a:blip r:embed="rId30"/>
                          <a:stretch>
                            <a:fillRect/>
                          </a:stretch>
                        </pic:blipFill>
                        <pic:spPr>
                          <a:xfrm>
                            <a:off x="0" y="0"/>
                            <a:ext cx="5313045" cy="3597275"/>
                          </a:xfrm>
                          <a:prstGeom prst="rect">
                            <a:avLst/>
                          </a:prstGeom>
                          <a:noFill/>
                          <a:ln>
                            <a:noFill/>
                          </a:ln>
                        </pic:spPr>
                      </pic:pic>
                    </a:graphicData>
                  </a:graphic>
                </wp:inline>
              </w:drawing>
            </w:r>
          </w:p>
          <w:p>
            <w:pPr>
              <w:widowControl/>
              <w:ind w:firstLine="480"/>
              <w:jc w:val="center"/>
              <w:rPr>
                <w:rFonts w:hint="eastAsia" w:ascii="Times New Roman" w:hAnsi="Times New Roman" w:eastAsia="宋体" w:cs="Times New Roman"/>
                <w:b/>
                <w:color w:val="auto"/>
                <w:kern w:val="2"/>
                <w:sz w:val="24"/>
                <w:szCs w:val="24"/>
                <w:highlight w:val="none"/>
                <w:lang w:val="en-US" w:eastAsia="zh-CN" w:bidi="ar-SA"/>
              </w:rPr>
            </w:pPr>
            <w:r>
              <w:rPr>
                <w:rFonts w:hint="eastAsia" w:ascii="Times New Roman" w:hAnsi="Times New Roman" w:eastAsia="宋体" w:cs="Times New Roman"/>
                <w:b/>
                <w:color w:val="auto"/>
                <w:kern w:val="2"/>
                <w:sz w:val="24"/>
                <w:szCs w:val="24"/>
                <w:highlight w:val="none"/>
                <w:lang w:val="en-US" w:eastAsia="zh-CN" w:bidi="ar-SA"/>
              </w:rPr>
              <w:t>图2-1   项目线路工程布置图</w:t>
            </w:r>
          </w:p>
          <w:p>
            <w:pPr>
              <w:keepNext w:val="0"/>
              <w:keepLines w:val="0"/>
              <w:pageBreakBefore w:val="0"/>
              <w:widowControl w:val="0"/>
              <w:kinsoku/>
              <w:wordWrap/>
              <w:overflowPunct/>
              <w:topLinePunct w:val="0"/>
              <w:autoSpaceDE/>
              <w:autoSpaceDN/>
              <w:bidi w:val="0"/>
              <w:adjustRightInd/>
              <w:snapToGrid/>
              <w:spacing w:line="360" w:lineRule="auto"/>
              <w:ind w:left="0" w:right="0" w:firstLine="444" w:firstLineChars="200"/>
              <w:textAlignment w:val="auto"/>
              <w:rPr>
                <w:rFonts w:ascii="Times New Roman" w:hAnsi="Times New Roman" w:eastAsia="Times New Roman" w:cs="Times New Roman"/>
                <w:b/>
                <w:bCs/>
                <w:color w:val="auto"/>
                <w:spacing w:val="-9"/>
                <w:sz w:val="24"/>
                <w:szCs w:val="24"/>
              </w:rPr>
            </w:pPr>
            <w:bookmarkStart w:id="42" w:name="_Hlk164910038"/>
            <w:r>
              <w:rPr>
                <w:rFonts w:hint="eastAsia" w:ascii="Times New Roman" w:hAnsi="Times New Roman" w:eastAsia="Times New Roman" w:cs="Times New Roman"/>
                <w:b/>
                <w:bCs/>
                <w:color w:val="auto"/>
                <w:spacing w:val="-9"/>
                <w:sz w:val="24"/>
                <w:szCs w:val="24"/>
                <w:lang w:val="en-US" w:eastAsia="zh-CN"/>
              </w:rPr>
              <w:t>2、</w:t>
            </w:r>
            <w:r>
              <w:rPr>
                <w:rFonts w:hint="eastAsia" w:ascii="Times New Roman" w:hAnsi="Times New Roman" w:eastAsia="Times New Roman" w:cs="Times New Roman"/>
                <w:b/>
                <w:bCs/>
                <w:color w:val="auto"/>
                <w:spacing w:val="-9"/>
                <w:sz w:val="24"/>
                <w:szCs w:val="24"/>
              </w:rPr>
              <w:t>输电铁塔组建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vertAlign w:val="baseline"/>
              </w:rPr>
            </w:pPr>
            <w:bookmarkStart w:id="43" w:name="_Hlk164910049"/>
            <w:r>
              <w:rPr>
                <w:rFonts w:hint="eastAsia" w:ascii="Times New Roman" w:hAnsi="Times New Roman" w:eastAsia="宋体" w:cs="Times New Roman"/>
                <w:color w:val="auto"/>
                <w:sz w:val="24"/>
                <w:szCs w:val="24"/>
                <w:vertAlign w:val="baseline"/>
              </w:rPr>
              <w:t>塔基施工结束后在塔基的基础上进行铁塔组建，组建现场主要分为地面组装区、机动绞磨区（牵引、起重区）、地面组装区、塔料分片区、工具存放处和值班工棚。</w:t>
            </w:r>
          </w:p>
          <w:p>
            <w:pPr>
              <w:pStyle w:val="51"/>
              <w:spacing w:line="240" w:lineRule="auto"/>
              <w:ind w:left="42" w:right="42" w:firstLine="420"/>
              <w:jc w:val="center"/>
              <w:rPr>
                <w:rFonts w:cs="Times New Roman"/>
                <w:color w:val="auto"/>
              </w:rPr>
            </w:pPr>
            <w:bookmarkStart w:id="44" w:name="_Hlk164910056"/>
            <w:r>
              <w:rPr>
                <w:snapToGrid/>
                <w:color w:val="auto"/>
              </w:rPr>
              <w:drawing>
                <wp:inline distT="0" distB="0" distL="0" distR="0">
                  <wp:extent cx="2190750" cy="1662430"/>
                  <wp:effectExtent l="0" t="0" r="0" b="13970"/>
                  <wp:docPr id="211832640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326404" name="图片 2"/>
                          <pic:cNvPicPr>
                            <a:picLocks noChangeAspect="1"/>
                          </pic:cNvPicPr>
                        </pic:nvPicPr>
                        <pic:blipFill>
                          <a:blip r:embed="rId31"/>
                          <a:srcRect b="3933"/>
                          <a:stretch>
                            <a:fillRect/>
                          </a:stretch>
                        </pic:blipFill>
                        <pic:spPr>
                          <a:xfrm>
                            <a:off x="0" y="0"/>
                            <a:ext cx="2190750" cy="1662430"/>
                          </a:xfrm>
                          <a:prstGeom prst="rect">
                            <a:avLst/>
                          </a:prstGeom>
                          <a:ln>
                            <a:noFill/>
                          </a:ln>
                        </pic:spPr>
                      </pic:pic>
                    </a:graphicData>
                  </a:graphic>
                </wp:inline>
              </w:drawing>
            </w:r>
          </w:p>
          <w:p>
            <w:pPr>
              <w:pStyle w:val="51"/>
              <w:keepNext w:val="0"/>
              <w:keepLines w:val="0"/>
              <w:pageBreakBefore w:val="0"/>
              <w:widowControl w:val="0"/>
              <w:kinsoku/>
              <w:wordWrap/>
              <w:overflowPunct/>
              <w:topLinePunct/>
              <w:autoSpaceDE/>
              <w:autoSpaceDN/>
              <w:bidi w:val="0"/>
              <w:adjustRightInd/>
              <w:snapToGrid/>
              <w:ind w:left="0" w:leftChars="0" w:right="0" w:rightChars="0" w:firstLine="0"/>
              <w:jc w:val="center"/>
              <w:textAlignment w:val="auto"/>
              <w:rPr>
                <w:rFonts w:hint="eastAsia" w:cs="Times New Roman"/>
                <w:b/>
                <w:bCs/>
                <w:color w:val="auto"/>
              </w:rPr>
            </w:pPr>
            <w:r>
              <w:rPr>
                <w:rFonts w:hint="eastAsia" w:cs="Times New Roman"/>
                <w:b/>
                <w:bCs/>
                <w:color w:val="auto"/>
              </w:rPr>
              <w:t>图2</w:t>
            </w:r>
            <w:r>
              <w:rPr>
                <w:rFonts w:cs="Times New Roman"/>
                <w:b/>
                <w:bCs/>
                <w:color w:val="auto"/>
              </w:rPr>
              <w:t>-</w:t>
            </w:r>
            <w:r>
              <w:rPr>
                <w:rFonts w:hint="eastAsia" w:cs="Times New Roman"/>
                <w:b/>
                <w:bCs/>
                <w:color w:val="auto"/>
                <w:lang w:val="en-US" w:eastAsia="zh-CN"/>
              </w:rPr>
              <w:t>2</w:t>
            </w:r>
            <w:r>
              <w:rPr>
                <w:rFonts w:cs="Times New Roman"/>
                <w:b/>
                <w:bCs/>
                <w:color w:val="auto"/>
              </w:rPr>
              <w:t xml:space="preserve">    </w:t>
            </w:r>
            <w:r>
              <w:rPr>
                <w:rFonts w:hint="eastAsia" w:cs="Times New Roman"/>
                <w:b/>
                <w:bCs/>
                <w:color w:val="auto"/>
              </w:rPr>
              <w:t>铁塔组立施工现场布置图</w:t>
            </w:r>
            <w:bookmarkEnd w:id="42"/>
            <w:bookmarkEnd w:id="43"/>
            <w:bookmarkEnd w:id="44"/>
          </w:p>
          <w:p>
            <w:pPr>
              <w:keepNext w:val="0"/>
              <w:keepLines w:val="0"/>
              <w:pageBreakBefore w:val="0"/>
              <w:widowControl w:val="0"/>
              <w:kinsoku/>
              <w:wordWrap/>
              <w:overflowPunct/>
              <w:topLinePunct w:val="0"/>
              <w:autoSpaceDE/>
              <w:autoSpaceDN/>
              <w:bidi w:val="0"/>
              <w:adjustRightInd/>
              <w:snapToGrid/>
              <w:spacing w:line="360" w:lineRule="auto"/>
              <w:ind w:left="0" w:right="0" w:firstLine="444" w:firstLineChars="200"/>
              <w:textAlignment w:val="auto"/>
              <w:rPr>
                <w:rFonts w:hint="eastAsia" w:ascii="Times New Roman" w:hAnsi="Times New Roman" w:eastAsia="Times New Roman" w:cs="Times New Roman"/>
                <w:b/>
                <w:bCs/>
                <w:color w:val="auto"/>
                <w:spacing w:val="-9"/>
                <w:sz w:val="24"/>
                <w:szCs w:val="24"/>
                <w:lang w:val="en-US" w:eastAsia="zh-CN"/>
              </w:rPr>
            </w:pPr>
            <w:r>
              <w:rPr>
                <w:rFonts w:hint="eastAsia" w:ascii="Times New Roman" w:hAnsi="Times New Roman" w:eastAsia="Times New Roman" w:cs="Times New Roman"/>
                <w:b/>
                <w:bCs/>
                <w:color w:val="auto"/>
                <w:spacing w:val="-9"/>
                <w:sz w:val="24"/>
                <w:szCs w:val="24"/>
                <w:lang w:val="en-US" w:eastAsia="zh-CN"/>
              </w:rPr>
              <w:t>3、牵张场地布置</w:t>
            </w:r>
          </w:p>
          <w:p>
            <w:pPr>
              <w:pStyle w:val="51"/>
              <w:keepNext w:val="0"/>
              <w:keepLines w:val="0"/>
              <w:pageBreakBefore w:val="0"/>
              <w:widowControl w:val="0"/>
              <w:kinsoku/>
              <w:wordWrap/>
              <w:overflowPunct/>
              <w:topLinePunct/>
              <w:autoSpaceDE/>
              <w:autoSpaceDN/>
              <w:bidi w:val="0"/>
              <w:adjustRightInd/>
              <w:snapToGrid/>
              <w:spacing w:line="360" w:lineRule="auto"/>
              <w:ind w:left="42" w:right="42" w:firstLine="420"/>
              <w:textAlignment w:val="auto"/>
              <w:rPr>
                <w:rFonts w:hint="eastAsia" w:ascii="Times New Roman" w:hAnsi="Times New Roman" w:eastAsia="宋体" w:cs="Times New Roman"/>
                <w:color w:val="auto"/>
                <w:kern w:val="2"/>
                <w:sz w:val="24"/>
                <w:szCs w:val="24"/>
                <w:vertAlign w:val="baseline"/>
                <w:lang w:val="en-US" w:eastAsia="zh-CN" w:bidi="ar-SA"/>
              </w:rPr>
            </w:pPr>
            <w:r>
              <w:rPr>
                <w:rFonts w:hint="eastAsia" w:ascii="Times New Roman" w:hAnsi="Times New Roman" w:eastAsia="宋体" w:cs="Times New Roman"/>
                <w:color w:val="auto"/>
                <w:kern w:val="2"/>
                <w:sz w:val="24"/>
                <w:szCs w:val="24"/>
                <w:vertAlign w:val="baseline"/>
                <w:lang w:val="en-US" w:eastAsia="zh-CN" w:bidi="ar-SA"/>
              </w:rPr>
              <w:t>为满足施工放线需要，线路沿线需设置牵张场，本工程共设置牵张场</w:t>
            </w:r>
            <w:r>
              <w:rPr>
                <w:rFonts w:hint="eastAsia" w:eastAsia="宋体" w:cs="Times New Roman"/>
                <w:color w:val="auto"/>
                <w:kern w:val="2"/>
                <w:sz w:val="24"/>
                <w:szCs w:val="24"/>
                <w:vertAlign w:val="baseline"/>
                <w:lang w:val="en-US" w:eastAsia="zh-CN" w:bidi="ar-SA"/>
              </w:rPr>
              <w:t>2</w:t>
            </w:r>
            <w:r>
              <w:rPr>
                <w:rFonts w:hint="eastAsia" w:ascii="Times New Roman" w:hAnsi="Times New Roman" w:eastAsia="宋体" w:cs="Times New Roman"/>
                <w:color w:val="auto"/>
                <w:kern w:val="2"/>
                <w:sz w:val="24"/>
                <w:szCs w:val="24"/>
                <w:vertAlign w:val="baseline"/>
                <w:lang w:val="en-US" w:eastAsia="zh-CN" w:bidi="ar-SA"/>
              </w:rPr>
              <w:t>处，单个牵张场占地</w:t>
            </w:r>
            <w:r>
              <w:rPr>
                <w:rFonts w:hint="eastAsia" w:eastAsia="宋体" w:cs="Times New Roman"/>
                <w:color w:val="auto"/>
                <w:kern w:val="2"/>
                <w:sz w:val="24"/>
                <w:szCs w:val="24"/>
                <w:vertAlign w:val="baseline"/>
                <w:lang w:val="en-US" w:eastAsia="zh-CN" w:bidi="ar-SA"/>
              </w:rPr>
              <w:t>0.15</w:t>
            </w:r>
            <w:r>
              <w:rPr>
                <w:rFonts w:hint="eastAsia" w:ascii="Times New Roman" w:hAnsi="Times New Roman" w:eastAsia="宋体" w:cs="Times New Roman"/>
                <w:color w:val="auto"/>
                <w:kern w:val="2"/>
                <w:sz w:val="24"/>
                <w:szCs w:val="24"/>
                <w:vertAlign w:val="baseline"/>
                <w:lang w:val="en-US" w:eastAsia="zh-CN" w:bidi="ar-SA"/>
              </w:rPr>
              <w:t>hm</w:t>
            </w:r>
            <w:r>
              <w:rPr>
                <w:rFonts w:hint="eastAsia" w:ascii="Times New Roman" w:hAnsi="Times New Roman" w:eastAsia="宋体" w:cs="Times New Roman"/>
                <w:color w:val="auto"/>
                <w:kern w:val="2"/>
                <w:sz w:val="24"/>
                <w:szCs w:val="24"/>
                <w:vertAlign w:val="superscript"/>
                <w:lang w:val="en-US" w:eastAsia="zh-CN" w:bidi="ar-SA"/>
              </w:rPr>
              <w:t>2</w:t>
            </w:r>
            <w:r>
              <w:rPr>
                <w:rFonts w:hint="eastAsia" w:ascii="Times New Roman" w:hAnsi="Times New Roman" w:eastAsia="宋体" w:cs="Times New Roman"/>
                <w:color w:val="auto"/>
                <w:kern w:val="2"/>
                <w:sz w:val="24"/>
                <w:szCs w:val="24"/>
                <w:vertAlign w:val="baseline"/>
                <w:lang w:val="en-US" w:eastAsia="zh-CN" w:bidi="ar-SA"/>
              </w:rPr>
              <w:t>，为临时占地，总占地面积0.</w:t>
            </w:r>
            <w:r>
              <w:rPr>
                <w:rFonts w:hint="eastAsia" w:eastAsia="宋体" w:cs="Times New Roman"/>
                <w:color w:val="auto"/>
                <w:kern w:val="2"/>
                <w:sz w:val="24"/>
                <w:szCs w:val="24"/>
                <w:vertAlign w:val="baseline"/>
                <w:lang w:val="en-US" w:eastAsia="zh-CN" w:bidi="ar-SA"/>
              </w:rPr>
              <w:t>30</w:t>
            </w:r>
            <w:r>
              <w:rPr>
                <w:rFonts w:hint="eastAsia" w:ascii="Times New Roman" w:hAnsi="Times New Roman" w:eastAsia="宋体" w:cs="Times New Roman"/>
                <w:color w:val="auto"/>
                <w:kern w:val="2"/>
                <w:sz w:val="24"/>
                <w:szCs w:val="24"/>
                <w:vertAlign w:val="baseline"/>
                <w:lang w:val="en-US" w:eastAsia="zh-CN" w:bidi="ar-SA"/>
              </w:rPr>
              <w:t>hm</w:t>
            </w:r>
            <w:r>
              <w:rPr>
                <w:rFonts w:hint="eastAsia" w:ascii="Times New Roman" w:hAnsi="Times New Roman" w:eastAsia="宋体" w:cs="Times New Roman"/>
                <w:color w:val="auto"/>
                <w:kern w:val="2"/>
                <w:sz w:val="24"/>
                <w:szCs w:val="24"/>
                <w:vertAlign w:val="superscript"/>
                <w:lang w:val="en-US" w:eastAsia="zh-CN" w:bidi="ar-SA"/>
              </w:rPr>
              <w:t>2</w:t>
            </w:r>
            <w:r>
              <w:rPr>
                <w:rFonts w:hint="eastAsia" w:ascii="Times New Roman" w:hAnsi="Times New Roman" w:eastAsia="宋体" w:cs="Times New Roman"/>
                <w:color w:val="auto"/>
                <w:kern w:val="2"/>
                <w:sz w:val="24"/>
                <w:szCs w:val="24"/>
                <w:vertAlign w:val="baseline"/>
                <w:lang w:val="en-US" w:eastAsia="zh-CN" w:bidi="ar-SA"/>
              </w:rPr>
              <w:t>。 牵张场地全部设置在现有道路路边，不需要另设施工道路。牵张场位置布置见附图</w:t>
            </w:r>
            <w:r>
              <w:rPr>
                <w:rFonts w:hint="eastAsia" w:eastAsia="宋体" w:cs="Times New Roman"/>
                <w:color w:val="auto"/>
                <w:kern w:val="2"/>
                <w:sz w:val="24"/>
                <w:szCs w:val="24"/>
                <w:vertAlign w:val="baseline"/>
                <w:lang w:val="en-US" w:eastAsia="zh-CN" w:bidi="ar-SA"/>
              </w:rPr>
              <w:t>四</w:t>
            </w:r>
            <w:r>
              <w:rPr>
                <w:rFonts w:hint="eastAsia" w:ascii="Times New Roman" w:hAnsi="Times New Roman" w:eastAsia="宋体" w:cs="Times New Roman"/>
                <w:color w:val="auto"/>
                <w:kern w:val="2"/>
                <w:sz w:val="24"/>
                <w:szCs w:val="24"/>
                <w:vertAlign w:val="baseline"/>
                <w:lang w:val="en-US" w:eastAsia="zh-CN" w:bidi="ar-SA"/>
              </w:rPr>
              <w:t>，施工作业车辆在作业区工作，作业结束的车辆或非作业车辆停放在场中空地中，牵张场现场布置见图2-3。</w:t>
            </w:r>
          </w:p>
          <w:p>
            <w:pPr>
              <w:pStyle w:val="53"/>
              <w:kinsoku/>
              <w:topLinePunct/>
              <w:autoSpaceDE/>
              <w:autoSpaceDN/>
              <w:spacing w:before="156"/>
              <w:rPr>
                <w:rFonts w:cs="Times New Roman" w:eastAsiaTheme="minorEastAsia"/>
                <w:color w:val="auto"/>
                <w:lang w:eastAsia="zh-CN"/>
              </w:rPr>
            </w:pPr>
            <w:r>
              <w:rPr>
                <w:snapToGrid/>
                <w:color w:val="auto"/>
              </w:rPr>
              <w:drawing>
                <wp:inline distT="0" distB="0" distL="0" distR="0">
                  <wp:extent cx="5418455" cy="2721610"/>
                  <wp:effectExtent l="0" t="0" r="10795" b="2540"/>
                  <wp:docPr id="16409624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962443" name="图片 2"/>
                          <pic:cNvPicPr>
                            <a:picLocks noChangeAspect="1"/>
                          </pic:cNvPicPr>
                        </pic:nvPicPr>
                        <pic:blipFill>
                          <a:blip r:embed="rId32"/>
                          <a:stretch>
                            <a:fillRect/>
                          </a:stretch>
                        </pic:blipFill>
                        <pic:spPr>
                          <a:xfrm>
                            <a:off x="0" y="0"/>
                            <a:ext cx="5418455" cy="2721610"/>
                          </a:xfrm>
                          <a:prstGeom prst="rect">
                            <a:avLst/>
                          </a:prstGeom>
                        </pic:spPr>
                      </pic:pic>
                    </a:graphicData>
                  </a:graphic>
                </wp:inline>
              </w:drawing>
            </w:r>
          </w:p>
          <w:p>
            <w:pPr>
              <w:pStyle w:val="54"/>
              <w:kinsoku/>
              <w:topLinePunct/>
              <w:autoSpaceDE/>
              <w:autoSpaceDN/>
              <w:rPr>
                <w:color w:val="auto"/>
                <w:lang w:eastAsia="zh-CN"/>
              </w:rPr>
            </w:pPr>
            <w:r>
              <w:rPr>
                <w:color w:val="auto"/>
                <w:lang w:eastAsia="zh-CN"/>
              </w:rPr>
              <w:t>图2-</w:t>
            </w:r>
            <w:r>
              <w:rPr>
                <w:rFonts w:hint="eastAsia"/>
                <w:color w:val="auto"/>
                <w:lang w:val="en-US" w:eastAsia="zh-CN"/>
              </w:rPr>
              <w:t>3</w:t>
            </w:r>
            <w:r>
              <w:rPr>
                <w:color w:val="auto"/>
                <w:lang w:eastAsia="zh-CN"/>
              </w:rPr>
              <w:t>牵张场现场布置图</w:t>
            </w:r>
          </w:p>
          <w:p>
            <w:pPr>
              <w:keepNext w:val="0"/>
              <w:keepLines w:val="0"/>
              <w:pageBreakBefore w:val="0"/>
              <w:widowControl w:val="0"/>
              <w:kinsoku/>
              <w:wordWrap/>
              <w:overflowPunct/>
              <w:topLinePunct w:val="0"/>
              <w:autoSpaceDE/>
              <w:autoSpaceDN/>
              <w:bidi w:val="0"/>
              <w:adjustRightInd/>
              <w:snapToGrid/>
              <w:spacing w:line="360" w:lineRule="auto"/>
              <w:ind w:left="0" w:right="0" w:firstLine="444" w:firstLineChars="200"/>
              <w:textAlignment w:val="auto"/>
              <w:rPr>
                <w:rFonts w:hint="eastAsia" w:ascii="Times New Roman" w:hAnsi="Times New Roman" w:eastAsia="Times New Roman" w:cs="Times New Roman"/>
                <w:b/>
                <w:bCs/>
                <w:color w:val="auto"/>
                <w:spacing w:val="-9"/>
                <w:sz w:val="24"/>
                <w:szCs w:val="24"/>
                <w:lang w:val="en-US" w:eastAsia="zh-CN"/>
              </w:rPr>
            </w:pPr>
            <w:r>
              <w:rPr>
                <w:rFonts w:hint="eastAsia" w:ascii="Times New Roman" w:hAnsi="Times New Roman" w:eastAsia="Times New Roman" w:cs="Times New Roman"/>
                <w:b/>
                <w:bCs/>
                <w:color w:val="auto"/>
                <w:spacing w:val="-9"/>
                <w:sz w:val="24"/>
                <w:szCs w:val="24"/>
                <w:lang w:val="en-US" w:eastAsia="zh-CN"/>
              </w:rPr>
              <w:t>4、施工营地</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本项目输电线路采取分段施工实施，建设单位以招标的方式确定专业的施工单位，施工材料由施工单位分批次运至施工现场并及时组织施工安装，施工人员集中在施工单位的组织调配中心内，故不在线路沿线设置临时施工营地。</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default" w:cs="Times New Roman"/>
                <w:b/>
                <w:bCs/>
                <w:color w:val="auto"/>
                <w:lang w:val="en-US" w:eastAsia="zh-CN"/>
              </w:rPr>
            </w:pPr>
            <w:r>
              <w:rPr>
                <w:rFonts w:hint="eastAsia" w:ascii="Times New Roman" w:hAnsi="Times New Roman" w:eastAsia="宋体" w:cs="Times New Roman"/>
                <w:color w:val="auto"/>
                <w:spacing w:val="-2"/>
                <w:sz w:val="24"/>
                <w:szCs w:val="24"/>
                <w:lang w:val="en-US" w:eastAsia="zh-CN"/>
              </w:rPr>
              <w:t>本项目临时表土场、堆土场设置在塔基施工区，塔基施工完成后挖方回填，弃土平整周边场地，不设置取弃土场。本项目施工期平面布置见附图。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42" w:hRule="atLeast"/>
          <w:jc w:val="center"/>
        </w:trPr>
        <w:tc>
          <w:tcPr>
            <w:tcW w:w="61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aps w:val="0"/>
                <w:color w:val="auto"/>
                <w:sz w:val="24"/>
                <w:szCs w:val="24"/>
                <w:lang w:val="en-US" w:eastAsia="zh-CN"/>
              </w:rPr>
            </w:pPr>
            <w:r>
              <w:rPr>
                <w:rFonts w:hint="eastAsia" w:ascii="Times New Roman" w:hAnsi="Times New Roman" w:eastAsia="宋体" w:cs="Times New Roman"/>
                <w:b/>
                <w:bCs/>
                <w:caps w:val="0"/>
                <w:color w:val="auto"/>
                <w:sz w:val="24"/>
                <w:szCs w:val="24"/>
                <w:lang w:val="en-US" w:eastAsia="zh-CN"/>
              </w:rPr>
              <w:t>施工方案</w:t>
            </w:r>
          </w:p>
        </w:tc>
        <w:tc>
          <w:tcPr>
            <w:tcW w:w="8944" w:type="dxa"/>
            <w:vAlign w:val="center"/>
          </w:tcPr>
          <w:p>
            <w:pPr>
              <w:keepNext w:val="0"/>
              <w:keepLines w:val="0"/>
              <w:pageBreakBefore w:val="0"/>
              <w:kinsoku/>
              <w:wordWrap/>
              <w:overflowPunct/>
              <w:topLinePunct w:val="0"/>
              <w:autoSpaceDE/>
              <w:autoSpaceDN/>
              <w:bidi w:val="0"/>
              <w:adjustRightInd/>
              <w:snapToGrid/>
              <w:spacing w:line="360" w:lineRule="auto"/>
              <w:ind w:left="0" w:right="0" w:firstLine="474" w:firstLineChars="200"/>
              <w:textAlignment w:val="auto"/>
              <w:rPr>
                <w:rFonts w:hint="eastAsia" w:ascii="Times New Roman" w:hAnsi="Times New Roman" w:eastAsia="宋体" w:cs="Times New Roman"/>
                <w:b/>
                <w:bCs/>
                <w:color w:val="auto"/>
                <w:spacing w:val="-2"/>
                <w:sz w:val="24"/>
                <w:szCs w:val="24"/>
                <w:lang w:val="en-US" w:eastAsia="zh-CN"/>
              </w:rPr>
            </w:pPr>
            <w:r>
              <w:rPr>
                <w:rFonts w:hint="eastAsia" w:ascii="Times New Roman" w:hAnsi="Times New Roman" w:eastAsia="宋体" w:cs="Times New Roman"/>
                <w:b/>
                <w:bCs/>
                <w:color w:val="auto"/>
                <w:spacing w:val="-2"/>
                <w:sz w:val="24"/>
                <w:szCs w:val="24"/>
                <w:lang w:val="en-US" w:eastAsia="zh-CN"/>
              </w:rPr>
              <w:t>1.施工时序</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（1）施工工艺流程及方法</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本项目施工主要包括5个阶段，按照施工时序分别为：勘察设计阶段、施工临时道路建设、铁塔建设、牵张场建设、输电线路架设。</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（1）勘察设计阶段</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在这一阶段，对线路轨迹进行认真勘察，进行土壤地质的测算分析，确定线路方案。这一阶段为后续的施工工作提供准确的数据支持。</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（2）施工临时道路建设</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为运输车辆不能到达的位置铺设临时道路，本项目仅进行简单平整3m宽度的道路，即可达到后续施工要求。</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（3）铁塔建设</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为输电线路提供支撑和固定，确保电能高效、安全地传输到各个用电区域，为本项目的主要建设内容。</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（4）牵张场建设</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牵张场为张力机和牵引机提供场地，用于施工架线。</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（5）输电线路架设</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线路架线采用张力架线方法施工，不同地形采取不同的放线方法，跨越保护区线路段采用无人机架线。</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另外根据历史数据和气象报告朝阳在8月份的确属于雨水较多的时期。并且夏季气温高，水汽蒸发量大，加上夏季风的影响，容易导致频繁的降雨过程。因此本项目应尽量避免降雨天施工，减少水土流失。</w:t>
            </w:r>
          </w:p>
          <w:p>
            <w:pPr>
              <w:pStyle w:val="51"/>
              <w:ind w:left="42" w:right="42" w:firstLine="422"/>
              <w:rPr>
                <w:rFonts w:cs="Times New Roman"/>
                <w:b/>
                <w:bCs/>
                <w:color w:val="auto"/>
              </w:rPr>
            </w:pPr>
            <w:r>
              <w:rPr>
                <w:rFonts w:hint="eastAsia" w:cs="Times New Roman"/>
                <w:b/>
                <w:bCs/>
                <w:color w:val="auto"/>
                <w:lang w:val="en-US" w:eastAsia="zh-CN"/>
              </w:rPr>
              <w:t>2</w:t>
            </w:r>
            <w:r>
              <w:rPr>
                <w:rFonts w:cs="Times New Roman"/>
                <w:b/>
                <w:bCs/>
                <w:color w:val="auto"/>
              </w:rPr>
              <w:t>、施工工艺流程</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（1）施工准备</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材料运输：施工准备阶段主要是施工备料及施工道路的建设，材料采用汽车运输，车辆不能到达区域采用人工抬运。</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基础建设：基坑在确保安全和质量的前提下，尽量减小基础开挖的范围，避免不必要的开挖和过多的原状土破坏，以利于生态保护和塔基边坡的稳定。一般采用旋转钻机进行机械成孔，重型运输车运输杆塔，液压挖掘机进行作业等。</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（2）基础施工</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 xml:space="preserve">①基坑分坑 </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采用单腿分坑，基础分坑前测量并校核铁塔基断面；坑口放样，基坑放样前计算基坑坑口放样尺寸，减少开挖土石方量。</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②钻孔及清孔</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基坑开挖之前进行基面平整、表土剥离、场地清理。钻机钻头中心应与桩机中心重合，钻头旋转平稳，钻孔施工过程中加强泥浆管理，及时清理循环系统。清孔方法主要有正循环和反循环两种，清孔完毕合格后方可进入下一道工序。</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③钢筋绑扎及模板安装</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钢筋绑扎原则上先进行底板钢筋的绑扎，再进行立柱钢筋绑扎；模板组装、模板安装、模板固定牢靠，模板吊装的各索具应连接可靠，且均匀受力。</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 xml:space="preserve">④灌注混凝土 </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混凝土搅拌采用机械搅拌，混凝土拌和合格后应立即进行浇筑，浇筑时应先从一角或一边开始，逐渐浇到四周。</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⑤基础养护及拆模</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拆模前后进行基础浇筑养护，基础达到拆模强度后方可拆模，拆模后应及时在基础内角进行支撑，以防止基础回填过程中根开及高差发生变化。</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⑥基础回填</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基础回填时应均匀回填，且应在内角侧进行必要的支撑，防止基础发生位移；基础回填时应清除杂根、杂草等异物。</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⑦施工现场恢复</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基础回填后剩余回填土在塔基征地范围内平摊，回覆表土，清理施工现场，恢复施工现场原有地形地貌。</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（3）铁塔组立</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铁塔组立按照线路施工规范进行施工。铁塔安装施工采用分解组塔的施工方法。在实际施工过程中，根据铁塔的形式、高度、重量及施工场地、施工设备等施工现场情况，确定正装分解组塔或倒装分解组塔。利用支立抱杆，吊装铁塔构件，抱杆通过牵引绳的连接拉动，随铁塔高度的增高而上升，各个构件顶端和底部支脚采用螺栓连接。</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线路铁塔建设及架线施工流程见图2-4、图2-5和图2-6。</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（4）架线及附件安装</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①施工准备</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牵张场建设：牵张场施工采用人工整平，以满足牵引机、张力机放置要求为原则，尽量减少地表扰动面积，对临时堆土将做好挡护及苫盖。</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跨越架搭设：架线施工中对交叉跨越情况一般采用占地和扰动均较小的搭建跨越架的方法，在需跨越的铁路、公路的两侧搭建跨越架，跨越架高度以不影响其运行为准。输电线路跨越道路、电力线路等设施需要搭设跨越架。跨越架一般有三种形式：a.采用木架或钢管式跨越架；b.金属格构式跨越架；c.利用杆塔作支撑体跨越。跨越架交叉跨越角尽量接近90°，以减少临时占地的面积。</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②线路架设</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输电线路施工目前国内外普遍采用张力架线方式，该方式是指利用牵引机、张力机等施工机械展放导线，使导线在展放过程中离开地面和障碍物而呈架空状态，再用与张力放线相配合的工艺方法进行紧线、挂线及附件安装等。在展放导线过程中，展放导引绳需由人工完成，但由于导引绳一般为尼龙绳，重量轻、强度高，在展放过程中仅需清理出很窄的临时通道，对树木和农作物等造成的影响很小，且在架线工程结束后即可恢复到原来的自然状态。采用张力放线方法，导线采用一牵一方式，采用合理的施工段长度，施工组织和</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施工程序，地线、光缆采用一牵一方式张力放线，线路一般在转角处设置牵引场和张力场，在线路一侧设置牵引场，牵引场的线路两侧布置张力场，牵引场在牵引完成一侧牵引时，调转方向与另外一处张力场形成一牵一方式牵引。</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采用张力放线方法，导线采用一牵一方式，采用合理的施工段长度，施工组织和施工程序，地线、光缆采用一牵一方式张力放线，线路一般在转角处设置牵引场和张力场，在线路一侧设置牵引场，牵引场的线路两侧布置张力场，牵引场在牵引完成一侧牵引时，调转方向与另外一处张力场形成一牵一方式牵引。</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铁塔建设及架线施工流程见图2-4。</w:t>
            </w:r>
          </w:p>
          <w:p>
            <w:pPr>
              <w:jc w:val="center"/>
              <w:rPr>
                <w:rFonts w:ascii="Times New Roman" w:hAnsi="Times New Roman" w:eastAsia="宋体" w:cs="Times New Roman"/>
                <w:snapToGrid/>
                <w:color w:val="auto"/>
                <w:lang w:eastAsia="zh-CN"/>
              </w:rPr>
            </w:pPr>
            <w:r>
              <w:rPr>
                <w:color w:val="auto"/>
              </w:rPr>
              <w:drawing>
                <wp:inline distT="0" distB="0" distL="0" distR="0">
                  <wp:extent cx="3478530" cy="3093720"/>
                  <wp:effectExtent l="0" t="0" r="7620" b="11430"/>
                  <wp:docPr id="6813434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343452" name="图片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3478530" cy="3093720"/>
                          </a:xfrm>
                          <a:prstGeom prst="rect">
                            <a:avLst/>
                          </a:prstGeom>
                          <a:noFill/>
                          <a:ln>
                            <a:noFill/>
                          </a:ln>
                        </pic:spPr>
                      </pic:pic>
                    </a:graphicData>
                  </a:graphic>
                </wp:inline>
              </w:drawing>
            </w:r>
          </w:p>
          <w:p>
            <w:pPr>
              <w:pStyle w:val="54"/>
              <w:kinsoku/>
              <w:topLinePunct/>
              <w:autoSpaceDE/>
              <w:autoSpaceDN/>
              <w:rPr>
                <w:color w:val="auto"/>
                <w:lang w:eastAsia="zh-CN"/>
              </w:rPr>
            </w:pPr>
            <w:r>
              <w:rPr>
                <w:color w:val="auto"/>
                <w:lang w:eastAsia="zh-CN"/>
              </w:rPr>
              <w:t>图</w:t>
            </w:r>
            <w:r>
              <w:rPr>
                <w:rFonts w:hint="eastAsia"/>
                <w:color w:val="auto"/>
                <w:lang w:eastAsia="zh-CN"/>
              </w:rPr>
              <w:t>2</w:t>
            </w:r>
            <w:r>
              <w:rPr>
                <w:color w:val="auto"/>
                <w:lang w:eastAsia="zh-CN"/>
              </w:rPr>
              <w:t>-</w:t>
            </w:r>
            <w:r>
              <w:rPr>
                <w:rFonts w:hint="eastAsia"/>
                <w:color w:val="auto"/>
                <w:lang w:val="en-US" w:eastAsia="zh-CN"/>
              </w:rPr>
              <w:t>4</w:t>
            </w:r>
            <w:r>
              <w:rPr>
                <w:color w:val="auto"/>
                <w:lang w:eastAsia="zh-CN"/>
              </w:rPr>
              <w:t xml:space="preserve"> </w:t>
            </w:r>
            <w:r>
              <w:rPr>
                <w:rFonts w:hint="eastAsia"/>
                <w:color w:val="auto"/>
                <w:lang w:eastAsia="zh-CN"/>
              </w:rPr>
              <w:t>铁塔建设及</w:t>
            </w:r>
            <w:r>
              <w:rPr>
                <w:color w:val="auto"/>
                <w:lang w:eastAsia="zh-CN"/>
              </w:rPr>
              <w:t>架线施工流程图</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（5）无人机放线</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G82-G83塔基跨越保护区试验区段无塔基建设，仅需要跨越输电线路，该段使用无人机放线减少对保护区的影响。</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在机身下悬挂一平衡重物，导引绳连接其上，在地面展放机械的配合下牵引飞过塔位。由塔上人员配合或机上操作人员借助导杆将导引绳放入牵引滑车槽内，再用导引绳连接牵引绳，通过相与相间渡绳等操作，最后用牵引绳牵放导线。的配合下牵引飞过塔位。</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（6）河流跨越施工</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输电线路跨越2条河流，跨越点2处。跨越河流等采用迪尼玛绳封网跨越技术，用迪尼玛绳作为跨越承载绳架设在跨越档间，使用跨越塔代替跨越架作为支撑。由于迪尼玛牵引绳轻便且耐磨，极大地提高了跨越河流等的施工效率，极大地降低了施工作业的风险。</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铁塔建设及架线施工流程见图2-5。</w:t>
            </w:r>
          </w:p>
          <w:p>
            <w:pPr>
              <w:jc w:val="center"/>
              <w:rPr>
                <w:rFonts w:ascii="Times New Roman" w:hAnsi="Times New Roman" w:eastAsia="宋体" w:cs="Times New Roman"/>
                <w:snapToGrid/>
                <w:color w:val="auto"/>
                <w:lang w:eastAsia="zh-CN"/>
              </w:rPr>
            </w:pPr>
            <w:r>
              <w:rPr>
                <w:color w:val="auto"/>
              </w:rPr>
              <w:drawing>
                <wp:inline distT="0" distB="0" distL="0" distR="0">
                  <wp:extent cx="3666490" cy="3260725"/>
                  <wp:effectExtent l="0" t="0" r="10160" b="15875"/>
                  <wp:docPr id="24990869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908693" name="图片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3666490" cy="3260725"/>
                          </a:xfrm>
                          <a:prstGeom prst="rect">
                            <a:avLst/>
                          </a:prstGeom>
                          <a:noFill/>
                          <a:ln>
                            <a:noFill/>
                          </a:ln>
                        </pic:spPr>
                      </pic:pic>
                    </a:graphicData>
                  </a:graphic>
                </wp:inline>
              </w:drawing>
            </w:r>
          </w:p>
          <w:p>
            <w:pPr>
              <w:pStyle w:val="54"/>
              <w:kinsoku/>
              <w:topLinePunct/>
              <w:autoSpaceDE/>
              <w:autoSpaceDN/>
              <w:rPr>
                <w:color w:val="auto"/>
                <w:lang w:eastAsia="zh-CN"/>
              </w:rPr>
            </w:pPr>
            <w:r>
              <w:rPr>
                <w:color w:val="auto"/>
                <w:lang w:eastAsia="zh-CN"/>
              </w:rPr>
              <w:t>图</w:t>
            </w:r>
            <w:r>
              <w:rPr>
                <w:rFonts w:hint="eastAsia"/>
                <w:color w:val="auto"/>
                <w:lang w:eastAsia="zh-CN"/>
              </w:rPr>
              <w:t>2</w:t>
            </w:r>
            <w:r>
              <w:rPr>
                <w:color w:val="auto"/>
                <w:lang w:eastAsia="zh-CN"/>
              </w:rPr>
              <w:t>-</w:t>
            </w:r>
            <w:r>
              <w:rPr>
                <w:rFonts w:hint="eastAsia"/>
                <w:color w:val="auto"/>
                <w:lang w:val="en-US" w:eastAsia="zh-CN"/>
              </w:rPr>
              <w:t>5</w:t>
            </w:r>
            <w:r>
              <w:rPr>
                <w:color w:val="auto"/>
                <w:lang w:eastAsia="zh-CN"/>
              </w:rPr>
              <w:t xml:space="preserve"> </w:t>
            </w:r>
            <w:r>
              <w:rPr>
                <w:rFonts w:hint="eastAsia"/>
                <w:color w:val="auto"/>
                <w:lang w:eastAsia="zh-CN"/>
              </w:rPr>
              <w:t>铁塔建设及</w:t>
            </w:r>
            <w:r>
              <w:rPr>
                <w:color w:val="auto"/>
                <w:lang w:eastAsia="zh-CN"/>
              </w:rPr>
              <w:t>架线施工流程图</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（7）临时道路施工</w:t>
            </w:r>
          </w:p>
          <w:p>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工程施工期新建道路宽3.0m，通过人力简单平整，不使用大型机械。</w:t>
            </w:r>
          </w:p>
          <w:p>
            <w:pPr>
              <w:rPr>
                <w:color w:val="auto"/>
              </w:rPr>
            </w:pPr>
            <w:r>
              <w:rPr>
                <w:color w:val="auto"/>
              </w:rPr>
              <w:drawing>
                <wp:inline distT="0" distB="0" distL="0" distR="0">
                  <wp:extent cx="4468495" cy="1112520"/>
                  <wp:effectExtent l="0" t="0" r="8255" b="11430"/>
                  <wp:docPr id="32114625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146258" name="图片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4468495" cy="1112520"/>
                          </a:xfrm>
                          <a:prstGeom prst="rect">
                            <a:avLst/>
                          </a:prstGeom>
                          <a:noFill/>
                          <a:ln>
                            <a:noFill/>
                          </a:ln>
                        </pic:spPr>
                      </pic:pic>
                    </a:graphicData>
                  </a:graphic>
                </wp:inline>
              </w:drawing>
            </w:r>
          </w:p>
          <w:p>
            <w:pPr>
              <w:jc w:val="center"/>
              <w:rPr>
                <w:b/>
                <w:bCs/>
                <w:color w:val="auto"/>
              </w:rPr>
            </w:pPr>
            <w:r>
              <w:rPr>
                <w:rFonts w:hint="eastAsia"/>
                <w:b/>
                <w:bCs/>
                <w:color w:val="auto"/>
                <w:lang w:val="en-US" w:eastAsia="zh-CN"/>
              </w:rPr>
              <w:t>图</w:t>
            </w:r>
            <w:r>
              <w:rPr>
                <w:rFonts w:hint="default" w:ascii="Times New Roman" w:hAnsi="Times New Roman" w:cs="Times New Roman"/>
                <w:b/>
                <w:bCs/>
                <w:color w:val="auto"/>
                <w:lang w:val="en-US" w:eastAsia="zh-CN"/>
              </w:rPr>
              <w:t>2-6</w:t>
            </w:r>
            <w:r>
              <w:rPr>
                <w:rFonts w:hint="eastAsia"/>
                <w:b/>
                <w:bCs/>
                <w:color w:val="auto"/>
                <w:lang w:val="en-US" w:eastAsia="zh-CN"/>
              </w:rPr>
              <w:t xml:space="preserve"> 临时施工道路施工流程图</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（8）跨越施工场地</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Times New Roman"/>
                <w:color w:val="auto"/>
                <w:spacing w:val="-2"/>
                <w:sz w:val="24"/>
                <w:szCs w:val="24"/>
                <w:lang w:val="en-US" w:eastAsia="zh-CN"/>
              </w:rPr>
            </w:pPr>
            <w:r>
              <w:rPr>
                <w:rFonts w:hint="eastAsia" w:ascii="Times New Roman" w:hAnsi="Times New Roman" w:eastAsia="宋体" w:cs="Times New Roman"/>
                <w:color w:val="auto"/>
                <w:spacing w:val="-2"/>
                <w:sz w:val="24"/>
                <w:szCs w:val="24"/>
                <w:lang w:val="en-US" w:eastAsia="zh-CN"/>
              </w:rPr>
              <w:t>输电线路跨越公路、河道、电力线路等设施需要搭设跨越架。主体设计确定输电线路平均每处跨越架临时占地面积约0.03hm</w:t>
            </w:r>
            <w:r>
              <w:rPr>
                <w:rFonts w:hint="eastAsia" w:ascii="Times New Roman" w:hAnsi="Times New Roman" w:eastAsia="宋体" w:cs="Times New Roman"/>
                <w:color w:val="auto"/>
                <w:spacing w:val="-2"/>
                <w:sz w:val="24"/>
                <w:szCs w:val="24"/>
                <w:vertAlign w:val="superscript"/>
                <w:lang w:val="en-US" w:eastAsia="zh-CN"/>
              </w:rPr>
              <w:t>2</w:t>
            </w:r>
            <w:r>
              <w:rPr>
                <w:rFonts w:hint="eastAsia" w:ascii="Times New Roman" w:hAnsi="Times New Roman" w:eastAsia="宋体" w:cs="Times New Roman"/>
                <w:color w:val="auto"/>
                <w:spacing w:val="-2"/>
                <w:sz w:val="24"/>
                <w:szCs w:val="24"/>
                <w:lang w:val="en-US" w:eastAsia="zh-CN"/>
              </w:rPr>
              <w:t>（通常是在跨越对象两侧各搭建占地面积为15m×10m的跨越架，含人工和机械的运转场地）。交叉跨越角尽量接近90°，以减少临时占地的面积。根据主体统计本项目共布设跨越施工场地23处，本工程跨越施工场地占地面积为0.69hm</w:t>
            </w:r>
            <w:r>
              <w:rPr>
                <w:rFonts w:hint="eastAsia" w:ascii="Times New Roman" w:hAnsi="Times New Roman" w:eastAsia="宋体" w:cs="Times New Roman"/>
                <w:color w:val="auto"/>
                <w:spacing w:val="-2"/>
                <w:sz w:val="24"/>
                <w:szCs w:val="24"/>
                <w:vertAlign w:val="superscript"/>
                <w:lang w:val="en-US" w:eastAsia="zh-CN"/>
              </w:rPr>
              <w:t>2</w:t>
            </w:r>
            <w:r>
              <w:rPr>
                <w:rFonts w:hint="eastAsia" w:ascii="Times New Roman" w:hAnsi="Times New Roman" w:eastAsia="宋体" w:cs="Times New Roman"/>
                <w:color w:val="auto"/>
                <w:spacing w:val="-2"/>
                <w:sz w:val="24"/>
                <w:szCs w:val="24"/>
                <w:lang w:val="en-US" w:eastAsia="zh-CN"/>
              </w:rPr>
              <w:t>，占地性质为临时占地，其中占用旱地0.36hm</w:t>
            </w:r>
            <w:r>
              <w:rPr>
                <w:rFonts w:hint="eastAsia" w:ascii="Times New Roman" w:hAnsi="Times New Roman" w:eastAsia="宋体" w:cs="Times New Roman"/>
                <w:color w:val="auto"/>
                <w:spacing w:val="-2"/>
                <w:sz w:val="24"/>
                <w:szCs w:val="24"/>
                <w:vertAlign w:val="superscript"/>
                <w:lang w:val="en-US" w:eastAsia="zh-CN"/>
              </w:rPr>
              <w:t>2</w:t>
            </w:r>
            <w:r>
              <w:rPr>
                <w:rFonts w:hint="eastAsia" w:ascii="Times New Roman" w:hAnsi="Times New Roman" w:eastAsia="宋体" w:cs="Times New Roman"/>
                <w:color w:val="auto"/>
                <w:spacing w:val="-2"/>
                <w:sz w:val="24"/>
                <w:szCs w:val="24"/>
                <w:lang w:val="en-US" w:eastAsia="zh-CN"/>
              </w:rPr>
              <w:t>，主要种植作物为玉米，平均坡度2</w:t>
            </w:r>
            <w:r>
              <w:rPr>
                <w:rFonts w:hint="default" w:ascii="Times New Roman" w:hAnsi="Times New Roman" w:eastAsia="宋体" w:cs="Times New Roman"/>
                <w:color w:val="auto"/>
                <w:spacing w:val="-2"/>
                <w:sz w:val="24"/>
                <w:szCs w:val="24"/>
                <w:lang w:val="en-US" w:eastAsia="zh-CN"/>
              </w:rPr>
              <w:t>°</w:t>
            </w:r>
            <w:r>
              <w:rPr>
                <w:rFonts w:hint="eastAsia" w:ascii="Times New Roman" w:hAnsi="Times New Roman" w:eastAsia="宋体" w:cs="Times New Roman"/>
                <w:color w:val="auto"/>
                <w:spacing w:val="-2"/>
                <w:sz w:val="24"/>
                <w:szCs w:val="24"/>
                <w:lang w:val="en-US" w:eastAsia="zh-CN"/>
              </w:rPr>
              <w:t>，占用其他草地0.06hm</w:t>
            </w:r>
            <w:r>
              <w:rPr>
                <w:rFonts w:hint="eastAsia" w:ascii="Times New Roman" w:hAnsi="Times New Roman" w:eastAsia="宋体" w:cs="Times New Roman"/>
                <w:color w:val="auto"/>
                <w:spacing w:val="-2"/>
                <w:sz w:val="24"/>
                <w:szCs w:val="24"/>
                <w:vertAlign w:val="superscript"/>
                <w:lang w:val="en-US" w:eastAsia="zh-CN"/>
              </w:rPr>
              <w:t>2</w:t>
            </w:r>
            <w:r>
              <w:rPr>
                <w:rFonts w:hint="eastAsia" w:ascii="Times New Roman" w:hAnsi="Times New Roman" w:eastAsia="宋体" w:cs="Times New Roman"/>
                <w:color w:val="auto"/>
                <w:spacing w:val="-2"/>
                <w:sz w:val="24"/>
                <w:szCs w:val="24"/>
                <w:lang w:val="en-US" w:eastAsia="zh-CN"/>
              </w:rPr>
              <w:t>，林草植被盖度约为35%，平均坡度10°；占用其他林地0.27hm</w:t>
            </w:r>
            <w:r>
              <w:rPr>
                <w:rFonts w:hint="eastAsia" w:ascii="Times New Roman" w:hAnsi="Times New Roman" w:eastAsia="宋体" w:cs="Times New Roman"/>
                <w:color w:val="auto"/>
                <w:spacing w:val="-2"/>
                <w:sz w:val="24"/>
                <w:szCs w:val="24"/>
                <w:vertAlign w:val="superscript"/>
                <w:lang w:val="en-US" w:eastAsia="zh-CN"/>
              </w:rPr>
              <w:t>2</w:t>
            </w:r>
            <w:r>
              <w:rPr>
                <w:rFonts w:hint="eastAsia" w:ascii="Times New Roman" w:hAnsi="Times New Roman" w:eastAsia="宋体" w:cs="Times New Roman"/>
                <w:color w:val="auto"/>
                <w:spacing w:val="-2"/>
                <w:sz w:val="24"/>
                <w:szCs w:val="24"/>
                <w:lang w:val="en-US" w:eastAsia="zh-CN"/>
              </w:rPr>
              <w:t>，树种主要为油松、荆条等，平均坡度11°，植被盖度56%。</w:t>
            </w:r>
          </w:p>
          <w:p>
            <w:pPr>
              <w:keepNext w:val="0"/>
              <w:keepLines w:val="0"/>
              <w:pageBreakBefore w:val="0"/>
              <w:kinsoku/>
              <w:wordWrap/>
              <w:overflowPunct/>
              <w:topLinePunct w:val="0"/>
              <w:autoSpaceDE/>
              <w:autoSpaceDN/>
              <w:bidi w:val="0"/>
              <w:adjustRightInd/>
              <w:snapToGrid/>
              <w:spacing w:line="360" w:lineRule="auto"/>
              <w:ind w:left="0" w:right="0" w:firstLine="474" w:firstLineChars="200"/>
              <w:textAlignment w:val="auto"/>
              <w:rPr>
                <w:rFonts w:hint="eastAsia" w:ascii="Times New Roman" w:hAnsi="Times New Roman" w:eastAsia="宋体" w:cs="Times New Roman"/>
                <w:b/>
                <w:bCs/>
                <w:color w:val="auto"/>
                <w:spacing w:val="-2"/>
                <w:sz w:val="24"/>
                <w:szCs w:val="24"/>
                <w:lang w:val="en-US" w:eastAsia="zh-CN"/>
              </w:rPr>
            </w:pPr>
            <w:r>
              <w:rPr>
                <w:rFonts w:hint="eastAsia" w:ascii="Times New Roman" w:hAnsi="Times New Roman" w:eastAsia="宋体" w:cs="Times New Roman"/>
                <w:b/>
                <w:bCs/>
                <w:color w:val="auto"/>
                <w:spacing w:val="-2"/>
                <w:sz w:val="24"/>
                <w:szCs w:val="24"/>
                <w:lang w:val="en-US" w:eastAsia="zh-CN"/>
              </w:rPr>
              <w:t>2.建设周期</w:t>
            </w:r>
          </w:p>
          <w:p>
            <w:pPr>
              <w:keepNext w:val="0"/>
              <w:keepLines w:val="0"/>
              <w:pageBreakBefore w:val="0"/>
              <w:kinsoku/>
              <w:wordWrap/>
              <w:overflowPunct/>
              <w:topLinePunct w:val="0"/>
              <w:autoSpaceDE/>
              <w:autoSpaceDN/>
              <w:bidi w:val="0"/>
              <w:adjustRightInd/>
              <w:snapToGrid/>
              <w:spacing w:line="360" w:lineRule="auto"/>
              <w:ind w:left="0" w:right="0" w:firstLine="472" w:firstLineChars="200"/>
              <w:textAlignment w:val="auto"/>
              <w:rPr>
                <w:rFonts w:hint="eastAsia"/>
                <w:position w:val="-81"/>
                <w:lang w:val="en-US" w:eastAsia="zh-CN"/>
              </w:rPr>
            </w:pPr>
            <w:r>
              <w:rPr>
                <w:rFonts w:hint="eastAsia" w:ascii="Times New Roman" w:hAnsi="Times New Roman" w:eastAsia="宋体" w:cs="Times New Roman"/>
                <w:color w:val="auto"/>
                <w:spacing w:val="-2"/>
                <w:sz w:val="24"/>
                <w:szCs w:val="24"/>
                <w:lang w:val="en-US" w:eastAsia="zh-CN"/>
              </w:rPr>
              <w:t>本项目计划2026年7月开工建设，2027年7月竣工。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67" w:hRule="atLeast"/>
          <w:jc w:val="center"/>
        </w:trPr>
        <w:tc>
          <w:tcPr>
            <w:tcW w:w="61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bCs/>
                <w:caps w:val="0"/>
                <w:color w:val="auto"/>
                <w:sz w:val="24"/>
                <w:szCs w:val="24"/>
                <w:lang w:val="en-US" w:eastAsia="zh-CN"/>
              </w:rPr>
            </w:pPr>
            <w:r>
              <w:rPr>
                <w:rFonts w:hint="eastAsia" w:ascii="Times New Roman" w:hAnsi="Times New Roman" w:eastAsia="宋体" w:cs="Times New Roman"/>
                <w:b/>
                <w:bCs/>
                <w:caps w:val="0"/>
                <w:color w:val="auto"/>
                <w:sz w:val="24"/>
                <w:szCs w:val="24"/>
                <w:lang w:val="en-US" w:eastAsia="zh-CN"/>
              </w:rPr>
              <w:t>其他</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aps w:val="0"/>
                <w:color w:val="auto"/>
                <w:sz w:val="24"/>
                <w:szCs w:val="24"/>
                <w:lang w:val="en-US" w:eastAsia="zh-CN"/>
              </w:rPr>
            </w:pPr>
            <w:r>
              <w:rPr>
                <w:rFonts w:hint="eastAsia" w:ascii="Times New Roman" w:hAnsi="Times New Roman" w:eastAsia="宋体" w:cs="Times New Roman"/>
                <w:b/>
                <w:bCs/>
                <w:caps w:val="0"/>
                <w:color w:val="auto"/>
                <w:sz w:val="24"/>
                <w:szCs w:val="24"/>
                <w:lang w:val="en-US" w:eastAsia="zh-CN"/>
              </w:rPr>
              <w:t>（</w:t>
            </w:r>
            <w:r>
              <w:rPr>
                <w:rFonts w:hint="default" w:ascii="Times New Roman" w:hAnsi="Times New Roman" w:eastAsia="宋体" w:cs="Times New Roman"/>
                <w:b/>
                <w:bCs/>
                <w:caps w:val="0"/>
                <w:color w:val="auto"/>
                <w:sz w:val="24"/>
                <w:szCs w:val="24"/>
                <w:lang w:val="en-US" w:eastAsia="zh-CN"/>
              </w:rPr>
              <w:t>方案比选</w:t>
            </w:r>
            <w:r>
              <w:rPr>
                <w:rFonts w:hint="eastAsia" w:ascii="Times New Roman" w:hAnsi="Times New Roman" w:eastAsia="宋体" w:cs="Times New Roman"/>
                <w:b/>
                <w:bCs/>
                <w:caps w:val="0"/>
                <w:color w:val="auto"/>
                <w:sz w:val="24"/>
                <w:szCs w:val="24"/>
                <w:lang w:val="en-US" w:eastAsia="zh-CN"/>
              </w:rPr>
              <w:t>）</w:t>
            </w:r>
          </w:p>
        </w:tc>
        <w:tc>
          <w:tcPr>
            <w:tcW w:w="8944"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right="0" w:firstLine="474" w:firstLineChars="200"/>
              <w:textAlignment w:val="auto"/>
              <w:rPr>
                <w:rFonts w:hint="default" w:ascii="Times New Roman" w:hAnsi="Times New Roman" w:eastAsia="宋体" w:cs="Times New Roman"/>
                <w:b/>
                <w:bCs/>
                <w:color w:val="auto"/>
                <w:spacing w:val="-2"/>
                <w:sz w:val="24"/>
                <w:szCs w:val="24"/>
                <w:lang w:val="en-US" w:eastAsia="zh-CN"/>
              </w:rPr>
            </w:pPr>
            <w:r>
              <w:rPr>
                <w:rFonts w:hint="default" w:ascii="Times New Roman" w:hAnsi="Times New Roman" w:eastAsia="宋体" w:cs="Times New Roman"/>
                <w:b/>
                <w:bCs/>
                <w:color w:val="auto"/>
                <w:spacing w:val="-2"/>
                <w:sz w:val="24"/>
                <w:szCs w:val="24"/>
                <w:lang w:val="en-US" w:eastAsia="zh-CN"/>
              </w:rPr>
              <w:t>1、选址选线</w:t>
            </w:r>
          </w:p>
          <w:p>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方案一路径：</w:t>
            </w:r>
          </w:p>
          <w:p>
            <w:pPr>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4"/>
                <w:sz w:val="24"/>
                <w:szCs w:val="24"/>
              </w:rPr>
              <w:t>新建线路由马山220kV</w:t>
            </w:r>
            <w:r>
              <w:rPr>
                <w:rFonts w:hint="default" w:ascii="Times New Roman" w:hAnsi="Times New Roman" w:eastAsia="宋体" w:cs="Times New Roman"/>
                <w:spacing w:val="-51"/>
                <w:sz w:val="24"/>
                <w:szCs w:val="24"/>
              </w:rPr>
              <w:t xml:space="preserve"> </w:t>
            </w:r>
            <w:r>
              <w:rPr>
                <w:rFonts w:hint="default" w:ascii="Times New Roman" w:hAnsi="Times New Roman" w:eastAsia="宋体" w:cs="Times New Roman"/>
                <w:spacing w:val="-4"/>
                <w:sz w:val="24"/>
                <w:szCs w:val="24"/>
              </w:rPr>
              <w:t>变电站间隔，向西南出线，跨越220kV</w:t>
            </w:r>
            <w:r>
              <w:rPr>
                <w:rFonts w:hint="default" w:ascii="Times New Roman" w:hAnsi="Times New Roman" w:eastAsia="宋体" w:cs="Times New Roman"/>
                <w:spacing w:val="-50"/>
                <w:sz w:val="24"/>
                <w:szCs w:val="24"/>
              </w:rPr>
              <w:t xml:space="preserve"> </w:t>
            </w:r>
            <w:r>
              <w:rPr>
                <w:rFonts w:hint="default" w:ascii="Times New Roman" w:hAnsi="Times New Roman" w:eastAsia="宋体" w:cs="Times New Roman"/>
                <w:spacing w:val="-4"/>
                <w:sz w:val="24"/>
                <w:szCs w:val="24"/>
              </w:rPr>
              <w:t>燕马三线后左转跨越66kV</w:t>
            </w:r>
            <w:r>
              <w:rPr>
                <w:rFonts w:hint="default" w:ascii="Times New Roman" w:hAnsi="Times New Roman" w:eastAsia="宋体" w:cs="Times New Roman"/>
                <w:spacing w:val="-44"/>
                <w:sz w:val="24"/>
                <w:szCs w:val="24"/>
              </w:rPr>
              <w:t xml:space="preserve"> </w:t>
            </w:r>
            <w:r>
              <w:rPr>
                <w:rFonts w:hint="default" w:ascii="Times New Roman" w:hAnsi="Times New Roman" w:eastAsia="宋体" w:cs="Times New Roman"/>
                <w:spacing w:val="-4"/>
                <w:sz w:val="24"/>
                <w:szCs w:val="24"/>
              </w:rPr>
              <w:t>马东线后经桃树园村向南架设跨越</w:t>
            </w:r>
            <w:r>
              <w:rPr>
                <w:rFonts w:hint="default" w:ascii="Times New Roman" w:hAnsi="Times New Roman" w:eastAsia="宋体" w:cs="Times New Roman"/>
                <w:spacing w:val="-48"/>
                <w:sz w:val="24"/>
                <w:szCs w:val="24"/>
              </w:rPr>
              <w:t xml:space="preserve"> </w:t>
            </w:r>
            <w:r>
              <w:rPr>
                <w:rFonts w:hint="default" w:ascii="Times New Roman" w:hAnsi="Times New Roman" w:eastAsia="宋体" w:cs="Times New Roman"/>
                <w:spacing w:val="-4"/>
                <w:sz w:val="24"/>
                <w:szCs w:val="24"/>
              </w:rPr>
              <w:t>66kV马沟</w:t>
            </w:r>
            <w:r>
              <w:rPr>
                <w:rFonts w:hint="default" w:ascii="Times New Roman" w:hAnsi="Times New Roman" w:eastAsia="宋体" w:cs="Times New Roman"/>
                <w:spacing w:val="-5"/>
                <w:sz w:val="24"/>
                <w:szCs w:val="24"/>
              </w:rPr>
              <w:t>线，随后左转连续跨越</w:t>
            </w:r>
            <w:r>
              <w:rPr>
                <w:rFonts w:hint="default" w:ascii="Times New Roman" w:hAnsi="Times New Roman" w:eastAsia="宋体" w:cs="Times New Roman"/>
                <w:spacing w:val="-2"/>
                <w:sz w:val="24"/>
                <w:szCs w:val="24"/>
              </w:rPr>
              <w:t>长深高速公路和乡道边林线，沿边林线南侧向西南架设，连续钻越在建的500kV</w:t>
            </w:r>
            <w:r>
              <w:rPr>
                <w:rFonts w:hint="default" w:ascii="Times New Roman" w:hAnsi="Times New Roman" w:eastAsia="宋体" w:cs="Times New Roman"/>
                <w:spacing w:val="-3"/>
                <w:sz w:val="24"/>
                <w:szCs w:val="24"/>
              </w:rPr>
              <w:t>川州二期线路和220kV</w:t>
            </w:r>
            <w:r>
              <w:rPr>
                <w:rFonts w:hint="default" w:ascii="Times New Roman" w:hAnsi="Times New Roman" w:eastAsia="宋体" w:cs="Times New Roman"/>
                <w:spacing w:val="-48"/>
                <w:sz w:val="24"/>
                <w:szCs w:val="24"/>
              </w:rPr>
              <w:t xml:space="preserve"> </w:t>
            </w:r>
            <w:r>
              <w:rPr>
                <w:rFonts w:hint="default" w:ascii="Times New Roman" w:hAnsi="Times New Roman" w:eastAsia="宋体" w:cs="Times New Roman"/>
                <w:spacing w:val="-3"/>
                <w:sz w:val="24"/>
                <w:szCs w:val="24"/>
              </w:rPr>
              <w:t>建奎、燕奎线后经小东山村南侧接至国宏</w:t>
            </w:r>
            <w:r>
              <w:rPr>
                <w:rFonts w:hint="default" w:ascii="Times New Roman" w:hAnsi="Times New Roman" w:eastAsia="宋体" w:cs="Times New Roman"/>
                <w:spacing w:val="-48"/>
                <w:sz w:val="24"/>
                <w:szCs w:val="24"/>
              </w:rPr>
              <w:t xml:space="preserve"> </w:t>
            </w:r>
            <w:r>
              <w:rPr>
                <w:rFonts w:hint="default" w:ascii="Times New Roman" w:hAnsi="Times New Roman" w:eastAsia="宋体" w:cs="Times New Roman"/>
                <w:spacing w:val="-3"/>
                <w:sz w:val="24"/>
                <w:szCs w:val="24"/>
              </w:rPr>
              <w:t>200MW</w:t>
            </w:r>
            <w:r>
              <w:rPr>
                <w:rFonts w:hint="default" w:ascii="Times New Roman" w:hAnsi="Times New Roman" w:eastAsia="宋体" w:cs="Times New Roman"/>
                <w:spacing w:val="-51"/>
                <w:sz w:val="24"/>
                <w:szCs w:val="24"/>
              </w:rPr>
              <w:t xml:space="preserve"> </w:t>
            </w:r>
            <w:r>
              <w:rPr>
                <w:rFonts w:hint="default" w:ascii="Times New Roman" w:hAnsi="Times New Roman" w:eastAsia="宋体" w:cs="Times New Roman"/>
                <w:spacing w:val="-3"/>
                <w:sz w:val="24"/>
                <w:szCs w:val="24"/>
              </w:rPr>
              <w:t>储能站。新建单回线路总长度5.1</w:t>
            </w:r>
            <w:r>
              <w:rPr>
                <w:rFonts w:hint="default" w:ascii="Times New Roman" w:hAnsi="Times New Roman" w:eastAsia="宋体" w:cs="Times New Roman"/>
                <w:spacing w:val="-43"/>
                <w:sz w:val="24"/>
                <w:szCs w:val="24"/>
              </w:rPr>
              <w:t xml:space="preserve"> </w:t>
            </w:r>
            <w:r>
              <w:rPr>
                <w:rFonts w:hint="default" w:ascii="Times New Roman" w:hAnsi="Times New Roman" w:eastAsia="宋体" w:cs="Times New Roman"/>
                <w:spacing w:val="-3"/>
                <w:sz w:val="24"/>
                <w:szCs w:val="24"/>
              </w:rPr>
              <w:t>公里。</w:t>
            </w:r>
          </w:p>
          <w:p>
            <w:pPr>
              <w:keepNext w:val="0"/>
              <w:keepLines w:val="0"/>
              <w:pageBreakBefore w:val="0"/>
              <w:widowControl w:val="0"/>
              <w:kinsoku/>
              <w:wordWrap/>
              <w:overflowPunct/>
              <w:topLinePunct w:val="0"/>
              <w:autoSpaceDE/>
              <w:autoSpaceDN/>
              <w:bidi w:val="0"/>
              <w:adjustRightInd/>
              <w:snapToGrid/>
              <w:spacing w:line="360" w:lineRule="auto"/>
              <w:ind w:left="0" w:right="0" w:firstLine="468"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3"/>
                <w:sz w:val="24"/>
                <w:szCs w:val="24"/>
              </w:rPr>
              <w:t>导线型号</w:t>
            </w:r>
            <w:r>
              <w:rPr>
                <w:rFonts w:hint="default" w:ascii="Times New Roman" w:hAnsi="Times New Roman" w:eastAsia="宋体" w:cs="Times New Roman"/>
                <w:spacing w:val="-42"/>
                <w:sz w:val="24"/>
                <w:szCs w:val="24"/>
              </w:rPr>
              <w:t xml:space="preserve"> </w:t>
            </w:r>
            <w:r>
              <w:rPr>
                <w:rFonts w:hint="default" w:ascii="Times New Roman" w:hAnsi="Times New Roman" w:eastAsia="宋体" w:cs="Times New Roman"/>
                <w:spacing w:val="-3"/>
                <w:sz w:val="24"/>
                <w:szCs w:val="24"/>
              </w:rPr>
              <w:t>JL3/G1A-400/35，每相1</w:t>
            </w:r>
            <w:r>
              <w:rPr>
                <w:rFonts w:hint="default" w:ascii="Times New Roman" w:hAnsi="Times New Roman" w:eastAsia="宋体" w:cs="Times New Roman"/>
                <w:spacing w:val="-50"/>
                <w:sz w:val="24"/>
                <w:szCs w:val="24"/>
              </w:rPr>
              <w:t xml:space="preserve"> </w:t>
            </w:r>
            <w:r>
              <w:rPr>
                <w:rFonts w:hint="default" w:ascii="Times New Roman" w:hAnsi="Times New Roman" w:eastAsia="宋体" w:cs="Times New Roman"/>
                <w:spacing w:val="-3"/>
                <w:sz w:val="24"/>
                <w:szCs w:val="24"/>
              </w:rPr>
              <w:t>根。</w:t>
            </w:r>
          </w:p>
          <w:p>
            <w:pPr>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4"/>
                <w:sz w:val="24"/>
                <w:szCs w:val="24"/>
              </w:rPr>
              <w:t>曲折系数：1.22。</w:t>
            </w:r>
          </w:p>
          <w:p>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沿线地形：平地</w:t>
            </w:r>
            <w:r>
              <w:rPr>
                <w:rFonts w:hint="default" w:ascii="Times New Roman" w:hAnsi="Times New Roman" w:eastAsia="宋体" w:cs="Times New Roman"/>
                <w:spacing w:val="-52"/>
                <w:sz w:val="24"/>
                <w:szCs w:val="24"/>
              </w:rPr>
              <w:t xml:space="preserve"> </w:t>
            </w:r>
            <w:r>
              <w:rPr>
                <w:rFonts w:hint="default" w:ascii="Times New Roman" w:hAnsi="Times New Roman" w:eastAsia="宋体" w:cs="Times New Roman"/>
                <w:spacing w:val="-2"/>
                <w:sz w:val="24"/>
                <w:szCs w:val="24"/>
              </w:rPr>
              <w:t>45%，丘陵</w:t>
            </w:r>
            <w:r>
              <w:rPr>
                <w:rFonts w:hint="default" w:ascii="Times New Roman" w:hAnsi="Times New Roman" w:eastAsia="宋体" w:cs="Times New Roman"/>
                <w:spacing w:val="-46"/>
                <w:sz w:val="24"/>
                <w:szCs w:val="24"/>
              </w:rPr>
              <w:t xml:space="preserve"> </w:t>
            </w:r>
            <w:r>
              <w:rPr>
                <w:rFonts w:hint="default" w:ascii="Times New Roman" w:hAnsi="Times New Roman" w:eastAsia="宋体" w:cs="Times New Roman"/>
                <w:spacing w:val="-2"/>
                <w:sz w:val="24"/>
                <w:szCs w:val="24"/>
              </w:rPr>
              <w:t>33%，山地22%。</w:t>
            </w:r>
          </w:p>
          <w:p>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方案二路径：</w:t>
            </w:r>
          </w:p>
          <w:p>
            <w:pPr>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4"/>
                <w:sz w:val="24"/>
                <w:szCs w:val="24"/>
              </w:rPr>
              <w:t>新建线路由马山</w:t>
            </w:r>
            <w:r>
              <w:rPr>
                <w:rFonts w:hint="default" w:ascii="Times New Roman" w:hAnsi="Times New Roman" w:eastAsia="宋体" w:cs="Times New Roman"/>
                <w:spacing w:val="-48"/>
                <w:sz w:val="24"/>
                <w:szCs w:val="24"/>
              </w:rPr>
              <w:t xml:space="preserve"> </w:t>
            </w:r>
            <w:r>
              <w:rPr>
                <w:rFonts w:hint="default" w:ascii="Times New Roman" w:hAnsi="Times New Roman" w:eastAsia="宋体" w:cs="Times New Roman"/>
                <w:spacing w:val="-4"/>
                <w:sz w:val="24"/>
                <w:szCs w:val="24"/>
              </w:rPr>
              <w:t>220kV</w:t>
            </w:r>
            <w:r>
              <w:rPr>
                <w:rFonts w:hint="default" w:ascii="Times New Roman" w:hAnsi="Times New Roman" w:eastAsia="宋体" w:cs="Times New Roman"/>
                <w:spacing w:val="-51"/>
                <w:sz w:val="24"/>
                <w:szCs w:val="24"/>
              </w:rPr>
              <w:t xml:space="preserve"> </w:t>
            </w:r>
            <w:r>
              <w:rPr>
                <w:rFonts w:hint="default" w:ascii="Times New Roman" w:hAnsi="Times New Roman" w:eastAsia="宋体" w:cs="Times New Roman"/>
                <w:spacing w:val="-4"/>
                <w:sz w:val="24"/>
                <w:szCs w:val="24"/>
              </w:rPr>
              <w:t>变电站间隔，向西出线，</w:t>
            </w:r>
            <w:r>
              <w:rPr>
                <w:rFonts w:hint="eastAsia" w:ascii="Times New Roman" w:hAnsi="Times New Roman" w:eastAsia="宋体" w:cs="Times New Roman"/>
                <w:spacing w:val="-4"/>
                <w:sz w:val="24"/>
                <w:szCs w:val="24"/>
                <w:lang w:eastAsia="zh-CN"/>
              </w:rPr>
              <w:t>穿越</w:t>
            </w:r>
            <w:r>
              <w:rPr>
                <w:rFonts w:hint="default" w:ascii="Times New Roman" w:hAnsi="Times New Roman" w:eastAsia="宋体" w:cs="Times New Roman"/>
                <w:spacing w:val="-48"/>
                <w:sz w:val="24"/>
                <w:szCs w:val="24"/>
              </w:rPr>
              <w:t xml:space="preserve"> </w:t>
            </w:r>
            <w:r>
              <w:rPr>
                <w:rFonts w:hint="default" w:ascii="Times New Roman" w:hAnsi="Times New Roman" w:eastAsia="宋体" w:cs="Times New Roman"/>
                <w:spacing w:val="-4"/>
                <w:sz w:val="24"/>
                <w:szCs w:val="24"/>
              </w:rPr>
              <w:t>220kV</w:t>
            </w:r>
            <w:r>
              <w:rPr>
                <w:rFonts w:hint="default" w:ascii="Times New Roman" w:hAnsi="Times New Roman" w:eastAsia="宋体" w:cs="Times New Roman"/>
                <w:spacing w:val="-50"/>
                <w:sz w:val="24"/>
                <w:szCs w:val="24"/>
              </w:rPr>
              <w:t xml:space="preserve"> </w:t>
            </w:r>
            <w:r>
              <w:rPr>
                <w:rFonts w:hint="default" w:ascii="Times New Roman" w:hAnsi="Times New Roman" w:eastAsia="宋体" w:cs="Times New Roman"/>
                <w:spacing w:val="-4"/>
                <w:sz w:val="24"/>
                <w:szCs w:val="24"/>
              </w:rPr>
              <w:t>燕马三线连续跨</w:t>
            </w:r>
            <w:r>
              <w:rPr>
                <w:rFonts w:hint="default" w:ascii="Times New Roman" w:hAnsi="Times New Roman" w:eastAsia="宋体" w:cs="Times New Roman"/>
                <w:spacing w:val="-2"/>
                <w:sz w:val="24"/>
                <w:szCs w:val="24"/>
              </w:rPr>
              <w:t>越</w:t>
            </w:r>
            <w:r>
              <w:rPr>
                <w:rFonts w:hint="default" w:ascii="Times New Roman" w:hAnsi="Times New Roman" w:eastAsia="宋体" w:cs="Times New Roman"/>
                <w:spacing w:val="-49"/>
                <w:sz w:val="24"/>
                <w:szCs w:val="24"/>
              </w:rPr>
              <w:t xml:space="preserve"> </w:t>
            </w:r>
            <w:r>
              <w:rPr>
                <w:rFonts w:hint="default" w:ascii="Times New Roman" w:hAnsi="Times New Roman" w:eastAsia="宋体" w:cs="Times New Roman"/>
                <w:spacing w:val="-2"/>
                <w:sz w:val="24"/>
                <w:szCs w:val="24"/>
              </w:rPr>
              <w:t>66kV</w:t>
            </w:r>
            <w:r>
              <w:rPr>
                <w:rFonts w:hint="default" w:ascii="Times New Roman" w:hAnsi="Times New Roman" w:eastAsia="宋体" w:cs="Times New Roman"/>
                <w:spacing w:val="-43"/>
                <w:sz w:val="24"/>
                <w:szCs w:val="24"/>
              </w:rPr>
              <w:t xml:space="preserve"> </w:t>
            </w:r>
            <w:r>
              <w:rPr>
                <w:rFonts w:hint="default" w:ascii="Times New Roman" w:hAnsi="Times New Roman" w:eastAsia="宋体" w:cs="Times New Roman"/>
                <w:spacing w:val="-2"/>
                <w:sz w:val="24"/>
                <w:szCs w:val="24"/>
              </w:rPr>
              <w:t>马东线和66kV</w:t>
            </w:r>
            <w:r>
              <w:rPr>
                <w:rFonts w:hint="default" w:ascii="Times New Roman" w:hAnsi="Times New Roman" w:eastAsia="宋体" w:cs="Times New Roman"/>
                <w:spacing w:val="-44"/>
                <w:sz w:val="24"/>
                <w:szCs w:val="24"/>
              </w:rPr>
              <w:t xml:space="preserve"> </w:t>
            </w:r>
            <w:r>
              <w:rPr>
                <w:rFonts w:hint="default" w:ascii="Times New Roman" w:hAnsi="Times New Roman" w:eastAsia="宋体" w:cs="Times New Roman"/>
                <w:spacing w:val="-2"/>
                <w:sz w:val="24"/>
                <w:szCs w:val="24"/>
              </w:rPr>
              <w:t>马沟线，经上扣花林村中间跨</w:t>
            </w:r>
            <w:r>
              <w:rPr>
                <w:rFonts w:hint="default" w:ascii="Times New Roman" w:hAnsi="Times New Roman" w:eastAsia="宋体" w:cs="Times New Roman"/>
                <w:spacing w:val="-3"/>
                <w:sz w:val="24"/>
                <w:szCs w:val="24"/>
              </w:rPr>
              <w:t>越房屋后右转，经上扣花林村南侧向西架设，连续钻越在建的</w:t>
            </w:r>
            <w:r>
              <w:rPr>
                <w:rFonts w:hint="default" w:ascii="Times New Roman" w:hAnsi="Times New Roman" w:eastAsia="宋体" w:cs="Times New Roman"/>
                <w:spacing w:val="-46"/>
                <w:sz w:val="24"/>
                <w:szCs w:val="24"/>
              </w:rPr>
              <w:t xml:space="preserve"> </w:t>
            </w:r>
            <w:r>
              <w:rPr>
                <w:rFonts w:hint="default" w:ascii="Times New Roman" w:hAnsi="Times New Roman" w:eastAsia="宋体" w:cs="Times New Roman"/>
                <w:spacing w:val="-3"/>
                <w:sz w:val="24"/>
                <w:szCs w:val="24"/>
              </w:rPr>
              <w:t>500kV</w:t>
            </w:r>
            <w:r>
              <w:rPr>
                <w:rFonts w:hint="default" w:ascii="Times New Roman" w:hAnsi="Times New Roman" w:eastAsia="宋体" w:cs="Times New Roman"/>
                <w:spacing w:val="-44"/>
                <w:sz w:val="24"/>
                <w:szCs w:val="24"/>
              </w:rPr>
              <w:t xml:space="preserve"> </w:t>
            </w:r>
            <w:r>
              <w:rPr>
                <w:rFonts w:hint="default" w:ascii="Times New Roman" w:hAnsi="Times New Roman" w:eastAsia="宋体" w:cs="Times New Roman"/>
                <w:spacing w:val="-3"/>
                <w:sz w:val="24"/>
                <w:szCs w:val="24"/>
              </w:rPr>
              <w:t>川州二期线路和</w:t>
            </w:r>
            <w:r>
              <w:rPr>
                <w:rFonts w:hint="default" w:ascii="Times New Roman" w:hAnsi="Times New Roman" w:eastAsia="宋体" w:cs="Times New Roman"/>
                <w:spacing w:val="-48"/>
                <w:sz w:val="24"/>
                <w:szCs w:val="24"/>
              </w:rPr>
              <w:t xml:space="preserve"> </w:t>
            </w:r>
            <w:r>
              <w:rPr>
                <w:rFonts w:hint="default" w:ascii="Times New Roman" w:hAnsi="Times New Roman" w:eastAsia="宋体" w:cs="Times New Roman"/>
                <w:spacing w:val="-3"/>
                <w:sz w:val="24"/>
                <w:szCs w:val="24"/>
              </w:rPr>
              <w:t>220kV</w:t>
            </w:r>
            <w:r>
              <w:rPr>
                <w:rFonts w:hint="default" w:ascii="Times New Roman" w:hAnsi="Times New Roman" w:eastAsia="宋体" w:cs="Times New Roman"/>
                <w:spacing w:val="-47"/>
                <w:sz w:val="24"/>
                <w:szCs w:val="24"/>
              </w:rPr>
              <w:t xml:space="preserve"> </w:t>
            </w:r>
            <w:r>
              <w:rPr>
                <w:rFonts w:hint="default" w:ascii="Times New Roman" w:hAnsi="Times New Roman" w:eastAsia="宋体" w:cs="Times New Roman"/>
                <w:spacing w:val="-3"/>
                <w:sz w:val="24"/>
                <w:szCs w:val="24"/>
              </w:rPr>
              <w:t>建</w:t>
            </w:r>
            <w:r>
              <w:rPr>
                <w:rFonts w:hint="default" w:ascii="Times New Roman" w:hAnsi="Times New Roman" w:eastAsia="宋体" w:cs="Times New Roman"/>
                <w:spacing w:val="-4"/>
                <w:sz w:val="24"/>
                <w:szCs w:val="24"/>
              </w:rPr>
              <w:t>奎、燕奎线，</w:t>
            </w:r>
            <w:r>
              <w:rPr>
                <w:rFonts w:hint="default" w:ascii="Times New Roman" w:hAnsi="Times New Roman" w:eastAsia="宋体" w:cs="Times New Roman"/>
                <w:sz w:val="24"/>
                <w:szCs w:val="24"/>
              </w:rPr>
              <w:t>经小东山南侧接至国宏</w:t>
            </w:r>
            <w:r>
              <w:rPr>
                <w:rFonts w:hint="default" w:ascii="Times New Roman" w:hAnsi="Times New Roman" w:eastAsia="宋体" w:cs="Times New Roman"/>
                <w:spacing w:val="-35"/>
                <w:sz w:val="24"/>
                <w:szCs w:val="24"/>
              </w:rPr>
              <w:t xml:space="preserve"> </w:t>
            </w:r>
            <w:r>
              <w:rPr>
                <w:rFonts w:hint="default" w:ascii="Times New Roman" w:hAnsi="Times New Roman" w:eastAsia="宋体" w:cs="Times New Roman"/>
                <w:sz w:val="24"/>
                <w:szCs w:val="24"/>
              </w:rPr>
              <w:t>200MW</w:t>
            </w:r>
            <w:r>
              <w:rPr>
                <w:rFonts w:hint="default" w:ascii="Times New Roman" w:hAnsi="Times New Roman" w:eastAsia="宋体" w:cs="Times New Roman"/>
                <w:spacing w:val="-52"/>
                <w:sz w:val="24"/>
                <w:szCs w:val="24"/>
              </w:rPr>
              <w:t xml:space="preserve"> </w:t>
            </w:r>
            <w:r>
              <w:rPr>
                <w:rFonts w:hint="default" w:ascii="Times New Roman" w:hAnsi="Times New Roman" w:eastAsia="宋体" w:cs="Times New Roman"/>
                <w:sz w:val="24"/>
                <w:szCs w:val="24"/>
              </w:rPr>
              <w:t>储能站。新建单回线路总长度4.6</w:t>
            </w:r>
            <w:r>
              <w:rPr>
                <w:rFonts w:hint="default" w:ascii="Times New Roman" w:hAnsi="Times New Roman" w:eastAsia="宋体" w:cs="Times New Roman"/>
                <w:spacing w:val="-43"/>
                <w:sz w:val="24"/>
                <w:szCs w:val="24"/>
              </w:rPr>
              <w:t xml:space="preserve"> </w:t>
            </w:r>
            <w:r>
              <w:rPr>
                <w:rFonts w:hint="default" w:ascii="Times New Roman" w:hAnsi="Times New Roman" w:eastAsia="宋体" w:cs="Times New Roman"/>
                <w:sz w:val="24"/>
                <w:szCs w:val="24"/>
              </w:rPr>
              <w:t>公里。</w:t>
            </w:r>
          </w:p>
          <w:p>
            <w:pPr>
              <w:keepNext w:val="0"/>
              <w:keepLines w:val="0"/>
              <w:pageBreakBefore w:val="0"/>
              <w:widowControl w:val="0"/>
              <w:kinsoku/>
              <w:wordWrap/>
              <w:overflowPunct/>
              <w:topLinePunct w:val="0"/>
              <w:autoSpaceDE/>
              <w:autoSpaceDN/>
              <w:bidi w:val="0"/>
              <w:adjustRightInd/>
              <w:snapToGrid/>
              <w:spacing w:line="360" w:lineRule="auto"/>
              <w:ind w:left="0" w:right="0" w:firstLine="468"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3"/>
                <w:sz w:val="24"/>
                <w:szCs w:val="24"/>
              </w:rPr>
              <w:t>导线型号JL3/G1A-400/35，每相1</w:t>
            </w:r>
            <w:r>
              <w:rPr>
                <w:rFonts w:hint="default" w:ascii="Times New Roman" w:hAnsi="Times New Roman" w:eastAsia="宋体" w:cs="Times New Roman"/>
                <w:spacing w:val="-50"/>
                <w:sz w:val="24"/>
                <w:szCs w:val="24"/>
              </w:rPr>
              <w:t xml:space="preserve"> </w:t>
            </w:r>
            <w:r>
              <w:rPr>
                <w:rFonts w:hint="default" w:ascii="Times New Roman" w:hAnsi="Times New Roman" w:eastAsia="宋体" w:cs="Times New Roman"/>
                <w:spacing w:val="-3"/>
                <w:sz w:val="24"/>
                <w:szCs w:val="24"/>
              </w:rPr>
              <w:t>根。</w:t>
            </w:r>
          </w:p>
          <w:p>
            <w:pPr>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4"/>
                <w:sz w:val="24"/>
                <w:szCs w:val="24"/>
              </w:rPr>
              <w:t>曲折系数：1.13。</w:t>
            </w:r>
          </w:p>
          <w:p>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沿线地形：平地42%、丘陵</w:t>
            </w:r>
            <w:r>
              <w:rPr>
                <w:rFonts w:hint="default" w:ascii="Times New Roman" w:hAnsi="Times New Roman" w:eastAsia="宋体" w:cs="Times New Roman"/>
                <w:spacing w:val="-46"/>
                <w:sz w:val="24"/>
                <w:szCs w:val="24"/>
              </w:rPr>
              <w:t xml:space="preserve"> </w:t>
            </w:r>
            <w:r>
              <w:rPr>
                <w:rFonts w:hint="default" w:ascii="Times New Roman" w:hAnsi="Times New Roman" w:eastAsia="宋体" w:cs="Times New Roman"/>
                <w:spacing w:val="-2"/>
                <w:sz w:val="24"/>
                <w:szCs w:val="24"/>
              </w:rPr>
              <w:t>37%、山地</w:t>
            </w:r>
            <w:r>
              <w:rPr>
                <w:rFonts w:hint="default" w:ascii="Times New Roman" w:hAnsi="Times New Roman" w:eastAsia="宋体" w:cs="Times New Roman"/>
                <w:spacing w:val="-48"/>
                <w:sz w:val="24"/>
                <w:szCs w:val="24"/>
              </w:rPr>
              <w:t xml:space="preserve"> </w:t>
            </w:r>
            <w:r>
              <w:rPr>
                <w:rFonts w:hint="default" w:ascii="Times New Roman" w:hAnsi="Times New Roman" w:eastAsia="宋体" w:cs="Times New Roman"/>
                <w:spacing w:val="-2"/>
                <w:sz w:val="24"/>
                <w:szCs w:val="24"/>
              </w:rPr>
              <w:t>21%。</w:t>
            </w:r>
          </w:p>
          <w:p>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方案三路径：</w:t>
            </w:r>
          </w:p>
          <w:p>
            <w:pPr>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4"/>
                <w:sz w:val="24"/>
                <w:szCs w:val="24"/>
              </w:rPr>
              <w:t>新建线路由马山</w:t>
            </w:r>
            <w:r>
              <w:rPr>
                <w:rFonts w:hint="default" w:ascii="Times New Roman" w:hAnsi="Times New Roman" w:eastAsia="宋体" w:cs="Times New Roman"/>
                <w:spacing w:val="-48"/>
                <w:sz w:val="24"/>
                <w:szCs w:val="24"/>
              </w:rPr>
              <w:t xml:space="preserve"> </w:t>
            </w:r>
            <w:r>
              <w:rPr>
                <w:rFonts w:hint="default" w:ascii="Times New Roman" w:hAnsi="Times New Roman" w:eastAsia="宋体" w:cs="Times New Roman"/>
                <w:spacing w:val="-4"/>
                <w:sz w:val="24"/>
                <w:szCs w:val="24"/>
              </w:rPr>
              <w:t>220kV</w:t>
            </w:r>
            <w:r>
              <w:rPr>
                <w:rFonts w:hint="default" w:ascii="Times New Roman" w:hAnsi="Times New Roman" w:eastAsia="宋体" w:cs="Times New Roman"/>
                <w:spacing w:val="-51"/>
                <w:sz w:val="24"/>
                <w:szCs w:val="24"/>
              </w:rPr>
              <w:t xml:space="preserve"> </w:t>
            </w:r>
            <w:r>
              <w:rPr>
                <w:rFonts w:hint="default" w:ascii="Times New Roman" w:hAnsi="Times New Roman" w:eastAsia="宋体" w:cs="Times New Roman"/>
                <w:spacing w:val="-4"/>
                <w:sz w:val="24"/>
                <w:szCs w:val="24"/>
              </w:rPr>
              <w:t>变电站间隔，向西南出线，跨越20kV</w:t>
            </w:r>
            <w:r>
              <w:rPr>
                <w:rFonts w:hint="default" w:ascii="Times New Roman" w:hAnsi="Times New Roman" w:eastAsia="宋体" w:cs="Times New Roman"/>
                <w:spacing w:val="-50"/>
                <w:sz w:val="24"/>
                <w:szCs w:val="24"/>
              </w:rPr>
              <w:t xml:space="preserve"> </w:t>
            </w:r>
            <w:r>
              <w:rPr>
                <w:rFonts w:hint="default" w:ascii="Times New Roman" w:hAnsi="Times New Roman" w:eastAsia="宋体" w:cs="Times New Roman"/>
                <w:spacing w:val="-4"/>
                <w:sz w:val="24"/>
                <w:szCs w:val="24"/>
              </w:rPr>
              <w:t>燕马三线后左</w:t>
            </w:r>
            <w:r>
              <w:rPr>
                <w:rFonts w:hint="default" w:ascii="Times New Roman" w:hAnsi="Times New Roman" w:eastAsia="宋体" w:cs="Times New Roman"/>
                <w:spacing w:val="1"/>
                <w:sz w:val="24"/>
                <w:szCs w:val="24"/>
              </w:rPr>
              <w:t>转跨越66</w:t>
            </w:r>
            <w:r>
              <w:rPr>
                <w:rFonts w:hint="default" w:ascii="Times New Roman" w:hAnsi="Times New Roman" w:eastAsia="宋体" w:cs="Times New Roman"/>
                <w:sz w:val="24"/>
                <w:szCs w:val="24"/>
              </w:rPr>
              <w:t>kV</w:t>
            </w:r>
            <w:r>
              <w:rPr>
                <w:rFonts w:hint="default" w:ascii="Times New Roman" w:hAnsi="Times New Roman" w:eastAsia="宋体" w:cs="Times New Roman"/>
                <w:spacing w:val="-67"/>
                <w:sz w:val="24"/>
                <w:szCs w:val="24"/>
              </w:rPr>
              <w:t xml:space="preserve"> </w:t>
            </w:r>
            <w:r>
              <w:rPr>
                <w:rFonts w:hint="default" w:ascii="Times New Roman" w:hAnsi="Times New Roman" w:eastAsia="宋体" w:cs="Times New Roman"/>
                <w:spacing w:val="1"/>
                <w:sz w:val="24"/>
                <w:szCs w:val="24"/>
              </w:rPr>
              <w:t>马东线后经桃树园村向西南架设连续跨越66</w:t>
            </w:r>
            <w:r>
              <w:rPr>
                <w:rFonts w:hint="default" w:ascii="Times New Roman" w:hAnsi="Times New Roman" w:eastAsia="宋体" w:cs="Times New Roman"/>
                <w:sz w:val="24"/>
                <w:szCs w:val="24"/>
              </w:rPr>
              <w:t>kV</w:t>
            </w:r>
            <w:r>
              <w:rPr>
                <w:rFonts w:hint="default" w:ascii="Times New Roman" w:hAnsi="Times New Roman" w:eastAsia="宋体" w:cs="Times New Roman"/>
                <w:spacing w:val="-67"/>
                <w:sz w:val="24"/>
                <w:szCs w:val="24"/>
              </w:rPr>
              <w:t xml:space="preserve"> </w:t>
            </w:r>
            <w:r>
              <w:rPr>
                <w:rFonts w:hint="default" w:ascii="Times New Roman" w:hAnsi="Times New Roman" w:eastAsia="宋体" w:cs="Times New Roman"/>
                <w:spacing w:val="1"/>
                <w:sz w:val="24"/>
                <w:szCs w:val="24"/>
              </w:rPr>
              <w:t>马沟线和</w:t>
            </w:r>
            <w:r>
              <w:rPr>
                <w:rFonts w:hint="default" w:ascii="Times New Roman" w:hAnsi="Times New Roman" w:eastAsia="宋体" w:cs="Times New Roman"/>
                <w:sz w:val="24"/>
                <w:szCs w:val="24"/>
              </w:rPr>
              <w:t>钻越在建</w:t>
            </w:r>
            <w:r>
              <w:rPr>
                <w:rFonts w:hint="default" w:ascii="Times New Roman" w:hAnsi="Times New Roman" w:eastAsia="宋体" w:cs="Times New Roman"/>
                <w:spacing w:val="-4"/>
                <w:sz w:val="24"/>
                <w:szCs w:val="24"/>
              </w:rPr>
              <w:t>的</w:t>
            </w:r>
            <w:r>
              <w:rPr>
                <w:rFonts w:hint="default" w:ascii="Times New Roman" w:hAnsi="Times New Roman" w:eastAsia="宋体" w:cs="Times New Roman"/>
                <w:spacing w:val="-46"/>
                <w:sz w:val="24"/>
                <w:szCs w:val="24"/>
              </w:rPr>
              <w:t xml:space="preserve"> </w:t>
            </w:r>
            <w:r>
              <w:rPr>
                <w:rFonts w:hint="default" w:ascii="Times New Roman" w:hAnsi="Times New Roman" w:eastAsia="宋体" w:cs="Times New Roman"/>
                <w:spacing w:val="-4"/>
                <w:sz w:val="24"/>
                <w:szCs w:val="24"/>
              </w:rPr>
              <w:t>500kV川州二期线路，继续向西南架设220kV</w:t>
            </w:r>
            <w:r>
              <w:rPr>
                <w:rFonts w:hint="default" w:ascii="Times New Roman" w:hAnsi="Times New Roman" w:eastAsia="宋体" w:cs="Times New Roman"/>
                <w:spacing w:val="-47"/>
                <w:sz w:val="24"/>
                <w:szCs w:val="24"/>
              </w:rPr>
              <w:t xml:space="preserve"> </w:t>
            </w:r>
            <w:r>
              <w:rPr>
                <w:rFonts w:hint="default" w:ascii="Times New Roman" w:hAnsi="Times New Roman" w:eastAsia="宋体" w:cs="Times New Roman"/>
                <w:spacing w:val="-4"/>
                <w:sz w:val="24"/>
                <w:szCs w:val="24"/>
              </w:rPr>
              <w:t>建奎、燕奎线，随后左转</w:t>
            </w:r>
            <w:r>
              <w:rPr>
                <w:rFonts w:hint="default" w:ascii="Times New Roman" w:hAnsi="Times New Roman" w:eastAsia="宋体" w:cs="Times New Roman"/>
                <w:spacing w:val="-5"/>
                <w:sz w:val="24"/>
                <w:szCs w:val="24"/>
              </w:rPr>
              <w:t>跨越长</w:t>
            </w:r>
            <w:r>
              <w:rPr>
                <w:rFonts w:hint="default" w:ascii="Times New Roman" w:hAnsi="Times New Roman" w:eastAsia="宋体" w:cs="Times New Roman"/>
                <w:spacing w:val="-3"/>
                <w:sz w:val="24"/>
                <w:szCs w:val="24"/>
              </w:rPr>
              <w:t>深高速公路，经东营子东侧跨越乡道边林线左转接至</w:t>
            </w:r>
            <w:r>
              <w:rPr>
                <w:rFonts w:hint="default" w:ascii="Times New Roman" w:hAnsi="Times New Roman" w:eastAsia="宋体" w:cs="Times New Roman"/>
                <w:spacing w:val="-4"/>
                <w:sz w:val="24"/>
                <w:szCs w:val="24"/>
              </w:rPr>
              <w:t>国宏</w:t>
            </w:r>
            <w:r>
              <w:rPr>
                <w:rFonts w:hint="default" w:ascii="Times New Roman" w:hAnsi="Times New Roman" w:eastAsia="宋体" w:cs="Times New Roman"/>
                <w:spacing w:val="-48"/>
                <w:sz w:val="24"/>
                <w:szCs w:val="24"/>
              </w:rPr>
              <w:t xml:space="preserve"> </w:t>
            </w:r>
            <w:r>
              <w:rPr>
                <w:rFonts w:hint="default" w:ascii="Times New Roman" w:hAnsi="Times New Roman" w:eastAsia="宋体" w:cs="Times New Roman"/>
                <w:spacing w:val="-4"/>
                <w:sz w:val="24"/>
                <w:szCs w:val="24"/>
              </w:rPr>
              <w:t>200MW</w:t>
            </w:r>
            <w:r>
              <w:rPr>
                <w:rFonts w:hint="default" w:ascii="Times New Roman" w:hAnsi="Times New Roman" w:eastAsia="宋体" w:cs="Times New Roman"/>
                <w:spacing w:val="-51"/>
                <w:sz w:val="24"/>
                <w:szCs w:val="24"/>
              </w:rPr>
              <w:t xml:space="preserve"> </w:t>
            </w:r>
            <w:r>
              <w:rPr>
                <w:rFonts w:hint="default" w:ascii="Times New Roman" w:hAnsi="Times New Roman" w:eastAsia="宋体" w:cs="Times New Roman"/>
                <w:spacing w:val="-4"/>
                <w:sz w:val="24"/>
                <w:szCs w:val="24"/>
              </w:rPr>
              <w:t>储能站。新建单</w:t>
            </w:r>
            <w:r>
              <w:rPr>
                <w:rFonts w:hint="default" w:ascii="Times New Roman" w:hAnsi="Times New Roman" w:eastAsia="宋体" w:cs="Times New Roman"/>
                <w:spacing w:val="2"/>
                <w:sz w:val="24"/>
                <w:szCs w:val="24"/>
              </w:rPr>
              <w:t>回线路总长度6.3公里。</w:t>
            </w:r>
          </w:p>
          <w:p>
            <w:pPr>
              <w:keepNext w:val="0"/>
              <w:keepLines w:val="0"/>
              <w:pageBreakBefore w:val="0"/>
              <w:widowControl w:val="0"/>
              <w:kinsoku/>
              <w:wordWrap/>
              <w:overflowPunct/>
              <w:topLinePunct w:val="0"/>
              <w:autoSpaceDE/>
              <w:autoSpaceDN/>
              <w:bidi w:val="0"/>
              <w:adjustRightInd/>
              <w:snapToGrid/>
              <w:spacing w:line="360" w:lineRule="auto"/>
              <w:ind w:left="0" w:right="0" w:firstLine="468"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3"/>
                <w:sz w:val="24"/>
                <w:szCs w:val="24"/>
              </w:rPr>
              <w:t>导线型号JL3/G1A-400/35，每相1</w:t>
            </w:r>
            <w:r>
              <w:rPr>
                <w:rFonts w:hint="default" w:ascii="Times New Roman" w:hAnsi="Times New Roman" w:eastAsia="宋体" w:cs="Times New Roman"/>
                <w:spacing w:val="-50"/>
                <w:sz w:val="24"/>
                <w:szCs w:val="24"/>
              </w:rPr>
              <w:t xml:space="preserve"> </w:t>
            </w:r>
            <w:r>
              <w:rPr>
                <w:rFonts w:hint="default" w:ascii="Times New Roman" w:hAnsi="Times New Roman" w:eastAsia="宋体" w:cs="Times New Roman"/>
                <w:spacing w:val="-3"/>
                <w:sz w:val="24"/>
                <w:szCs w:val="24"/>
              </w:rPr>
              <w:t>根。</w:t>
            </w:r>
          </w:p>
          <w:p>
            <w:pPr>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4"/>
                <w:sz w:val="24"/>
                <w:szCs w:val="24"/>
              </w:rPr>
              <w:t>曲折系数：1.51。</w:t>
            </w:r>
          </w:p>
          <w:p>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rPr>
              <w:t>沿线地形：平地</w:t>
            </w:r>
            <w:r>
              <w:rPr>
                <w:rFonts w:hint="default" w:ascii="Times New Roman" w:hAnsi="Times New Roman" w:eastAsia="宋体" w:cs="Times New Roman"/>
                <w:spacing w:val="-46"/>
                <w:sz w:val="24"/>
                <w:szCs w:val="24"/>
              </w:rPr>
              <w:t xml:space="preserve"> </w:t>
            </w:r>
            <w:r>
              <w:rPr>
                <w:rFonts w:hint="default" w:ascii="Times New Roman" w:hAnsi="Times New Roman" w:eastAsia="宋体" w:cs="Times New Roman"/>
                <w:spacing w:val="-2"/>
                <w:sz w:val="24"/>
                <w:szCs w:val="24"/>
              </w:rPr>
              <w:t>5%、丘陵24%、山地</w:t>
            </w:r>
            <w:r>
              <w:rPr>
                <w:rFonts w:hint="default" w:ascii="Times New Roman" w:hAnsi="Times New Roman" w:eastAsia="宋体" w:cs="Times New Roman"/>
                <w:spacing w:val="-3"/>
                <w:sz w:val="24"/>
                <w:szCs w:val="24"/>
              </w:rPr>
              <w:t>21%。</w:t>
            </w:r>
          </w:p>
          <w:p>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Times New Roman"/>
                <w:spacing w:val="-2"/>
                <w:sz w:val="24"/>
                <w:szCs w:val="24"/>
              </w:rPr>
            </w:pPr>
            <w:r>
              <w:rPr>
                <w:rFonts w:hint="default" w:ascii="Times New Roman" w:hAnsi="Times New Roman" w:eastAsia="宋体" w:cs="Times New Roman"/>
                <w:spacing w:val="-2"/>
                <w:sz w:val="24"/>
                <w:szCs w:val="24"/>
              </w:rPr>
              <w:drawing>
                <wp:inline distT="0" distB="0" distL="0" distR="0">
                  <wp:extent cx="5027295" cy="4046855"/>
                  <wp:effectExtent l="0" t="0" r="1905" b="10795"/>
                  <wp:docPr id="100" name="IM 10"/>
                  <wp:cNvGraphicFramePr/>
                  <a:graphic xmlns:a="http://schemas.openxmlformats.org/drawingml/2006/main">
                    <a:graphicData uri="http://schemas.openxmlformats.org/drawingml/2006/picture">
                      <pic:pic xmlns:pic="http://schemas.openxmlformats.org/drawingml/2006/picture">
                        <pic:nvPicPr>
                          <pic:cNvPr id="100" name="IM 10"/>
                          <pic:cNvPicPr/>
                        </pic:nvPicPr>
                        <pic:blipFill>
                          <a:blip r:embed="rId35"/>
                          <a:stretch>
                            <a:fillRect/>
                          </a:stretch>
                        </pic:blipFill>
                        <pic:spPr>
                          <a:xfrm>
                            <a:off x="0" y="0"/>
                            <a:ext cx="5027295" cy="404685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left="0" w:right="0" w:firstLine="414" w:firstLineChars="200"/>
              <w:jc w:val="center"/>
              <w:textAlignment w:val="auto"/>
              <w:rPr>
                <w:rFonts w:ascii="宋体" w:hAnsi="宋体" w:eastAsia="宋体" w:cs="宋体"/>
                <w:b/>
                <w:bCs/>
                <w:spacing w:val="-4"/>
                <w:sz w:val="21"/>
                <w:szCs w:val="21"/>
              </w:rPr>
            </w:pPr>
            <w:r>
              <w:rPr>
                <w:rFonts w:hint="eastAsia" w:ascii="Times New Roman" w:hAnsi="Times New Roman" w:eastAsia="宋体" w:cs="Times New Roman"/>
                <w:b/>
                <w:bCs/>
                <w:spacing w:val="-2"/>
                <w:sz w:val="21"/>
                <w:szCs w:val="21"/>
                <w:lang w:val="en-US" w:eastAsia="zh-CN"/>
              </w:rPr>
              <w:t xml:space="preserve">图2-7  </w:t>
            </w:r>
            <w:r>
              <w:rPr>
                <w:rFonts w:ascii="宋体" w:hAnsi="宋体" w:eastAsia="宋体" w:cs="宋体"/>
                <w:b/>
                <w:bCs/>
                <w:spacing w:val="-4"/>
                <w:sz w:val="21"/>
                <w:szCs w:val="21"/>
              </w:rPr>
              <w:t>线路路径方案图</w:t>
            </w:r>
          </w:p>
          <w:p>
            <w:pPr>
              <w:keepNext w:val="0"/>
              <w:keepLines w:val="0"/>
              <w:pageBreakBefore w:val="0"/>
              <w:widowControl w:val="0"/>
              <w:kinsoku/>
              <w:wordWrap/>
              <w:overflowPunct/>
              <w:topLinePunct w:val="0"/>
              <w:autoSpaceDE/>
              <w:autoSpaceDN/>
              <w:bidi w:val="0"/>
              <w:adjustRightInd/>
              <w:snapToGrid/>
              <w:spacing w:before="183" w:line="240" w:lineRule="auto"/>
              <w:ind w:left="365" w:firstLine="482" w:firstLineChars="200"/>
              <w:textAlignment w:val="auto"/>
              <w:rPr>
                <w:rFonts w:hint="eastAsia" w:ascii="宋体" w:hAnsi="宋体" w:eastAsia="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before="183" w:line="240" w:lineRule="auto"/>
              <w:ind w:left="365" w:firstLine="1054" w:firstLineChars="500"/>
              <w:textAlignment w:val="auto"/>
            </w:pPr>
            <w:r>
              <w:rPr>
                <w:rFonts w:hint="eastAsia" w:ascii="宋体" w:hAnsi="宋体" w:eastAsia="宋体" w:cs="宋体"/>
                <w:b/>
                <w:bCs/>
                <w:sz w:val="21"/>
                <w:szCs w:val="21"/>
                <w:lang w:val="en-US" w:eastAsia="zh-CN"/>
              </w:rPr>
              <w:t>表</w:t>
            </w:r>
            <w:r>
              <w:rPr>
                <w:rFonts w:hint="default" w:ascii="Times New Roman" w:hAnsi="Times New Roman" w:eastAsia="宋体" w:cs="Times New Roman"/>
                <w:b/>
                <w:bCs/>
                <w:sz w:val="21"/>
                <w:szCs w:val="21"/>
                <w:lang w:val="en-US" w:eastAsia="zh-CN"/>
              </w:rPr>
              <w:t xml:space="preserve">2-7 </w:t>
            </w:r>
            <w:r>
              <w:rPr>
                <w:rFonts w:hint="eastAsia" w:ascii="宋体" w:hAnsi="宋体" w:eastAsia="宋体" w:cs="宋体"/>
                <w:b/>
                <w:bCs/>
                <w:sz w:val="21"/>
                <w:szCs w:val="21"/>
                <w:lang w:val="en-US" w:eastAsia="zh-CN"/>
              </w:rPr>
              <w:t xml:space="preserve">             </w:t>
            </w:r>
            <w:r>
              <w:rPr>
                <w:rFonts w:ascii="宋体" w:hAnsi="宋体" w:eastAsia="宋体" w:cs="宋体"/>
                <w:b/>
                <w:bCs/>
                <w:sz w:val="21"/>
                <w:szCs w:val="21"/>
              </w:rPr>
              <w:t>路径方案技术对比表</w:t>
            </w:r>
            <w:r>
              <w:rPr>
                <w:rFonts w:ascii="宋体" w:hAnsi="宋体" w:eastAsia="宋体" w:cs="宋体"/>
                <w:b/>
                <w:bCs/>
                <w:spacing w:val="2"/>
                <w:sz w:val="21"/>
                <w:szCs w:val="21"/>
              </w:rPr>
              <w:t xml:space="preserve">    </w:t>
            </w:r>
            <w:r>
              <w:rPr>
                <w:rFonts w:hint="eastAsia" w:ascii="宋体" w:hAnsi="宋体" w:eastAsia="宋体" w:cs="宋体"/>
                <w:spacing w:val="2"/>
                <w:sz w:val="24"/>
                <w:szCs w:val="24"/>
                <w:lang w:val="en-US" w:eastAsia="zh-CN"/>
              </w:rPr>
              <w:t xml:space="preserve"> </w:t>
            </w:r>
          </w:p>
          <w:tbl>
            <w:tblPr>
              <w:tblStyle w:val="31"/>
              <w:tblW w:w="872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
              <w:gridCol w:w="746"/>
              <w:gridCol w:w="1620"/>
              <w:gridCol w:w="2039"/>
              <w:gridCol w:w="2"/>
              <w:gridCol w:w="2151"/>
              <w:gridCol w:w="2"/>
              <w:gridCol w:w="2157"/>
              <w:gridCol w:w="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After w:val="1"/>
                <w:wAfter w:w="2" w:type="dxa"/>
                <w:trHeight w:val="369" w:hRule="atLeast"/>
                <w:jc w:val="center"/>
              </w:trPr>
              <w:tc>
                <w:tcPr>
                  <w:tcW w:w="748" w:type="dxa"/>
                  <w:gridSpan w:val="2"/>
                  <w:textDirection w:val="tbRlV"/>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序号</w:t>
                  </w:r>
                </w:p>
              </w:tc>
              <w:tc>
                <w:tcPr>
                  <w:tcW w:w="1620"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项    目</w:t>
                  </w:r>
                </w:p>
              </w:tc>
              <w:tc>
                <w:tcPr>
                  <w:tcW w:w="2039"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方案一</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方案二</w:t>
                  </w:r>
                </w:p>
              </w:tc>
              <w:tc>
                <w:tcPr>
                  <w:tcW w:w="2159"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方案三</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After w:val="1"/>
                <w:wAfter w:w="2" w:type="dxa"/>
                <w:trHeight w:val="369" w:hRule="atLeast"/>
                <w:jc w:val="center"/>
              </w:trPr>
              <w:tc>
                <w:tcPr>
                  <w:tcW w:w="748"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1</w:t>
                  </w:r>
                </w:p>
              </w:tc>
              <w:tc>
                <w:tcPr>
                  <w:tcW w:w="1620"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电压等级</w:t>
                  </w:r>
                </w:p>
              </w:tc>
              <w:tc>
                <w:tcPr>
                  <w:tcW w:w="2039"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220千伏</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220千伏</w:t>
                  </w:r>
                </w:p>
              </w:tc>
              <w:tc>
                <w:tcPr>
                  <w:tcW w:w="2159"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220千伏</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After w:val="1"/>
                <w:wAfter w:w="2" w:type="dxa"/>
                <w:trHeight w:val="369" w:hRule="atLeast"/>
                <w:jc w:val="center"/>
              </w:trPr>
              <w:tc>
                <w:tcPr>
                  <w:tcW w:w="748"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2</w:t>
                  </w:r>
                </w:p>
              </w:tc>
              <w:tc>
                <w:tcPr>
                  <w:tcW w:w="1620"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架设及传输方式（回路数、紧凑型或常规）</w:t>
                  </w:r>
                </w:p>
              </w:tc>
              <w:tc>
                <w:tcPr>
                  <w:tcW w:w="2039"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单回路常规型</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单回路常规型</w:t>
                  </w:r>
                </w:p>
              </w:tc>
              <w:tc>
                <w:tcPr>
                  <w:tcW w:w="2159"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单回路常规型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After w:val="1"/>
                <w:wAfter w:w="2" w:type="dxa"/>
                <w:trHeight w:val="369" w:hRule="atLeast"/>
                <w:jc w:val="center"/>
              </w:trPr>
              <w:tc>
                <w:tcPr>
                  <w:tcW w:w="748"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3</w:t>
                  </w:r>
                </w:p>
              </w:tc>
              <w:tc>
                <w:tcPr>
                  <w:tcW w:w="1620"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起止点</w:t>
                  </w:r>
                </w:p>
              </w:tc>
              <w:tc>
                <w:tcPr>
                  <w:tcW w:w="2039"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马山220kV变电站，新建220kV储能站</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马山220kV变电站，新建220kV储能站</w:t>
                  </w:r>
                </w:p>
              </w:tc>
              <w:tc>
                <w:tcPr>
                  <w:tcW w:w="2159"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马山220kV变电站，新建220kV储能站</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After w:val="1"/>
                <w:wAfter w:w="2" w:type="dxa"/>
                <w:trHeight w:val="369" w:hRule="atLeast"/>
                <w:jc w:val="center"/>
              </w:trPr>
              <w:tc>
                <w:tcPr>
                  <w:tcW w:w="748"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4</w:t>
                  </w:r>
                </w:p>
              </w:tc>
              <w:tc>
                <w:tcPr>
                  <w:tcW w:w="1620"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线路路径长度/线路总长度（km）</w:t>
                  </w:r>
                </w:p>
              </w:tc>
              <w:tc>
                <w:tcPr>
                  <w:tcW w:w="2039"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5.1</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4.6</w:t>
                  </w:r>
                </w:p>
              </w:tc>
              <w:tc>
                <w:tcPr>
                  <w:tcW w:w="2159"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6.3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After w:val="1"/>
                <w:wAfter w:w="2" w:type="dxa"/>
                <w:trHeight w:val="369" w:hRule="atLeast"/>
                <w:jc w:val="center"/>
              </w:trPr>
              <w:tc>
                <w:tcPr>
                  <w:tcW w:w="748"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5</w:t>
                  </w:r>
                </w:p>
              </w:tc>
              <w:tc>
                <w:tcPr>
                  <w:tcW w:w="1620"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海拔高度（m）</w:t>
                  </w:r>
                </w:p>
              </w:tc>
              <w:tc>
                <w:tcPr>
                  <w:tcW w:w="2039"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&lt;1000</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&lt;1000</w:t>
                  </w:r>
                </w:p>
              </w:tc>
              <w:tc>
                <w:tcPr>
                  <w:tcW w:w="2159"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&lt;1000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After w:val="1"/>
                <w:wAfter w:w="2" w:type="dxa"/>
                <w:trHeight w:val="369" w:hRule="atLeast"/>
                <w:jc w:val="center"/>
              </w:trPr>
              <w:tc>
                <w:tcPr>
                  <w:tcW w:w="748"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6</w:t>
                  </w:r>
                </w:p>
              </w:tc>
              <w:tc>
                <w:tcPr>
                  <w:tcW w:w="1620"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曲折系数</w:t>
                  </w:r>
                </w:p>
              </w:tc>
              <w:tc>
                <w:tcPr>
                  <w:tcW w:w="2039"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1.22</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1.13</w:t>
                  </w:r>
                </w:p>
              </w:tc>
              <w:tc>
                <w:tcPr>
                  <w:tcW w:w="2159"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1.51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After w:val="1"/>
                <w:wAfter w:w="2" w:type="dxa"/>
                <w:trHeight w:val="369" w:hRule="atLeast"/>
                <w:jc w:val="center"/>
              </w:trPr>
              <w:tc>
                <w:tcPr>
                  <w:tcW w:w="748"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7</w:t>
                  </w:r>
                </w:p>
              </w:tc>
              <w:tc>
                <w:tcPr>
                  <w:tcW w:w="1620"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平地（km）/占全程的百分比（%）</w:t>
                  </w:r>
                </w:p>
              </w:tc>
              <w:tc>
                <w:tcPr>
                  <w:tcW w:w="2039"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2.805km/55%</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1.932/42%</w:t>
                  </w:r>
                </w:p>
              </w:tc>
              <w:tc>
                <w:tcPr>
                  <w:tcW w:w="2159"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2.835km/45%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Before w:val="1"/>
                <w:wBefore w:w="2" w:type="dxa"/>
                <w:trHeight w:val="369" w:hRule="atLeast"/>
                <w:jc w:val="center"/>
              </w:trPr>
              <w:tc>
                <w:tcPr>
                  <w:tcW w:w="746"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8</w:t>
                  </w:r>
                </w:p>
              </w:tc>
              <w:tc>
                <w:tcPr>
                  <w:tcW w:w="1620"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丘陵（km）/占全程的百分比（%）</w:t>
                  </w:r>
                </w:p>
              </w:tc>
              <w:tc>
                <w:tcPr>
                  <w:tcW w:w="2041"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1.224km/24%</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1.072km/37%</w:t>
                  </w:r>
                </w:p>
              </w:tc>
              <w:tc>
                <w:tcPr>
                  <w:tcW w:w="2159"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2.079km/33%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Before w:val="1"/>
                <w:wBefore w:w="2" w:type="dxa"/>
                <w:trHeight w:val="369" w:hRule="atLeast"/>
                <w:jc w:val="center"/>
              </w:trPr>
              <w:tc>
                <w:tcPr>
                  <w:tcW w:w="746"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9</w:t>
                  </w:r>
                </w:p>
              </w:tc>
              <w:tc>
                <w:tcPr>
                  <w:tcW w:w="1620"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山地（km）/占全程的百分比（%）</w:t>
                  </w:r>
                </w:p>
              </w:tc>
              <w:tc>
                <w:tcPr>
                  <w:tcW w:w="2041"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1.071km/21%</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0.966km/21%</w:t>
                  </w:r>
                </w:p>
              </w:tc>
              <w:tc>
                <w:tcPr>
                  <w:tcW w:w="2159"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1.386km/22%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Before w:val="1"/>
                <w:wBefore w:w="2" w:type="dxa"/>
                <w:trHeight w:val="369" w:hRule="atLeast"/>
                <w:jc w:val="center"/>
              </w:trPr>
              <w:tc>
                <w:tcPr>
                  <w:tcW w:w="746"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10</w:t>
                  </w:r>
                </w:p>
              </w:tc>
              <w:tc>
                <w:tcPr>
                  <w:tcW w:w="1620"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设计风速（m/s）</w:t>
                  </w:r>
                </w:p>
              </w:tc>
              <w:tc>
                <w:tcPr>
                  <w:tcW w:w="2041"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28.1</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28.1</w:t>
                  </w:r>
                </w:p>
              </w:tc>
              <w:tc>
                <w:tcPr>
                  <w:tcW w:w="2159"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28.1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Before w:val="1"/>
                <w:wBefore w:w="2" w:type="dxa"/>
                <w:trHeight w:val="369" w:hRule="atLeast"/>
                <w:jc w:val="center"/>
              </w:trPr>
              <w:tc>
                <w:tcPr>
                  <w:tcW w:w="746"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11</w:t>
                  </w:r>
                </w:p>
              </w:tc>
              <w:tc>
                <w:tcPr>
                  <w:tcW w:w="1620"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设计冰厚（mm）</w:t>
                  </w:r>
                </w:p>
              </w:tc>
              <w:tc>
                <w:tcPr>
                  <w:tcW w:w="2041"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导线10mm</w:t>
                  </w:r>
                  <w:r>
                    <w:rPr>
                      <w:rFonts w:hint="eastAsia" w:ascii="Times New Roman" w:hAnsi="Times New Roman" w:eastAsia="宋体" w:cs="Times New Roman"/>
                      <w:spacing w:val="7"/>
                      <w:sz w:val="21"/>
                      <w:szCs w:val="21"/>
                      <w:lang w:eastAsia="zh-CN"/>
                    </w:rPr>
                    <w:t>，</w:t>
                  </w:r>
                  <w:r>
                    <w:rPr>
                      <w:rFonts w:hint="default" w:ascii="Times New Roman" w:hAnsi="Times New Roman" w:eastAsia="宋体" w:cs="Times New Roman"/>
                      <w:spacing w:val="7"/>
                      <w:sz w:val="21"/>
                      <w:szCs w:val="21"/>
                    </w:rPr>
                    <w:t>地线15mm</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导线10mm</w:t>
                  </w:r>
                  <w:r>
                    <w:rPr>
                      <w:rFonts w:hint="eastAsia" w:ascii="Times New Roman" w:hAnsi="Times New Roman" w:eastAsia="宋体" w:cs="Times New Roman"/>
                      <w:spacing w:val="7"/>
                      <w:sz w:val="21"/>
                      <w:szCs w:val="21"/>
                      <w:lang w:eastAsia="zh-CN"/>
                    </w:rPr>
                    <w:t>，</w:t>
                  </w:r>
                  <w:r>
                    <w:rPr>
                      <w:rFonts w:hint="default" w:ascii="Times New Roman" w:hAnsi="Times New Roman" w:eastAsia="宋体" w:cs="Times New Roman"/>
                      <w:spacing w:val="7"/>
                      <w:sz w:val="21"/>
                      <w:szCs w:val="21"/>
                    </w:rPr>
                    <w:t>地线15mm</w:t>
                  </w:r>
                </w:p>
              </w:tc>
              <w:tc>
                <w:tcPr>
                  <w:tcW w:w="2159"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导线10mm</w:t>
                  </w:r>
                  <w:r>
                    <w:rPr>
                      <w:rFonts w:hint="eastAsia" w:ascii="Times New Roman" w:hAnsi="Times New Roman" w:eastAsia="宋体" w:cs="Times New Roman"/>
                      <w:spacing w:val="7"/>
                      <w:sz w:val="21"/>
                      <w:szCs w:val="21"/>
                      <w:lang w:eastAsia="zh-CN"/>
                    </w:rPr>
                    <w:t>，</w:t>
                  </w:r>
                  <w:r>
                    <w:rPr>
                      <w:rFonts w:hint="default" w:ascii="Times New Roman" w:hAnsi="Times New Roman" w:eastAsia="宋体" w:cs="Times New Roman"/>
                      <w:spacing w:val="7"/>
                      <w:sz w:val="21"/>
                      <w:szCs w:val="21"/>
                    </w:rPr>
                    <w:t>地线15mm</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Before w:val="1"/>
                <w:wBefore w:w="2" w:type="dxa"/>
                <w:trHeight w:val="369" w:hRule="atLeast"/>
                <w:jc w:val="center"/>
              </w:trPr>
              <w:tc>
                <w:tcPr>
                  <w:tcW w:w="746"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12</w:t>
                  </w:r>
                </w:p>
              </w:tc>
              <w:tc>
                <w:tcPr>
                  <w:tcW w:w="1620"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导线型号</w:t>
                  </w:r>
                </w:p>
              </w:tc>
              <w:tc>
                <w:tcPr>
                  <w:tcW w:w="2041"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1×JL3/GIA-400/35高导电率钢芯铝绞线</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1×JL3/GIA-400/35高导电率钢芯铝绞线</w:t>
                  </w:r>
                </w:p>
              </w:tc>
              <w:tc>
                <w:tcPr>
                  <w:tcW w:w="2159"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1×JL3/GIA-400/35高导电率钢芯铝绞线</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Before w:val="1"/>
                <w:wBefore w:w="2" w:type="dxa"/>
                <w:trHeight w:val="369" w:hRule="atLeast"/>
                <w:jc w:val="center"/>
              </w:trPr>
              <w:tc>
                <w:tcPr>
                  <w:tcW w:w="746"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13</w:t>
                  </w:r>
                </w:p>
              </w:tc>
              <w:tc>
                <w:tcPr>
                  <w:tcW w:w="1620"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地线型号</w:t>
                  </w:r>
                </w:p>
              </w:tc>
              <w:tc>
                <w:tcPr>
                  <w:tcW w:w="2041"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2根OPGW-48芯</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2根OPGW-48芯</w:t>
                  </w:r>
                </w:p>
              </w:tc>
              <w:tc>
                <w:tcPr>
                  <w:tcW w:w="2159"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2根OPGW-48芯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Before w:val="1"/>
                <w:wBefore w:w="2" w:type="dxa"/>
                <w:trHeight w:val="369" w:hRule="atLeast"/>
                <w:jc w:val="center"/>
              </w:trPr>
              <w:tc>
                <w:tcPr>
                  <w:tcW w:w="746"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14</w:t>
                  </w:r>
                </w:p>
              </w:tc>
              <w:tc>
                <w:tcPr>
                  <w:tcW w:w="1620"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杆塔总数（基）/每公里塔基数（基/km）</w:t>
                  </w:r>
                </w:p>
              </w:tc>
              <w:tc>
                <w:tcPr>
                  <w:tcW w:w="2041"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21/4.1</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18/3.9</w:t>
                  </w:r>
                </w:p>
              </w:tc>
              <w:tc>
                <w:tcPr>
                  <w:tcW w:w="2159"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29/4.6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Before w:val="1"/>
                <w:wBefore w:w="2" w:type="dxa"/>
                <w:trHeight w:val="369" w:hRule="atLeast"/>
                <w:jc w:val="center"/>
              </w:trPr>
              <w:tc>
                <w:tcPr>
                  <w:tcW w:w="746"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15</w:t>
                  </w:r>
                </w:p>
              </w:tc>
              <w:tc>
                <w:tcPr>
                  <w:tcW w:w="1620"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自立直线塔（基）/占塔基总数百分比（%）</w:t>
                  </w:r>
                </w:p>
              </w:tc>
              <w:tc>
                <w:tcPr>
                  <w:tcW w:w="2041"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10/47.6%</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10/55.5%</w:t>
                  </w:r>
                </w:p>
              </w:tc>
              <w:tc>
                <w:tcPr>
                  <w:tcW w:w="2159"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15/51.72%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Before w:val="1"/>
                <w:wBefore w:w="2" w:type="dxa"/>
                <w:trHeight w:val="369" w:hRule="atLeast"/>
                <w:jc w:val="center"/>
              </w:trPr>
              <w:tc>
                <w:tcPr>
                  <w:tcW w:w="746"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16</w:t>
                  </w:r>
                </w:p>
              </w:tc>
              <w:tc>
                <w:tcPr>
                  <w:tcW w:w="1620"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耐张转角塔（基）/占塔基总数百分比（%）</w:t>
                  </w:r>
                </w:p>
              </w:tc>
              <w:tc>
                <w:tcPr>
                  <w:tcW w:w="2041"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11/52.4%</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8/44.5%</w:t>
                  </w:r>
                </w:p>
              </w:tc>
              <w:tc>
                <w:tcPr>
                  <w:tcW w:w="2159"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14/48.28%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Before w:val="1"/>
                <w:wBefore w:w="2" w:type="dxa"/>
                <w:trHeight w:val="369" w:hRule="atLeast"/>
                <w:jc w:val="center"/>
              </w:trPr>
              <w:tc>
                <w:tcPr>
                  <w:tcW w:w="746"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17</w:t>
                  </w:r>
                </w:p>
              </w:tc>
              <w:tc>
                <w:tcPr>
                  <w:tcW w:w="1620"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lang w:val="en-US" w:eastAsia="en-US"/>
                    </w:rPr>
                  </w:pPr>
                  <w:r>
                    <w:rPr>
                      <w:rFonts w:hint="default" w:ascii="Times New Roman" w:hAnsi="Times New Roman" w:eastAsia="宋体" w:cs="Times New Roman"/>
                      <w:spacing w:val="7"/>
                      <w:sz w:val="21"/>
                      <w:szCs w:val="21"/>
                    </w:rPr>
                    <w:t>防振措施</w:t>
                  </w:r>
                </w:p>
              </w:tc>
              <w:tc>
                <w:tcPr>
                  <w:tcW w:w="2041" w:type="dxa"/>
                  <w:gridSpan w:val="2"/>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lang w:val="en-US" w:eastAsia="en-US"/>
                    </w:rPr>
                  </w:pPr>
                  <w:r>
                    <w:rPr>
                      <w:rFonts w:hint="default" w:ascii="Times New Roman" w:hAnsi="Times New Roman" w:eastAsia="宋体" w:cs="Times New Roman"/>
                      <w:spacing w:val="7"/>
                      <w:sz w:val="21"/>
                      <w:szCs w:val="21"/>
                    </w:rPr>
                    <w:t>预绞式防振锤</w:t>
                  </w:r>
                </w:p>
              </w:tc>
              <w:tc>
                <w:tcPr>
                  <w:tcW w:w="2153" w:type="dxa"/>
                  <w:gridSpan w:val="2"/>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lang w:val="en-US" w:eastAsia="en-US"/>
                    </w:rPr>
                  </w:pPr>
                  <w:r>
                    <w:rPr>
                      <w:rFonts w:hint="default" w:ascii="Times New Roman" w:hAnsi="Times New Roman" w:eastAsia="宋体" w:cs="Times New Roman"/>
                      <w:spacing w:val="7"/>
                      <w:sz w:val="21"/>
                      <w:szCs w:val="21"/>
                    </w:rPr>
                    <w:t>预绞式防振锤</w:t>
                  </w:r>
                </w:p>
              </w:tc>
              <w:tc>
                <w:tcPr>
                  <w:tcW w:w="2159" w:type="dxa"/>
                  <w:gridSpan w:val="2"/>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lang w:val="en-US" w:eastAsia="en-US"/>
                    </w:rPr>
                  </w:pPr>
                  <w:r>
                    <w:rPr>
                      <w:rFonts w:hint="default" w:ascii="Times New Roman" w:hAnsi="Times New Roman" w:eastAsia="宋体" w:cs="Times New Roman"/>
                      <w:spacing w:val="7"/>
                      <w:sz w:val="21"/>
                      <w:szCs w:val="21"/>
                    </w:rPr>
                    <w:t>预绞式防振锤</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Before w:val="1"/>
                <w:wBefore w:w="2" w:type="dxa"/>
                <w:trHeight w:val="369" w:hRule="atLeast"/>
                <w:jc w:val="center"/>
              </w:trPr>
              <w:tc>
                <w:tcPr>
                  <w:tcW w:w="746"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18</w:t>
                  </w:r>
                </w:p>
              </w:tc>
              <w:tc>
                <w:tcPr>
                  <w:tcW w:w="1620"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lang w:val="en-US" w:eastAsia="en-US"/>
                    </w:rPr>
                  </w:pPr>
                  <w:r>
                    <w:rPr>
                      <w:rFonts w:hint="default" w:ascii="Times New Roman" w:hAnsi="Times New Roman" w:eastAsia="宋体" w:cs="Times New Roman"/>
                      <w:spacing w:val="7"/>
                      <w:sz w:val="21"/>
                      <w:szCs w:val="21"/>
                    </w:rPr>
                    <w:t>悬垂线夹型式</w:t>
                  </w:r>
                </w:p>
              </w:tc>
              <w:tc>
                <w:tcPr>
                  <w:tcW w:w="2041" w:type="dxa"/>
                  <w:gridSpan w:val="2"/>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lang w:val="en-US" w:eastAsia="en-US"/>
                    </w:rPr>
                  </w:pPr>
                  <w:r>
                    <w:rPr>
                      <w:rFonts w:hint="default" w:ascii="Times New Roman" w:hAnsi="Times New Roman" w:eastAsia="宋体" w:cs="Times New Roman"/>
                      <w:spacing w:val="7"/>
                      <w:sz w:val="21"/>
                      <w:szCs w:val="21"/>
                    </w:rPr>
                    <w:t>提包式线夹、预绞式线夹</w:t>
                  </w:r>
                </w:p>
              </w:tc>
              <w:tc>
                <w:tcPr>
                  <w:tcW w:w="2153" w:type="dxa"/>
                  <w:gridSpan w:val="2"/>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lang w:val="en-US" w:eastAsia="en-US"/>
                    </w:rPr>
                  </w:pPr>
                  <w:r>
                    <w:rPr>
                      <w:rFonts w:hint="default" w:ascii="Times New Roman" w:hAnsi="Times New Roman" w:eastAsia="宋体" w:cs="Times New Roman"/>
                      <w:spacing w:val="7"/>
                      <w:sz w:val="21"/>
                      <w:szCs w:val="21"/>
                    </w:rPr>
                    <w:t>提包式线夹、预绞式线夹</w:t>
                  </w:r>
                </w:p>
              </w:tc>
              <w:tc>
                <w:tcPr>
                  <w:tcW w:w="2159" w:type="dxa"/>
                  <w:gridSpan w:val="2"/>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lang w:val="en-US" w:eastAsia="en-US"/>
                    </w:rPr>
                  </w:pPr>
                  <w:r>
                    <w:rPr>
                      <w:rFonts w:hint="default" w:ascii="Times New Roman" w:hAnsi="Times New Roman" w:eastAsia="宋体" w:cs="Times New Roman"/>
                      <w:spacing w:val="7"/>
                      <w:sz w:val="21"/>
                      <w:szCs w:val="21"/>
                    </w:rPr>
                    <w:t>提包式线夹、预绞式线夹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Before w:val="1"/>
                <w:wBefore w:w="2" w:type="dxa"/>
                <w:trHeight w:val="369" w:hRule="atLeast"/>
                <w:jc w:val="center"/>
              </w:trPr>
              <w:tc>
                <w:tcPr>
                  <w:tcW w:w="746"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19</w:t>
                  </w:r>
                </w:p>
              </w:tc>
              <w:tc>
                <w:tcPr>
                  <w:tcW w:w="1620"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lang w:val="en-US" w:eastAsia="en-US"/>
                    </w:rPr>
                  </w:pPr>
                  <w:r>
                    <w:rPr>
                      <w:rFonts w:hint="default" w:ascii="Times New Roman" w:hAnsi="Times New Roman" w:eastAsia="宋体" w:cs="Times New Roman"/>
                      <w:spacing w:val="7"/>
                      <w:sz w:val="21"/>
                      <w:szCs w:val="21"/>
                    </w:rPr>
                    <w:t>林区砍伐量</w:t>
                  </w:r>
                </w:p>
              </w:tc>
              <w:tc>
                <w:tcPr>
                  <w:tcW w:w="2041" w:type="dxa"/>
                  <w:gridSpan w:val="2"/>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lang w:val="en-US" w:eastAsia="en-US"/>
                    </w:rPr>
                  </w:pPr>
                  <w:r>
                    <w:rPr>
                      <w:rFonts w:hint="default" w:ascii="Times New Roman" w:hAnsi="Times New Roman" w:eastAsia="宋体" w:cs="Times New Roman"/>
                      <w:spacing w:val="7"/>
                      <w:sz w:val="21"/>
                      <w:szCs w:val="21"/>
                    </w:rPr>
                    <w:t>杨树5亩，松树8亩，杏树75棵。跨越成片林区长度1.4公里。</w:t>
                  </w:r>
                </w:p>
              </w:tc>
              <w:tc>
                <w:tcPr>
                  <w:tcW w:w="2153" w:type="dxa"/>
                  <w:gridSpan w:val="2"/>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lang w:val="en-US" w:eastAsia="en-US"/>
                    </w:rPr>
                  </w:pPr>
                  <w:r>
                    <w:rPr>
                      <w:rFonts w:hint="default" w:ascii="Times New Roman" w:hAnsi="Times New Roman" w:eastAsia="宋体" w:cs="Times New Roman"/>
                      <w:spacing w:val="7"/>
                      <w:sz w:val="21"/>
                      <w:szCs w:val="21"/>
                    </w:rPr>
                    <w:t>杨树5.2亩，松树11亩，槐树2亩、杏树25棵。跨越成片林区长度1.2公里。</w:t>
                  </w:r>
                </w:p>
              </w:tc>
              <w:tc>
                <w:tcPr>
                  <w:tcW w:w="2159" w:type="dxa"/>
                  <w:gridSpan w:val="2"/>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lang w:val="en-US" w:eastAsia="en-US"/>
                    </w:rPr>
                  </w:pPr>
                  <w:r>
                    <w:rPr>
                      <w:rFonts w:hint="default" w:ascii="Times New Roman" w:hAnsi="Times New Roman" w:eastAsia="宋体" w:cs="Times New Roman"/>
                      <w:spacing w:val="7"/>
                      <w:sz w:val="21"/>
                      <w:szCs w:val="21"/>
                    </w:rPr>
                    <w:t>杨树4.5亩，松树9亩，槐树3亩、杏树25棵。跨越成片林区长度1.5公里。</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Before w:val="1"/>
                <w:wBefore w:w="2" w:type="dxa"/>
                <w:trHeight w:val="369" w:hRule="atLeast"/>
                <w:jc w:val="center"/>
              </w:trPr>
              <w:tc>
                <w:tcPr>
                  <w:tcW w:w="746"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20</w:t>
                  </w:r>
                </w:p>
              </w:tc>
              <w:tc>
                <w:tcPr>
                  <w:tcW w:w="1620" w:type="dxa"/>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lang w:val="en-US" w:eastAsia="en-US"/>
                    </w:rPr>
                  </w:pPr>
                  <w:r>
                    <w:rPr>
                      <w:rFonts w:hint="default" w:ascii="Times New Roman" w:hAnsi="Times New Roman" w:eastAsia="宋体" w:cs="Times New Roman"/>
                      <w:spacing w:val="7"/>
                      <w:sz w:val="21"/>
                      <w:szCs w:val="21"/>
                    </w:rPr>
                    <w:t>通用设计模块编号</w:t>
                  </w:r>
                </w:p>
              </w:tc>
              <w:tc>
                <w:tcPr>
                  <w:tcW w:w="2041" w:type="dxa"/>
                  <w:gridSpan w:val="2"/>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lang w:val="en-US" w:eastAsia="en-US"/>
                    </w:rPr>
                  </w:pPr>
                  <w:r>
                    <w:rPr>
                      <w:rFonts w:hint="default" w:ascii="Times New Roman" w:hAnsi="Times New Roman" w:eastAsia="宋体" w:cs="Times New Roman"/>
                      <w:spacing w:val="7"/>
                      <w:sz w:val="21"/>
                      <w:szCs w:val="21"/>
                    </w:rPr>
                    <w:t>220-ED21D、220-GD21S</w:t>
                  </w:r>
                </w:p>
              </w:tc>
              <w:tc>
                <w:tcPr>
                  <w:tcW w:w="2153" w:type="dxa"/>
                  <w:gridSpan w:val="2"/>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lang w:val="en-US" w:eastAsia="en-US"/>
                    </w:rPr>
                  </w:pPr>
                  <w:r>
                    <w:rPr>
                      <w:rFonts w:hint="default" w:ascii="Times New Roman" w:hAnsi="Times New Roman" w:eastAsia="宋体" w:cs="Times New Roman"/>
                      <w:spacing w:val="7"/>
                      <w:sz w:val="21"/>
                      <w:szCs w:val="21"/>
                    </w:rPr>
                    <w:t>220-ED21D、220-GD21S</w:t>
                  </w:r>
                </w:p>
              </w:tc>
              <w:tc>
                <w:tcPr>
                  <w:tcW w:w="2159" w:type="dxa"/>
                  <w:gridSpan w:val="2"/>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lang w:val="en-US" w:eastAsia="en-US"/>
                    </w:rPr>
                  </w:pPr>
                  <w:r>
                    <w:rPr>
                      <w:rFonts w:hint="default" w:ascii="Times New Roman" w:hAnsi="Times New Roman" w:eastAsia="宋体" w:cs="Times New Roman"/>
                      <w:spacing w:val="7"/>
                      <w:sz w:val="21"/>
                      <w:szCs w:val="21"/>
                    </w:rPr>
                    <w:t>220-ED21D、220-GD21S</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Before w:val="1"/>
                <w:wBefore w:w="2" w:type="dxa"/>
                <w:trHeight w:val="369" w:hRule="atLeast"/>
                <w:jc w:val="center"/>
              </w:trPr>
              <w:tc>
                <w:tcPr>
                  <w:tcW w:w="746" w:type="dxa"/>
                  <w:vMerge w:val="restart"/>
                  <w:textDirection w:val="tbRlV"/>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杆塔设计</w:t>
                  </w:r>
                </w:p>
              </w:tc>
              <w:tc>
                <w:tcPr>
                  <w:tcW w:w="1620"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塔型模块应用数量</w:t>
                  </w:r>
                </w:p>
              </w:tc>
              <w:tc>
                <w:tcPr>
                  <w:tcW w:w="2041"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2</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2</w:t>
                  </w:r>
                </w:p>
              </w:tc>
              <w:tc>
                <w:tcPr>
                  <w:tcW w:w="2159"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rP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gridBefore w:val="1"/>
                <w:wBefore w:w="2" w:type="dxa"/>
                <w:trHeight w:val="369" w:hRule="atLeast"/>
                <w:jc w:val="center"/>
              </w:trPr>
              <w:tc>
                <w:tcPr>
                  <w:tcW w:w="746" w:type="dxa"/>
                  <w:vMerge w:val="continue"/>
                  <w:textDirection w:val="tbRlV"/>
                  <w:vAlign w:val="center"/>
                </w:tcPr>
                <w:p>
                  <w:pPr>
                    <w:jc w:val="center"/>
                    <w:rPr>
                      <w:rFonts w:hint="default" w:ascii="Times New Roman" w:hAnsi="Times New Roman" w:eastAsia="宋体" w:cs="Times New Roman"/>
                      <w:spacing w:val="7"/>
                      <w:kern w:val="2"/>
                      <w:sz w:val="21"/>
                      <w:szCs w:val="21"/>
                      <w:lang w:val="en-US" w:eastAsia="en-US" w:bidi="ar-SA"/>
                    </w:rPr>
                  </w:pPr>
                </w:p>
              </w:tc>
              <w:tc>
                <w:tcPr>
                  <w:tcW w:w="1620" w:type="dxa"/>
                  <w:vAlign w:val="center"/>
                </w:tcPr>
                <w:p>
                  <w:pPr>
                    <w:pStyle w:val="38"/>
                    <w:spacing w:before="80" w:line="257" w:lineRule="auto"/>
                    <w:ind w:left="267" w:right="159" w:hanging="70"/>
                    <w:jc w:val="center"/>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自行编制塔型模块应用数</w:t>
                  </w:r>
                </w:p>
              </w:tc>
              <w:tc>
                <w:tcPr>
                  <w:tcW w:w="2041"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0</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0</w:t>
                  </w:r>
                </w:p>
              </w:tc>
              <w:tc>
                <w:tcPr>
                  <w:tcW w:w="2159"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2" w:type="dxa"/>
                <w:trHeight w:val="369" w:hRule="atLeast"/>
                <w:jc w:val="center"/>
              </w:trPr>
              <w:tc>
                <w:tcPr>
                  <w:tcW w:w="746" w:type="dxa"/>
                  <w:vMerge w:val="continue"/>
                  <w:vAlign w:val="center"/>
                </w:tcPr>
                <w:p>
                  <w:pPr>
                    <w:jc w:val="center"/>
                    <w:rPr>
                      <w:rFonts w:hint="default" w:ascii="Times New Roman" w:hAnsi="Times New Roman" w:eastAsia="宋体" w:cs="Times New Roman"/>
                      <w:spacing w:val="7"/>
                      <w:kern w:val="2"/>
                      <w:sz w:val="21"/>
                      <w:szCs w:val="21"/>
                      <w:lang w:val="en-US" w:eastAsia="en-US" w:bidi="ar-SA"/>
                    </w:rPr>
                  </w:pPr>
                </w:p>
              </w:tc>
              <w:tc>
                <w:tcPr>
                  <w:tcW w:w="1620" w:type="dxa"/>
                  <w:tcBorders>
                    <w:top w:val="single" w:color="000000" w:sz="2" w:space="0"/>
                    <w:left w:val="single" w:color="000000" w:sz="2" w:space="0"/>
                    <w:right w:val="single" w:color="000000" w:sz="2" w:space="0"/>
                  </w:tcBorders>
                  <w:vAlign w:val="center"/>
                </w:tcPr>
                <w:p>
                  <w:pPr>
                    <w:pStyle w:val="38"/>
                    <w:spacing w:before="75" w:line="259" w:lineRule="auto"/>
                    <w:ind w:left="274" w:right="159" w:hanging="110"/>
                    <w:jc w:val="center"/>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其他（以大代小等情况）</w:t>
                  </w:r>
                </w:p>
              </w:tc>
              <w:tc>
                <w:tcPr>
                  <w:tcW w:w="2041" w:type="dxa"/>
                  <w:gridSpan w:val="2"/>
                  <w:tcBorders>
                    <w:top w:val="single" w:color="000000" w:sz="2" w:space="0"/>
                    <w:left w:val="single" w:color="000000" w:sz="2" w:space="0"/>
                    <w:right w:val="single" w:color="000000" w:sz="2" w:space="0"/>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无</w:t>
                  </w:r>
                </w:p>
              </w:tc>
              <w:tc>
                <w:tcPr>
                  <w:tcW w:w="2153" w:type="dxa"/>
                  <w:gridSpan w:val="2"/>
                  <w:tcBorders>
                    <w:top w:val="single" w:color="000000" w:sz="2" w:space="0"/>
                    <w:left w:val="single" w:color="000000" w:sz="2" w:space="0"/>
                    <w:right w:val="single" w:color="000000" w:sz="2" w:space="0"/>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无</w:t>
                  </w:r>
                </w:p>
              </w:tc>
              <w:tc>
                <w:tcPr>
                  <w:tcW w:w="2159" w:type="dxa"/>
                  <w:gridSpan w:val="2"/>
                  <w:tcBorders>
                    <w:top w:val="single" w:color="000000" w:sz="2" w:space="0"/>
                    <w:left w:val="single" w:color="000000" w:sz="2" w:space="0"/>
                    <w:right w:val="single" w:color="000000" w:sz="2" w:space="0"/>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2" w:type="dxa"/>
                <w:trHeight w:val="369" w:hRule="atLeast"/>
                <w:jc w:val="center"/>
              </w:trPr>
              <w:tc>
                <w:tcPr>
                  <w:tcW w:w="2366" w:type="dxa"/>
                  <w:gridSpan w:val="2"/>
                  <w:tcBorders>
                    <w:left w:val="single" w:color="000000" w:sz="2" w:space="0"/>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转角次数</w:t>
                  </w:r>
                </w:p>
              </w:tc>
              <w:tc>
                <w:tcPr>
                  <w:tcW w:w="2041"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10</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8</w:t>
                  </w:r>
                </w:p>
              </w:tc>
              <w:tc>
                <w:tcPr>
                  <w:tcW w:w="2159" w:type="dxa"/>
                  <w:gridSpan w:val="2"/>
                  <w:tcBorders>
                    <w:right w:val="single" w:color="000000" w:sz="2" w:space="0"/>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2" w:type="dxa"/>
                <w:trHeight w:val="369" w:hRule="atLeast"/>
                <w:jc w:val="center"/>
              </w:trPr>
              <w:tc>
                <w:tcPr>
                  <w:tcW w:w="2366" w:type="dxa"/>
                  <w:gridSpan w:val="2"/>
                  <w:tcBorders>
                    <w:left w:val="single" w:color="000000" w:sz="2" w:space="0"/>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耐张杆塔数量</w:t>
                  </w:r>
                </w:p>
              </w:tc>
              <w:tc>
                <w:tcPr>
                  <w:tcW w:w="2041"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11</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8</w:t>
                  </w:r>
                </w:p>
              </w:tc>
              <w:tc>
                <w:tcPr>
                  <w:tcW w:w="2159" w:type="dxa"/>
                  <w:gridSpan w:val="2"/>
                  <w:tcBorders>
                    <w:right w:val="single" w:color="000000" w:sz="2" w:space="0"/>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2" w:type="dxa"/>
                <w:trHeight w:val="369" w:hRule="atLeast"/>
                <w:jc w:val="center"/>
              </w:trPr>
              <w:tc>
                <w:tcPr>
                  <w:tcW w:w="2366" w:type="dxa"/>
                  <w:gridSpan w:val="2"/>
                  <w:tcBorders>
                    <w:left w:val="single" w:color="000000" w:sz="2" w:space="0"/>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耐张段平均长度（km/段）</w:t>
                  </w:r>
                </w:p>
              </w:tc>
              <w:tc>
                <w:tcPr>
                  <w:tcW w:w="2041"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0.51</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0.58</w:t>
                  </w:r>
                </w:p>
              </w:tc>
              <w:tc>
                <w:tcPr>
                  <w:tcW w:w="2159" w:type="dxa"/>
                  <w:gridSpan w:val="2"/>
                  <w:tcBorders>
                    <w:right w:val="single" w:color="000000" w:sz="2" w:space="0"/>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0.45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2" w:type="dxa"/>
                <w:trHeight w:val="369" w:hRule="atLeast"/>
                <w:jc w:val="center"/>
              </w:trPr>
              <w:tc>
                <w:tcPr>
                  <w:tcW w:w="2366" w:type="dxa"/>
                  <w:gridSpan w:val="2"/>
                  <w:tcBorders>
                    <w:left w:val="single" w:color="000000" w:sz="2" w:space="0"/>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途经行政区域（km）</w:t>
                  </w:r>
                </w:p>
              </w:tc>
              <w:tc>
                <w:tcPr>
                  <w:tcW w:w="2041"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龙城区5.1km</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龙城区4.6km</w:t>
                  </w:r>
                </w:p>
              </w:tc>
              <w:tc>
                <w:tcPr>
                  <w:tcW w:w="2159" w:type="dxa"/>
                  <w:gridSpan w:val="2"/>
                  <w:tcBorders>
                    <w:right w:val="single" w:color="000000" w:sz="2" w:space="0"/>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龙城区6.3km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2" w:type="dxa"/>
                <w:trHeight w:val="369" w:hRule="atLeast"/>
                <w:jc w:val="center"/>
              </w:trPr>
              <w:tc>
                <w:tcPr>
                  <w:tcW w:w="2366" w:type="dxa"/>
                  <w:gridSpan w:val="2"/>
                  <w:tcBorders>
                    <w:left w:val="single" w:color="000000" w:sz="2" w:space="0"/>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污秽等级</w:t>
                  </w:r>
                </w:p>
              </w:tc>
              <w:tc>
                <w:tcPr>
                  <w:tcW w:w="2041"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e</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e</w:t>
                  </w:r>
                </w:p>
              </w:tc>
              <w:tc>
                <w:tcPr>
                  <w:tcW w:w="2159" w:type="dxa"/>
                  <w:gridSpan w:val="2"/>
                  <w:tcBorders>
                    <w:right w:val="single" w:color="000000" w:sz="2" w:space="0"/>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2" w:type="dxa"/>
                <w:trHeight w:val="369" w:hRule="atLeast"/>
                <w:jc w:val="center"/>
              </w:trPr>
              <w:tc>
                <w:tcPr>
                  <w:tcW w:w="2366" w:type="dxa"/>
                  <w:gridSpan w:val="2"/>
                  <w:tcBorders>
                    <w:left w:val="single" w:color="000000" w:sz="2" w:space="0"/>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交通条件</w:t>
                  </w:r>
                </w:p>
              </w:tc>
              <w:tc>
                <w:tcPr>
                  <w:tcW w:w="2041"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一般</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较差</w:t>
                  </w:r>
                </w:p>
              </w:tc>
              <w:tc>
                <w:tcPr>
                  <w:tcW w:w="2159" w:type="dxa"/>
                  <w:gridSpan w:val="2"/>
                  <w:tcBorders>
                    <w:right w:val="single" w:color="000000" w:sz="2" w:space="0"/>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较差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2" w:type="dxa"/>
                <w:trHeight w:val="369" w:hRule="atLeast"/>
                <w:jc w:val="center"/>
              </w:trPr>
              <w:tc>
                <w:tcPr>
                  <w:tcW w:w="2366" w:type="dxa"/>
                  <w:gridSpan w:val="2"/>
                  <w:tcBorders>
                    <w:left w:val="single" w:color="000000" w:sz="2" w:space="0"/>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房屋拆迁（m2）</w:t>
                  </w:r>
                </w:p>
              </w:tc>
              <w:tc>
                <w:tcPr>
                  <w:tcW w:w="2041"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0</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0</w:t>
                  </w:r>
                </w:p>
              </w:tc>
              <w:tc>
                <w:tcPr>
                  <w:tcW w:w="2159" w:type="dxa"/>
                  <w:gridSpan w:val="2"/>
                  <w:tcBorders>
                    <w:right w:val="single" w:color="000000" w:sz="2" w:space="0"/>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2" w:type="dxa"/>
                <w:trHeight w:val="369" w:hRule="atLeast"/>
                <w:jc w:val="center"/>
              </w:trPr>
              <w:tc>
                <w:tcPr>
                  <w:tcW w:w="2366" w:type="dxa"/>
                  <w:gridSpan w:val="2"/>
                  <w:tcBorders>
                    <w:left w:val="single" w:color="000000" w:sz="2" w:space="0"/>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成片林累计长度（km）</w:t>
                  </w:r>
                </w:p>
              </w:tc>
              <w:tc>
                <w:tcPr>
                  <w:tcW w:w="2041"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1.4</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1.2</w:t>
                  </w:r>
                </w:p>
              </w:tc>
              <w:tc>
                <w:tcPr>
                  <w:tcW w:w="2159" w:type="dxa"/>
                  <w:gridSpan w:val="2"/>
                  <w:tcBorders>
                    <w:right w:val="single" w:color="000000" w:sz="2" w:space="0"/>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2" w:type="dxa"/>
                <w:trHeight w:val="369" w:hRule="atLeast"/>
                <w:jc w:val="center"/>
              </w:trPr>
              <w:tc>
                <w:tcPr>
                  <w:tcW w:w="746" w:type="dxa"/>
                  <w:vMerge w:val="restart"/>
                  <w:tcBorders>
                    <w:left w:val="single" w:color="000000" w:sz="2" w:space="0"/>
                    <w:bottom w:val="nil"/>
                  </w:tcBorders>
                  <w:textDirection w:val="tbRlV"/>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重要交叉跨越</w:t>
                  </w:r>
                </w:p>
              </w:tc>
              <w:tc>
                <w:tcPr>
                  <w:tcW w:w="1620"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500千伏线路（钻）</w:t>
                  </w:r>
                </w:p>
              </w:tc>
              <w:tc>
                <w:tcPr>
                  <w:tcW w:w="2041"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1</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1</w:t>
                  </w:r>
                </w:p>
              </w:tc>
              <w:tc>
                <w:tcPr>
                  <w:tcW w:w="2159" w:type="dxa"/>
                  <w:gridSpan w:val="2"/>
                  <w:tcBorders>
                    <w:right w:val="single" w:color="000000" w:sz="2" w:space="0"/>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2" w:type="dxa"/>
                <w:trHeight w:val="369" w:hRule="atLeast"/>
                <w:jc w:val="center"/>
              </w:trPr>
              <w:tc>
                <w:tcPr>
                  <w:tcW w:w="746" w:type="dxa"/>
                  <w:vMerge w:val="continue"/>
                  <w:tcBorders>
                    <w:top w:val="nil"/>
                    <w:left w:val="single" w:color="000000" w:sz="2" w:space="0"/>
                    <w:bottom w:val="nil"/>
                  </w:tcBorders>
                  <w:textDirection w:val="tbRlV"/>
                  <w:vAlign w:val="center"/>
                </w:tcPr>
                <w:p>
                  <w:pPr>
                    <w:jc w:val="center"/>
                    <w:rPr>
                      <w:rFonts w:hint="default" w:ascii="Times New Roman" w:hAnsi="Times New Roman" w:eastAsia="宋体" w:cs="Times New Roman"/>
                      <w:spacing w:val="7"/>
                      <w:kern w:val="2"/>
                      <w:sz w:val="21"/>
                      <w:szCs w:val="21"/>
                      <w:lang w:val="en-US" w:eastAsia="en-US" w:bidi="ar-SA"/>
                    </w:rPr>
                  </w:pPr>
                </w:p>
              </w:tc>
              <w:tc>
                <w:tcPr>
                  <w:tcW w:w="1620" w:type="dxa"/>
                  <w:vAlign w:val="center"/>
                </w:tcPr>
                <w:p>
                  <w:pPr>
                    <w:pStyle w:val="38"/>
                    <w:keepNext w:val="0"/>
                    <w:keepLines w:val="0"/>
                    <w:pageBreakBefore w:val="0"/>
                    <w:widowControl w:val="0"/>
                    <w:kinsoku/>
                    <w:wordWrap/>
                    <w:overflowPunct/>
                    <w:topLinePunct w:val="0"/>
                    <w:autoSpaceDE/>
                    <w:autoSpaceDN/>
                    <w:bidi w:val="0"/>
                    <w:adjustRightInd/>
                    <w:snapToGrid/>
                    <w:spacing w:line="257" w:lineRule="auto"/>
                    <w:ind w:left="484" w:right="182" w:hanging="295"/>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220千伏线路（钻）</w:t>
                  </w:r>
                </w:p>
              </w:tc>
              <w:tc>
                <w:tcPr>
                  <w:tcW w:w="2041"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1</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2</w:t>
                  </w:r>
                </w:p>
              </w:tc>
              <w:tc>
                <w:tcPr>
                  <w:tcW w:w="2159" w:type="dxa"/>
                  <w:gridSpan w:val="2"/>
                  <w:tcBorders>
                    <w:right w:val="single" w:color="000000" w:sz="2" w:space="0"/>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2" w:type="dxa"/>
                <w:trHeight w:val="369" w:hRule="atLeast"/>
                <w:jc w:val="center"/>
              </w:trPr>
              <w:tc>
                <w:tcPr>
                  <w:tcW w:w="746" w:type="dxa"/>
                  <w:vMerge w:val="continue"/>
                  <w:tcBorders>
                    <w:top w:val="nil"/>
                    <w:left w:val="single" w:color="000000" w:sz="2" w:space="0"/>
                    <w:bottom w:val="nil"/>
                  </w:tcBorders>
                  <w:textDirection w:val="tbRlV"/>
                  <w:vAlign w:val="center"/>
                </w:tcPr>
                <w:p>
                  <w:pPr>
                    <w:jc w:val="center"/>
                    <w:rPr>
                      <w:rFonts w:hint="default" w:ascii="Times New Roman" w:hAnsi="Times New Roman" w:eastAsia="宋体" w:cs="Times New Roman"/>
                      <w:spacing w:val="7"/>
                      <w:kern w:val="2"/>
                      <w:sz w:val="21"/>
                      <w:szCs w:val="21"/>
                      <w:lang w:val="en-US" w:eastAsia="en-US" w:bidi="ar-SA"/>
                    </w:rPr>
                  </w:pPr>
                </w:p>
              </w:tc>
              <w:tc>
                <w:tcPr>
                  <w:tcW w:w="1620" w:type="dxa"/>
                  <w:vAlign w:val="center"/>
                </w:tcPr>
                <w:p>
                  <w:pPr>
                    <w:pStyle w:val="38"/>
                    <w:keepNext w:val="0"/>
                    <w:keepLines w:val="0"/>
                    <w:pageBreakBefore w:val="0"/>
                    <w:widowControl w:val="0"/>
                    <w:kinsoku/>
                    <w:wordWrap/>
                    <w:overflowPunct/>
                    <w:topLinePunct w:val="0"/>
                    <w:autoSpaceDE/>
                    <w:autoSpaceDN/>
                    <w:bidi w:val="0"/>
                    <w:adjustRightInd/>
                    <w:snapToGrid/>
                    <w:spacing w:line="257" w:lineRule="auto"/>
                    <w:ind w:left="484" w:right="182" w:hanging="295"/>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220千伏线路（跨）</w:t>
                  </w:r>
                </w:p>
              </w:tc>
              <w:tc>
                <w:tcPr>
                  <w:tcW w:w="2041"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1</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0</w:t>
                  </w:r>
                </w:p>
              </w:tc>
              <w:tc>
                <w:tcPr>
                  <w:tcW w:w="2159" w:type="dxa"/>
                  <w:gridSpan w:val="2"/>
                  <w:tcBorders>
                    <w:right w:val="single" w:color="000000" w:sz="2" w:space="0"/>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2" w:type="dxa"/>
                <w:trHeight w:val="369" w:hRule="atLeast"/>
                <w:jc w:val="center"/>
              </w:trPr>
              <w:tc>
                <w:tcPr>
                  <w:tcW w:w="746" w:type="dxa"/>
                  <w:vMerge w:val="continue"/>
                  <w:tcBorders>
                    <w:top w:val="nil"/>
                    <w:left w:val="single" w:color="000000" w:sz="2" w:space="0"/>
                    <w:bottom w:val="nil"/>
                  </w:tcBorders>
                  <w:textDirection w:val="tbRlV"/>
                  <w:vAlign w:val="center"/>
                </w:tcPr>
                <w:p>
                  <w:pPr>
                    <w:jc w:val="center"/>
                    <w:rPr>
                      <w:rFonts w:hint="default" w:ascii="Times New Roman" w:hAnsi="Times New Roman" w:eastAsia="宋体" w:cs="Times New Roman"/>
                      <w:spacing w:val="7"/>
                      <w:kern w:val="2"/>
                      <w:sz w:val="21"/>
                      <w:szCs w:val="21"/>
                      <w:lang w:val="en-US" w:eastAsia="en-US" w:bidi="ar-SA"/>
                    </w:rPr>
                  </w:pPr>
                </w:p>
              </w:tc>
              <w:tc>
                <w:tcPr>
                  <w:tcW w:w="1620" w:type="dxa"/>
                  <w:vAlign w:val="center"/>
                </w:tcPr>
                <w:p>
                  <w:pPr>
                    <w:pStyle w:val="38"/>
                    <w:keepNext w:val="0"/>
                    <w:keepLines w:val="0"/>
                    <w:pageBreakBefore w:val="0"/>
                    <w:widowControl w:val="0"/>
                    <w:kinsoku/>
                    <w:wordWrap/>
                    <w:overflowPunct/>
                    <w:topLinePunct w:val="0"/>
                    <w:autoSpaceDE/>
                    <w:autoSpaceDN/>
                    <w:bidi w:val="0"/>
                    <w:adjustRightInd/>
                    <w:snapToGrid/>
                    <w:spacing w:line="227"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66千伏线路</w:t>
                  </w:r>
                </w:p>
              </w:tc>
              <w:tc>
                <w:tcPr>
                  <w:tcW w:w="2041"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2</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2</w:t>
                  </w:r>
                </w:p>
              </w:tc>
              <w:tc>
                <w:tcPr>
                  <w:tcW w:w="2159" w:type="dxa"/>
                  <w:gridSpan w:val="2"/>
                  <w:tcBorders>
                    <w:right w:val="single" w:color="000000" w:sz="2" w:space="0"/>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2" w:type="dxa"/>
                <w:trHeight w:val="369" w:hRule="atLeast"/>
                <w:jc w:val="center"/>
              </w:trPr>
              <w:tc>
                <w:tcPr>
                  <w:tcW w:w="746" w:type="dxa"/>
                  <w:vMerge w:val="continue"/>
                  <w:tcBorders>
                    <w:top w:val="nil"/>
                    <w:left w:val="single" w:color="000000" w:sz="2" w:space="0"/>
                    <w:bottom w:val="nil"/>
                  </w:tcBorders>
                  <w:textDirection w:val="tbRlV"/>
                  <w:vAlign w:val="center"/>
                </w:tcPr>
                <w:p>
                  <w:pPr>
                    <w:jc w:val="center"/>
                    <w:rPr>
                      <w:rFonts w:hint="default" w:ascii="Times New Roman" w:hAnsi="Times New Roman" w:eastAsia="宋体" w:cs="Times New Roman"/>
                      <w:spacing w:val="7"/>
                      <w:kern w:val="2"/>
                      <w:sz w:val="21"/>
                      <w:szCs w:val="21"/>
                      <w:lang w:val="en-US" w:eastAsia="en-US" w:bidi="ar-SA"/>
                    </w:rPr>
                  </w:pPr>
                </w:p>
              </w:tc>
              <w:tc>
                <w:tcPr>
                  <w:tcW w:w="1620" w:type="dxa"/>
                  <w:vAlign w:val="center"/>
                </w:tcPr>
                <w:p>
                  <w:pPr>
                    <w:pStyle w:val="38"/>
                    <w:keepNext w:val="0"/>
                    <w:keepLines w:val="0"/>
                    <w:pageBreakBefore w:val="0"/>
                    <w:widowControl w:val="0"/>
                    <w:kinsoku/>
                    <w:wordWrap/>
                    <w:overflowPunct/>
                    <w:topLinePunct w:val="0"/>
                    <w:autoSpaceDE/>
                    <w:autoSpaceDN/>
                    <w:bidi w:val="0"/>
                    <w:adjustRightInd/>
                    <w:snapToGrid/>
                    <w:spacing w:line="227"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10千伏线路</w:t>
                  </w:r>
                </w:p>
              </w:tc>
              <w:tc>
                <w:tcPr>
                  <w:tcW w:w="2041"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6</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8</w:t>
                  </w:r>
                </w:p>
              </w:tc>
              <w:tc>
                <w:tcPr>
                  <w:tcW w:w="2159" w:type="dxa"/>
                  <w:gridSpan w:val="2"/>
                  <w:tcBorders>
                    <w:right w:val="single" w:color="000000" w:sz="2" w:space="0"/>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2" w:type="dxa"/>
                <w:trHeight w:val="369" w:hRule="atLeast"/>
                <w:jc w:val="center"/>
              </w:trPr>
              <w:tc>
                <w:tcPr>
                  <w:tcW w:w="746" w:type="dxa"/>
                  <w:vMerge w:val="continue"/>
                  <w:tcBorders>
                    <w:top w:val="nil"/>
                    <w:left w:val="single" w:color="000000" w:sz="2" w:space="0"/>
                    <w:bottom w:val="nil"/>
                  </w:tcBorders>
                  <w:textDirection w:val="tbRlV"/>
                  <w:vAlign w:val="center"/>
                </w:tcPr>
                <w:p>
                  <w:pPr>
                    <w:jc w:val="center"/>
                    <w:rPr>
                      <w:rFonts w:hint="default" w:ascii="Times New Roman" w:hAnsi="Times New Roman" w:eastAsia="宋体" w:cs="Times New Roman"/>
                      <w:spacing w:val="7"/>
                      <w:kern w:val="2"/>
                      <w:sz w:val="21"/>
                      <w:szCs w:val="21"/>
                      <w:lang w:val="en-US" w:eastAsia="en-US" w:bidi="ar-SA"/>
                    </w:rPr>
                  </w:pPr>
                </w:p>
              </w:tc>
              <w:tc>
                <w:tcPr>
                  <w:tcW w:w="1620" w:type="dxa"/>
                  <w:vAlign w:val="center"/>
                </w:tcPr>
                <w:p>
                  <w:pPr>
                    <w:pStyle w:val="38"/>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低压线路</w:t>
                  </w:r>
                </w:p>
              </w:tc>
              <w:tc>
                <w:tcPr>
                  <w:tcW w:w="2041"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1</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2</w:t>
                  </w:r>
                </w:p>
              </w:tc>
              <w:tc>
                <w:tcPr>
                  <w:tcW w:w="2159" w:type="dxa"/>
                  <w:gridSpan w:val="2"/>
                  <w:tcBorders>
                    <w:right w:val="single" w:color="000000" w:sz="2" w:space="0"/>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2" w:type="dxa"/>
                <w:trHeight w:val="369" w:hRule="atLeast"/>
                <w:jc w:val="center"/>
              </w:trPr>
              <w:tc>
                <w:tcPr>
                  <w:tcW w:w="746" w:type="dxa"/>
                  <w:vMerge w:val="continue"/>
                  <w:tcBorders>
                    <w:top w:val="nil"/>
                    <w:left w:val="single" w:color="000000" w:sz="2" w:space="0"/>
                    <w:bottom w:val="nil"/>
                  </w:tcBorders>
                  <w:textDirection w:val="tbRlV"/>
                  <w:vAlign w:val="center"/>
                </w:tcPr>
                <w:p>
                  <w:pPr>
                    <w:jc w:val="center"/>
                    <w:rPr>
                      <w:rFonts w:hint="default" w:ascii="Times New Roman" w:hAnsi="Times New Roman" w:eastAsia="宋体" w:cs="Times New Roman"/>
                      <w:spacing w:val="7"/>
                      <w:kern w:val="2"/>
                      <w:sz w:val="21"/>
                      <w:szCs w:val="21"/>
                      <w:lang w:val="en-US" w:eastAsia="en-US" w:bidi="ar-SA"/>
                    </w:rPr>
                  </w:pPr>
                </w:p>
              </w:tc>
              <w:tc>
                <w:tcPr>
                  <w:tcW w:w="1620" w:type="dxa"/>
                  <w:vAlign w:val="center"/>
                </w:tcPr>
                <w:p>
                  <w:pPr>
                    <w:pStyle w:val="38"/>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通讯线</w:t>
                  </w:r>
                </w:p>
              </w:tc>
              <w:tc>
                <w:tcPr>
                  <w:tcW w:w="2041"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10</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14</w:t>
                  </w:r>
                </w:p>
              </w:tc>
              <w:tc>
                <w:tcPr>
                  <w:tcW w:w="2159" w:type="dxa"/>
                  <w:gridSpan w:val="2"/>
                  <w:tcBorders>
                    <w:right w:val="single" w:color="000000" w:sz="2" w:space="0"/>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2" w:type="dxa"/>
                <w:trHeight w:val="369" w:hRule="atLeast"/>
                <w:jc w:val="center"/>
              </w:trPr>
              <w:tc>
                <w:tcPr>
                  <w:tcW w:w="746" w:type="dxa"/>
                  <w:vMerge w:val="continue"/>
                  <w:tcBorders>
                    <w:top w:val="nil"/>
                    <w:left w:val="single" w:color="000000" w:sz="2" w:space="0"/>
                    <w:bottom w:val="nil"/>
                  </w:tcBorders>
                  <w:textDirection w:val="tbRlV"/>
                  <w:vAlign w:val="center"/>
                </w:tcPr>
                <w:p>
                  <w:pPr>
                    <w:jc w:val="center"/>
                    <w:rPr>
                      <w:rFonts w:hint="default" w:ascii="Times New Roman" w:hAnsi="Times New Roman" w:eastAsia="宋体" w:cs="Times New Roman"/>
                      <w:spacing w:val="7"/>
                      <w:kern w:val="2"/>
                      <w:sz w:val="21"/>
                      <w:szCs w:val="21"/>
                      <w:lang w:val="en-US" w:eastAsia="en-US" w:bidi="ar-SA"/>
                    </w:rPr>
                  </w:pPr>
                </w:p>
              </w:tc>
              <w:tc>
                <w:tcPr>
                  <w:tcW w:w="1620" w:type="dxa"/>
                  <w:vAlign w:val="center"/>
                </w:tcPr>
                <w:p>
                  <w:pPr>
                    <w:pStyle w:val="38"/>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普通公路</w:t>
                  </w:r>
                </w:p>
              </w:tc>
              <w:tc>
                <w:tcPr>
                  <w:tcW w:w="2041"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7</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8</w:t>
                  </w:r>
                </w:p>
              </w:tc>
              <w:tc>
                <w:tcPr>
                  <w:tcW w:w="2159" w:type="dxa"/>
                  <w:gridSpan w:val="2"/>
                  <w:tcBorders>
                    <w:right w:val="single" w:color="000000" w:sz="2" w:space="0"/>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2" w:type="dxa"/>
                <w:trHeight w:val="369" w:hRule="atLeast"/>
                <w:jc w:val="center"/>
              </w:trPr>
              <w:tc>
                <w:tcPr>
                  <w:tcW w:w="746" w:type="dxa"/>
                  <w:vMerge w:val="continue"/>
                  <w:tcBorders>
                    <w:top w:val="nil"/>
                    <w:left w:val="single" w:color="000000" w:sz="2" w:space="0"/>
                    <w:bottom w:val="nil"/>
                  </w:tcBorders>
                  <w:textDirection w:val="tbRlV"/>
                  <w:vAlign w:val="center"/>
                </w:tcPr>
                <w:p>
                  <w:pPr>
                    <w:jc w:val="center"/>
                    <w:rPr>
                      <w:rFonts w:hint="default" w:ascii="Times New Roman" w:hAnsi="Times New Roman" w:eastAsia="宋体" w:cs="Times New Roman"/>
                      <w:spacing w:val="7"/>
                      <w:kern w:val="2"/>
                      <w:sz w:val="21"/>
                      <w:szCs w:val="21"/>
                      <w:lang w:val="en-US" w:eastAsia="en-US" w:bidi="ar-SA"/>
                    </w:rPr>
                  </w:pPr>
                </w:p>
              </w:tc>
              <w:tc>
                <w:tcPr>
                  <w:tcW w:w="1620" w:type="dxa"/>
                  <w:vAlign w:val="center"/>
                </w:tcPr>
                <w:p>
                  <w:pPr>
                    <w:pStyle w:val="38"/>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等级公路</w:t>
                  </w:r>
                </w:p>
              </w:tc>
              <w:tc>
                <w:tcPr>
                  <w:tcW w:w="2041"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2</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1</w:t>
                  </w:r>
                </w:p>
              </w:tc>
              <w:tc>
                <w:tcPr>
                  <w:tcW w:w="2159" w:type="dxa"/>
                  <w:gridSpan w:val="2"/>
                  <w:tcBorders>
                    <w:right w:val="single" w:color="000000" w:sz="2" w:space="0"/>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2" w:type="dxa"/>
                <w:trHeight w:val="369" w:hRule="atLeast"/>
                <w:jc w:val="center"/>
              </w:trPr>
              <w:tc>
                <w:tcPr>
                  <w:tcW w:w="746" w:type="dxa"/>
                  <w:vMerge w:val="continue"/>
                  <w:tcBorders>
                    <w:top w:val="nil"/>
                    <w:left w:val="single" w:color="000000" w:sz="2" w:space="0"/>
                    <w:bottom w:val="nil"/>
                  </w:tcBorders>
                  <w:textDirection w:val="tbRlV"/>
                  <w:vAlign w:val="center"/>
                </w:tcPr>
                <w:p>
                  <w:pPr>
                    <w:jc w:val="center"/>
                    <w:rPr>
                      <w:rFonts w:hint="default" w:ascii="Times New Roman" w:hAnsi="Times New Roman" w:eastAsia="宋体" w:cs="Times New Roman"/>
                      <w:spacing w:val="7"/>
                      <w:kern w:val="2"/>
                      <w:sz w:val="21"/>
                      <w:szCs w:val="21"/>
                      <w:lang w:val="en-US" w:eastAsia="en-US" w:bidi="ar-SA"/>
                    </w:rPr>
                  </w:pPr>
                </w:p>
              </w:tc>
              <w:tc>
                <w:tcPr>
                  <w:tcW w:w="1620" w:type="dxa"/>
                  <w:vAlign w:val="center"/>
                </w:tcPr>
                <w:p>
                  <w:pPr>
                    <w:pStyle w:val="38"/>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高速公路</w:t>
                  </w:r>
                </w:p>
              </w:tc>
              <w:tc>
                <w:tcPr>
                  <w:tcW w:w="2041"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1</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1</w:t>
                  </w:r>
                </w:p>
              </w:tc>
              <w:tc>
                <w:tcPr>
                  <w:tcW w:w="2159" w:type="dxa"/>
                  <w:gridSpan w:val="2"/>
                  <w:tcBorders>
                    <w:right w:val="single" w:color="000000" w:sz="2" w:space="0"/>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Before w:val="1"/>
                <w:wBefore w:w="2" w:type="dxa"/>
                <w:trHeight w:val="369" w:hRule="atLeast"/>
                <w:jc w:val="center"/>
              </w:trPr>
              <w:tc>
                <w:tcPr>
                  <w:tcW w:w="746" w:type="dxa"/>
                  <w:vMerge w:val="continue"/>
                  <w:tcBorders>
                    <w:top w:val="nil"/>
                    <w:left w:val="single" w:color="000000" w:sz="2" w:space="0"/>
                    <w:bottom w:val="nil"/>
                  </w:tcBorders>
                  <w:textDirection w:val="tbRlV"/>
                  <w:vAlign w:val="center"/>
                </w:tcPr>
                <w:p>
                  <w:pPr>
                    <w:jc w:val="center"/>
                    <w:rPr>
                      <w:rFonts w:hint="default" w:ascii="Times New Roman" w:hAnsi="Times New Roman" w:eastAsia="宋体" w:cs="Times New Roman"/>
                      <w:spacing w:val="7"/>
                      <w:kern w:val="2"/>
                      <w:sz w:val="21"/>
                      <w:szCs w:val="21"/>
                      <w:lang w:val="en-US" w:eastAsia="en-US" w:bidi="ar-SA"/>
                    </w:rPr>
                  </w:pPr>
                </w:p>
              </w:tc>
              <w:tc>
                <w:tcPr>
                  <w:tcW w:w="1620" w:type="dxa"/>
                  <w:vAlign w:val="center"/>
                </w:tcPr>
                <w:p>
                  <w:pPr>
                    <w:pStyle w:val="38"/>
                    <w:keepNext w:val="0"/>
                    <w:keepLines w:val="0"/>
                    <w:pageBreakBefore w:val="0"/>
                    <w:widowControl w:val="0"/>
                    <w:kinsoku/>
                    <w:wordWrap/>
                    <w:overflowPunct/>
                    <w:topLinePunct w:val="0"/>
                    <w:autoSpaceDE/>
                    <w:autoSpaceDN/>
                    <w:bidi w:val="0"/>
                    <w:adjustRightInd/>
                    <w:snapToGrid/>
                    <w:spacing w:line="23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河流</w:t>
                  </w:r>
                </w:p>
              </w:tc>
              <w:tc>
                <w:tcPr>
                  <w:tcW w:w="2041"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2</w:t>
                  </w:r>
                </w:p>
              </w:tc>
              <w:tc>
                <w:tcPr>
                  <w:tcW w:w="2153"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2</w:t>
                  </w:r>
                </w:p>
              </w:tc>
              <w:tc>
                <w:tcPr>
                  <w:tcW w:w="2159" w:type="dxa"/>
                  <w:gridSpan w:val="2"/>
                  <w:tcBorders>
                    <w:right w:val="single" w:color="000000" w:sz="2" w:space="0"/>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spacing w:val="7"/>
                      <w:kern w:val="2"/>
                      <w:sz w:val="21"/>
                      <w:szCs w:val="21"/>
                      <w:lang w:val="en-US" w:eastAsia="en-US" w:bidi="ar-SA"/>
                    </w:rPr>
                  </w:pPr>
                  <w:r>
                    <w:rPr>
                      <w:rFonts w:hint="default" w:ascii="Times New Roman" w:hAnsi="Times New Roman" w:eastAsia="宋体" w:cs="Times New Roman"/>
                      <w:spacing w:val="7"/>
                      <w:kern w:val="2"/>
                      <w:sz w:val="21"/>
                      <w:szCs w:val="21"/>
                      <w:lang w:val="en-US" w:eastAsia="en-US" w:bidi="ar-SA"/>
                    </w:rPr>
                    <w:t>2</w:t>
                  </w:r>
                </w:p>
              </w:tc>
            </w:tr>
          </w:tbl>
          <w:p>
            <w:pPr>
              <w:keepNext w:val="0"/>
              <w:keepLines w:val="0"/>
              <w:pageBreakBefore w:val="0"/>
              <w:widowControl w:val="0"/>
              <w:kinsoku/>
              <w:wordWrap/>
              <w:overflowPunct/>
              <w:topLinePunct w:val="0"/>
              <w:autoSpaceDE/>
              <w:autoSpaceDN/>
              <w:bidi w:val="0"/>
              <w:adjustRightInd/>
              <w:snapToGrid/>
              <w:spacing w:line="240" w:lineRule="auto"/>
              <w:ind w:left="0" w:right="0" w:firstLine="466" w:firstLineChars="200"/>
              <w:jc w:val="center"/>
              <w:textAlignment w:val="auto"/>
              <w:rPr>
                <w:rFonts w:hint="default" w:ascii="宋体" w:hAnsi="宋体" w:eastAsia="宋体" w:cs="宋体"/>
                <w:b/>
                <w:bCs/>
                <w:spacing w:val="-4"/>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right="0" w:firstLine="474" w:firstLineChars="200"/>
              <w:textAlignment w:val="auto"/>
              <w:rPr>
                <w:rFonts w:hint="default" w:ascii="Times New Roman" w:hAnsi="Times New Roman" w:eastAsia="宋体" w:cs="Times New Roman"/>
                <w:b/>
                <w:bCs/>
                <w:color w:val="auto"/>
                <w:spacing w:val="-2"/>
                <w:sz w:val="24"/>
                <w:szCs w:val="24"/>
                <w:lang w:val="en-US" w:eastAsia="zh-CN"/>
              </w:rPr>
            </w:pPr>
            <w:r>
              <w:rPr>
                <w:rFonts w:hint="eastAsia" w:ascii="Times New Roman" w:hAnsi="Times New Roman" w:eastAsia="宋体" w:cs="Times New Roman"/>
                <w:b/>
                <w:bCs/>
                <w:color w:val="auto"/>
                <w:spacing w:val="-2"/>
                <w:sz w:val="24"/>
                <w:szCs w:val="24"/>
                <w:lang w:val="en-US" w:eastAsia="zh-CN"/>
              </w:rPr>
              <w:t>2</w:t>
            </w:r>
            <w:r>
              <w:rPr>
                <w:rFonts w:hint="default" w:ascii="Times New Roman" w:hAnsi="Times New Roman" w:eastAsia="宋体" w:cs="Times New Roman"/>
                <w:b/>
                <w:bCs/>
                <w:color w:val="auto"/>
                <w:spacing w:val="-2"/>
                <w:sz w:val="24"/>
                <w:szCs w:val="24"/>
                <w:lang w:val="en-US" w:eastAsia="zh-CN"/>
              </w:rPr>
              <w:t>、</w:t>
            </w:r>
            <w:r>
              <w:rPr>
                <w:rFonts w:hint="eastAsia" w:ascii="Times New Roman" w:hAnsi="Times New Roman" w:eastAsia="宋体" w:cs="Times New Roman"/>
                <w:b/>
                <w:bCs/>
                <w:color w:val="auto"/>
                <w:spacing w:val="-2"/>
                <w:sz w:val="24"/>
                <w:szCs w:val="24"/>
                <w:lang w:val="en-US" w:eastAsia="zh-CN"/>
              </w:rPr>
              <w:t>方案比选</w:t>
            </w:r>
          </w:p>
          <w:p>
            <w:pPr>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default" w:ascii="Times New Roman" w:hAnsi="Times New Roman" w:eastAsia="宋体" w:cs="Times New Roman"/>
                <w:spacing w:val="-4"/>
                <w:sz w:val="24"/>
                <w:szCs w:val="24"/>
              </w:rPr>
            </w:pPr>
            <w:r>
              <w:rPr>
                <w:rFonts w:hint="eastAsia" w:ascii="Times New Roman" w:hAnsi="Times New Roman" w:eastAsia="宋体" w:cs="Times New Roman"/>
                <w:spacing w:val="-4"/>
                <w:sz w:val="24"/>
                <w:szCs w:val="24"/>
                <w:lang w:val="en-US" w:eastAsia="zh-CN"/>
              </w:rPr>
              <w:t>（1）</w:t>
            </w:r>
            <w:r>
              <w:rPr>
                <w:rFonts w:hint="default" w:ascii="Times New Roman" w:hAnsi="Times New Roman" w:eastAsia="宋体" w:cs="Times New Roman"/>
                <w:spacing w:val="-4"/>
                <w:sz w:val="24"/>
                <w:szCs w:val="24"/>
                <w:lang w:val="en-US" w:eastAsia="zh-CN"/>
              </w:rPr>
              <w:t>从施工及运行维护条件来看，方案二线路最短、塔基数偏少，但线路丘陵占比偏高、沿线交通条件差，进场物料运输受限，塔位多坐落于坡地，基坑浇筑、杆塔组立施工难度大，后期线路巡检需绕行偏远路段，日常运维出行成本与检修难度偏高；方案三全线里程最长、曲折系数最大、杆塔及转角数量最多，线路走向迂回杂乱，山地占比最高，施工点位分散零散，全线施工组织统筹困难，耐张段偏短、接头点位多，投运后故障隐患点位多，常年巡检工作量大、运维投入居高不下；方案一平地段占比 55%，地形平整开阔，沿线交通条件最优，可充分利用现有道路开展施工运输，塔基施工机械化作业便利，施工布设集中规整，虽线路长度、杆塔数量略高于方案二，但线路走向平顺，巡检通道通达性好，后期故障排查、日常养护便捷，全周期施工与运维管控条件最优。</w:t>
            </w:r>
          </w:p>
          <w:p>
            <w:pPr>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default" w:ascii="Times New Roman" w:hAnsi="Times New Roman" w:eastAsia="宋体" w:cs="Times New Roman"/>
                <w:spacing w:val="-4"/>
                <w:sz w:val="24"/>
                <w:szCs w:val="24"/>
              </w:rPr>
            </w:pPr>
            <w:r>
              <w:rPr>
                <w:rFonts w:hint="eastAsia" w:ascii="Times New Roman" w:hAnsi="Times New Roman" w:eastAsia="宋体" w:cs="Times New Roman"/>
                <w:spacing w:val="-4"/>
                <w:sz w:val="24"/>
                <w:szCs w:val="24"/>
                <w:lang w:val="en-US" w:eastAsia="zh-CN"/>
              </w:rPr>
              <w:t>（2）</w:t>
            </w:r>
            <w:r>
              <w:rPr>
                <w:rFonts w:hint="default" w:ascii="Times New Roman" w:hAnsi="Times New Roman" w:eastAsia="宋体" w:cs="Times New Roman"/>
                <w:spacing w:val="-4"/>
                <w:sz w:val="24"/>
                <w:szCs w:val="24"/>
                <w:lang w:val="en-US" w:eastAsia="zh-CN"/>
              </w:rPr>
              <w:t>从环境保护角度对比，方案二丘陵坡面占比大，施工开挖易破坏原有坡面结构，水土流失风险突出，因交通不便需新增大量临时施工便道，大面积损毁地表植被，采伐林木含槐树乡土树种，杨木、松木采伐面积大于方案一，成片林地穿越长度虽略短但林地审批受限突出，多处跨路跨线进一步扩大施工扬尘、噪声影响范围；方案三环保弊端最为突出，线路最长、山地占比最高、成片林区穿越距离最远，同时存在槐树采伐，土地扰动、原生植被损毁在三个方案</w:t>
            </w:r>
            <w:r>
              <w:rPr>
                <w:rFonts w:hint="eastAsia" w:ascii="Times New Roman" w:hAnsi="Times New Roman" w:eastAsia="宋体" w:cs="Times New Roman"/>
                <w:spacing w:val="-4"/>
                <w:sz w:val="24"/>
                <w:szCs w:val="24"/>
                <w:lang w:val="en-US" w:eastAsia="zh-CN"/>
              </w:rPr>
              <w:t>中</w:t>
            </w:r>
            <w:r>
              <w:rPr>
                <w:rFonts w:hint="default" w:ascii="Times New Roman" w:hAnsi="Times New Roman" w:eastAsia="宋体" w:cs="Times New Roman"/>
                <w:spacing w:val="-4"/>
                <w:sz w:val="24"/>
                <w:szCs w:val="24"/>
                <w:lang w:val="en-US" w:eastAsia="zh-CN"/>
              </w:rPr>
              <w:t>最为严重，杆塔布设密集进一步加大永久占地与生态割裂程度，大范围施工作业带来的水土流失、施工噪声扬尘影响范围最大，生态修复费用高；方案一无槐树采伐，仅少量杨树、松树及零星杏树，林地占用结构简单、林业审批阻力小，平地占比高有效削减土石方开挖量与水土流失隐患，依托既有道路大幅减少临时便道开挖，加之全线交叉跨越点位最少，施工作业面紧凑，施工期扬尘、噪声对周边环境扰动最小，运行阶段无新增生态破坏隐患，环境影响整体可控。</w:t>
            </w:r>
          </w:p>
          <w:p>
            <w:pPr>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default" w:ascii="Times New Roman" w:hAnsi="Times New Roman" w:eastAsia="宋体" w:cs="Times New Roman"/>
                <w:spacing w:val="-4"/>
                <w:sz w:val="24"/>
                <w:szCs w:val="24"/>
              </w:rPr>
            </w:pPr>
            <w:r>
              <w:rPr>
                <w:rFonts w:hint="eastAsia" w:ascii="Times New Roman" w:hAnsi="Times New Roman" w:eastAsia="宋体" w:cs="Times New Roman"/>
                <w:spacing w:val="-4"/>
                <w:sz w:val="24"/>
                <w:szCs w:val="24"/>
                <w:lang w:val="en-US" w:eastAsia="zh-CN"/>
              </w:rPr>
              <w:t>（3）</w:t>
            </w:r>
            <w:r>
              <w:rPr>
                <w:rFonts w:hint="default" w:ascii="Times New Roman" w:hAnsi="Times New Roman" w:eastAsia="宋体" w:cs="Times New Roman"/>
                <w:spacing w:val="-4"/>
                <w:sz w:val="24"/>
                <w:szCs w:val="24"/>
                <w:lang w:val="en-US" w:eastAsia="zh-CN"/>
              </w:rPr>
              <w:t>从工程投资经济性分析，方案二表面线路短、塔量少看似造价偏低，但受丘陵地形、恶劣交通制约，土石方、边坡防护、临时便道、林地补偿等配套费用大幅上浮，叠加林木审批带来的额外补偿成本，实际综合造价优势被抵消；方案三线路里程最长、杆塔数量最多、山地施工单价更高，林地征用面积大、各类配套环保治理投入最高，整体工程造价在三者中处于高位；方案一虽线路长度和杆塔指标不及方案二，但地形平整大幅降低土石方、边坡治理施工单价，临时征地、林木赔偿、水土保持治理费用远低于另外两个方案，后期运维耗材、检修费用常年节约，全生命周期综合经济效益最优。</w:t>
            </w:r>
          </w:p>
          <w:p>
            <w:pPr>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default" w:ascii="Times New Roman" w:hAnsi="Times New Roman" w:eastAsia="宋体" w:cs="Times New Roman"/>
                <w:spacing w:val="-4"/>
                <w:sz w:val="24"/>
                <w:szCs w:val="24"/>
                <w:lang w:val="en-US" w:eastAsia="zh-CN"/>
              </w:rPr>
            </w:pPr>
            <w:r>
              <w:rPr>
                <w:rFonts w:hint="default" w:ascii="Times New Roman" w:hAnsi="Times New Roman" w:eastAsia="宋体" w:cs="Times New Roman"/>
                <w:spacing w:val="-4"/>
                <w:sz w:val="24"/>
                <w:szCs w:val="24"/>
                <w:lang w:val="en-US" w:eastAsia="zh-CN"/>
              </w:rPr>
              <w:t>综上，方案二、方案三在施工运维、生态环保、全周期造价上均存在难以规避的短板，方案一为本项目唯一推荐线路方案。</w:t>
            </w:r>
          </w:p>
          <w:p>
            <w:pPr>
              <w:keepNext w:val="0"/>
              <w:keepLines w:val="0"/>
              <w:pageBreakBefore w:val="0"/>
              <w:widowControl w:val="0"/>
              <w:kinsoku/>
              <w:wordWrap/>
              <w:overflowPunct/>
              <w:topLinePunct w:val="0"/>
              <w:autoSpaceDE/>
              <w:autoSpaceDN/>
              <w:bidi w:val="0"/>
              <w:adjustRightInd/>
              <w:snapToGrid/>
              <w:spacing w:line="360" w:lineRule="auto"/>
              <w:ind w:left="0" w:right="0" w:firstLine="466" w:firstLineChars="200"/>
              <w:jc w:val="center"/>
              <w:textAlignment w:val="auto"/>
              <w:rPr>
                <w:rFonts w:hint="default" w:ascii="宋体" w:hAnsi="宋体" w:eastAsia="宋体" w:cs="宋体"/>
                <w:b/>
                <w:bCs/>
                <w:spacing w:val="-4"/>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right="0" w:firstLine="466" w:firstLineChars="200"/>
              <w:jc w:val="center"/>
              <w:textAlignment w:val="auto"/>
              <w:rPr>
                <w:rFonts w:hint="default" w:ascii="宋体" w:hAnsi="宋体" w:eastAsia="宋体" w:cs="宋体"/>
                <w:b/>
                <w:bCs/>
                <w:spacing w:val="-4"/>
                <w:sz w:val="24"/>
                <w:szCs w:val="24"/>
                <w:lang w:val="en-US" w:eastAsia="zh-CN"/>
              </w:rPr>
            </w:pPr>
          </w:p>
        </w:tc>
      </w:tr>
    </w:tbl>
    <w:p>
      <w:pPr>
        <w:keepNext w:val="0"/>
        <w:keepLines w:val="0"/>
        <w:pageBreakBefore w:val="0"/>
        <w:widowControl w:val="0"/>
        <w:kinsoku/>
        <w:wordWrap/>
        <w:overflowPunct/>
        <w:topLinePunct w:val="0"/>
        <w:autoSpaceDE/>
        <w:autoSpaceDN/>
        <w:bidi w:val="0"/>
        <w:adjustRightInd/>
        <w:snapToGrid/>
        <w:spacing w:line="240" w:lineRule="auto"/>
        <w:jc w:val="left"/>
        <w:textAlignment w:val="auto"/>
        <w:outlineLvl w:val="0"/>
        <w:rPr>
          <w:rFonts w:hint="eastAsia" w:ascii="Times New Roman" w:hAnsi="Times New Roman" w:eastAsia="宋体" w:cs="Times New Roman"/>
          <w:b/>
          <w:bCs/>
          <w:color w:val="auto"/>
          <w:sz w:val="28"/>
          <w:szCs w:val="28"/>
          <w:lang w:val="en-US" w:eastAsia="zh-CN"/>
        </w:rPr>
        <w:sectPr>
          <w:pgSz w:w="11906" w:h="16838"/>
          <w:pgMar w:top="1440" w:right="1080" w:bottom="1440" w:left="108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val="0"/>
        <w:keepLines w:val="0"/>
        <w:pageBreakBefore w:val="0"/>
        <w:widowControl/>
        <w:kinsoku w:val="0"/>
        <w:wordWrap/>
        <w:overflowPunct/>
        <w:topLinePunct w:val="0"/>
        <w:autoSpaceDE w:val="0"/>
        <w:autoSpaceDN w:val="0"/>
        <w:bidi w:val="0"/>
        <w:adjustRightInd w:val="0"/>
        <w:snapToGrid w:val="0"/>
        <w:spacing w:line="224" w:lineRule="auto"/>
        <w:ind w:left="0"/>
        <w:jc w:val="center"/>
        <w:textAlignment w:val="baseline"/>
        <w:outlineLvl w:val="2"/>
        <w:rPr>
          <w:rFonts w:hint="default" w:ascii="Times New Roman" w:hAnsi="Times New Roman" w:eastAsia="宋体" w:cs="Times New Roman"/>
          <w:b/>
          <w:bCs/>
          <w:snapToGrid w:val="0"/>
          <w:color w:val="auto"/>
          <w:spacing w:val="-2"/>
          <w:kern w:val="0"/>
          <w:sz w:val="30"/>
          <w:szCs w:val="30"/>
          <w:lang w:val="en-US" w:eastAsia="zh-CN"/>
        </w:rPr>
      </w:pPr>
      <w:r>
        <w:rPr>
          <w:rFonts w:hint="eastAsia" w:ascii="Times New Roman" w:hAnsi="Times New Roman" w:eastAsia="宋体" w:cs="Times New Roman"/>
          <w:b/>
          <w:bCs/>
          <w:snapToGrid w:val="0"/>
          <w:color w:val="auto"/>
          <w:spacing w:val="-2"/>
          <w:kern w:val="0"/>
          <w:sz w:val="30"/>
          <w:szCs w:val="30"/>
          <w:lang w:val="en-US" w:eastAsia="zh-CN"/>
        </w:rPr>
        <w:t>三、生态环境现状、保护目标及评价标准</w:t>
      </w:r>
    </w:p>
    <w:tbl>
      <w:tblPr>
        <w:tblStyle w:val="21"/>
        <w:tblW w:w="935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17"/>
        <w:gridCol w:w="863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64" w:hRule="atLeast"/>
          <w:jc w:val="center"/>
        </w:trPr>
        <w:tc>
          <w:tcPr>
            <w:tcW w:w="717" w:type="dxa"/>
            <w:vAlign w:val="center"/>
          </w:tcPr>
          <w:p>
            <w:pPr>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b/>
                <w:bCs/>
                <w:caps w:val="0"/>
                <w:color w:val="auto"/>
                <w:sz w:val="24"/>
                <w:szCs w:val="24"/>
                <w:lang w:val="en-US" w:eastAsia="zh-CN"/>
              </w:rPr>
              <w:t>生态环境现状</w:t>
            </w:r>
          </w:p>
        </w:tc>
        <w:tc>
          <w:tcPr>
            <w:tcW w:w="8637" w:type="dxa"/>
            <w:vAlign w:val="center"/>
          </w:tcPr>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2" w:firstLineChars="200"/>
              <w:textAlignment w:val="auto"/>
              <w:rPr>
                <w:rFonts w:hint="eastAsia" w:ascii="Times New Roman" w:hAnsi="Times New Roman" w:eastAsia="宋体" w:cs="Times New Roman"/>
                <w:b/>
                <w:bCs w:val="0"/>
                <w:caps w:val="0"/>
                <w:color w:val="auto"/>
                <w:spacing w:val="0"/>
                <w:kern w:val="2"/>
                <w:sz w:val="24"/>
                <w:szCs w:val="24"/>
                <w:lang w:val="en-US" w:eastAsia="zh-CN" w:bidi="ar-SA"/>
              </w:rPr>
            </w:pPr>
            <w:r>
              <w:rPr>
                <w:rFonts w:hint="eastAsia" w:ascii="Times New Roman" w:hAnsi="Times New Roman" w:eastAsia="宋体" w:cs="Times New Roman"/>
                <w:b/>
                <w:bCs w:val="0"/>
                <w:caps w:val="0"/>
                <w:color w:val="auto"/>
                <w:spacing w:val="0"/>
                <w:kern w:val="2"/>
                <w:sz w:val="24"/>
                <w:szCs w:val="24"/>
                <w:lang w:val="en-US" w:eastAsia="zh-CN" w:bidi="ar-SA"/>
              </w:rPr>
              <w:t>1 、项目所在区域主体功能区划及生态功能区划</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2" w:firstLineChars="200"/>
              <w:textAlignment w:val="auto"/>
              <w:rPr>
                <w:rFonts w:hint="eastAsia" w:ascii="Times New Roman" w:hAnsi="Times New Roman" w:eastAsia="宋体" w:cs="Times New Roman"/>
                <w:b/>
                <w:bCs w:val="0"/>
                <w:caps w:val="0"/>
                <w:color w:val="auto"/>
                <w:spacing w:val="0"/>
                <w:kern w:val="2"/>
                <w:sz w:val="24"/>
                <w:szCs w:val="24"/>
                <w:lang w:val="en-US" w:eastAsia="zh-CN" w:bidi="ar-SA"/>
              </w:rPr>
            </w:pPr>
            <w:r>
              <w:rPr>
                <w:rFonts w:hint="eastAsia" w:ascii="Times New Roman" w:hAnsi="Times New Roman" w:eastAsia="宋体" w:cs="Times New Roman"/>
                <w:b/>
                <w:bCs w:val="0"/>
                <w:caps w:val="0"/>
                <w:color w:val="auto"/>
                <w:spacing w:val="0"/>
                <w:kern w:val="2"/>
                <w:sz w:val="24"/>
                <w:szCs w:val="24"/>
                <w:lang w:val="en-US" w:eastAsia="zh-CN" w:bidi="ar-SA"/>
              </w:rPr>
              <w:t>1.1 主体功能区划</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b w:val="0"/>
                <w:bCs w:val="0"/>
                <w:color w:val="auto"/>
                <w:kern w:val="0"/>
                <w:sz w:val="24"/>
                <w:szCs w:val="24"/>
                <w:lang w:val="en-US" w:eastAsia="zh-CN" w:bidi="ar"/>
              </w:rPr>
            </w:pPr>
            <w:r>
              <w:rPr>
                <w:rFonts w:hint="eastAsia" w:ascii="Times New Roman" w:hAnsi="Times New Roman" w:eastAsia="宋体" w:cs="Times New Roman"/>
                <w:b w:val="0"/>
                <w:bCs w:val="0"/>
                <w:color w:val="auto"/>
                <w:kern w:val="0"/>
                <w:sz w:val="24"/>
                <w:szCs w:val="24"/>
                <w:lang w:val="en-US" w:eastAsia="zh-CN" w:bidi="ar"/>
              </w:rPr>
              <w:t>《辽宁省主体功能区规划》将全省国土空间划分为以下主体功能区：按开发方式，分为优化开发区域、重点开发区域、限制开发区域和禁止开发区域。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宋体" w:hAnsi="宋体" w:eastAsia="宋体" w:cs="宋体"/>
                <w:color w:val="auto"/>
                <w:spacing w:val="-2"/>
                <w:sz w:val="24"/>
                <w:szCs w:val="24"/>
                <w:lang w:val="en-US" w:eastAsia="zh-CN"/>
              </w:rPr>
            </w:pPr>
            <w:r>
              <w:rPr>
                <w:rFonts w:hint="eastAsia" w:ascii="Times New Roman" w:hAnsi="Times New Roman" w:eastAsia="宋体" w:cs="Times New Roman"/>
                <w:b w:val="0"/>
                <w:bCs w:val="0"/>
                <w:color w:val="auto"/>
                <w:kern w:val="0"/>
                <w:sz w:val="24"/>
                <w:szCs w:val="24"/>
                <w:lang w:val="en-US" w:eastAsia="zh-CN" w:bidi="ar"/>
              </w:rPr>
              <w:t>本项目位于朝阳市龙城区，位于辽宁省主体功能区中“国家级重点开发区”内，功能定位是：东北地区重要交通枢纽，冶金、新型能源电器、绿色优品加工基地，生态宜居和文化旅游城市。--建设西部工业园区和龙城物流产业集聚区，发展冶金及金属新材料及新能源装备、建材机械装备、食品加工及包装产业集群。发展休闲娱乐把朝阳凤凰山打造成东北著名的传统文化景区。沿大凌河构建绿色生态走廊，建设凤凰山、燕山湖自然生态区，本项目为输变电项目，不影响该区划的主要功能定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left"/>
              <w:textAlignment w:val="auto"/>
              <w:rPr>
                <w:rFonts w:hint="eastAsia" w:ascii="Times New Roman" w:hAnsi="Times New Roman" w:eastAsia="宋体" w:cs="Times New Roman"/>
                <w:b w:val="0"/>
                <w:bCs w:val="0"/>
                <w:color w:val="auto"/>
                <w:kern w:val="0"/>
                <w:sz w:val="24"/>
                <w:szCs w:val="24"/>
                <w:lang w:val="en-US" w:eastAsia="zh-CN" w:bidi="ar"/>
              </w:rPr>
            </w:pPr>
            <w:r>
              <w:rPr>
                <w:color w:val="auto"/>
                <w:sz w:val="21"/>
              </w:rPr>
              <mc:AlternateContent>
                <mc:Choice Requires="wps">
                  <w:drawing>
                    <wp:anchor distT="0" distB="0" distL="114300" distR="114300" simplePos="0" relativeHeight="251664384" behindDoc="0" locked="0" layoutInCell="1" allowOverlap="1">
                      <wp:simplePos x="0" y="0"/>
                      <wp:positionH relativeFrom="column">
                        <wp:posOffset>1824990</wp:posOffset>
                      </wp:positionH>
                      <wp:positionV relativeFrom="paragraph">
                        <wp:posOffset>970915</wp:posOffset>
                      </wp:positionV>
                      <wp:extent cx="1087755" cy="302895"/>
                      <wp:effectExtent l="350520" t="6350" r="9525" b="452755"/>
                      <wp:wrapNone/>
                      <wp:docPr id="8" name="矩形标注 8"/>
                      <wp:cNvGraphicFramePr/>
                      <a:graphic xmlns:a="http://schemas.openxmlformats.org/drawingml/2006/main">
                        <a:graphicData uri="http://schemas.microsoft.com/office/word/2010/wordprocessingShape">
                          <wps:wsp>
                            <wps:cNvSpPr/>
                            <wps:spPr>
                              <a:xfrm>
                                <a:off x="2753360" y="5513070"/>
                                <a:ext cx="1087755" cy="302895"/>
                              </a:xfrm>
                              <a:prstGeom prst="wedgeRectCallout">
                                <a:avLst>
                                  <a:gd name="adj1" fmla="val -78312"/>
                                  <a:gd name="adj2" fmla="val 188364"/>
                                </a:avLst>
                              </a:prstGeom>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43.7pt;margin-top:76.45pt;height:23.85pt;width:85.65pt;z-index:251664384;v-text-anchor:middle;mso-width-relative:page;mso-height-relative:page;" fillcolor="#5B9BD5 [3204]" filled="t" stroked="t" coordsize="21600,21600" o:gfxdata="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" adj="-6115,51487">
                      <v:fill on="t" focussize="0,0"/>
                      <v:stroke weight="1pt" color="#2E75B6 [2404]" miterlimit="8" joinstyle="miter"/>
                      <v:imagedata o:title=""/>
                      <o:lock v:ext="edit" aspectratio="f"/>
                      <v:textbox>
                        <w:txbxContent>
                          <w:p>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本项目位置</w:t>
                            </w:r>
                          </w:p>
                        </w:txbxContent>
                      </v:textbox>
                    </v:shape>
                  </w:pict>
                </mc:Fallback>
              </mc:AlternateContent>
            </w:r>
            <w:r>
              <w:rPr>
                <w:color w:val="auto"/>
              </w:rPr>
              <w:drawing>
                <wp:inline distT="0" distB="0" distL="114300" distR="114300">
                  <wp:extent cx="5654040" cy="4387215"/>
                  <wp:effectExtent l="0" t="0" r="0" b="1905"/>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36"/>
                          <a:stretch>
                            <a:fillRect/>
                          </a:stretch>
                        </pic:blipFill>
                        <pic:spPr>
                          <a:xfrm>
                            <a:off x="0" y="0"/>
                            <a:ext cx="5654040" cy="4387215"/>
                          </a:xfrm>
                          <a:prstGeom prst="rect">
                            <a:avLst/>
                          </a:prstGeom>
                          <a:noFill/>
                          <a:ln>
                            <a:noFill/>
                          </a:ln>
                        </pic:spPr>
                      </pic:pic>
                    </a:graphicData>
                  </a:graphic>
                </wp:inline>
              </w:drawing>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2" w:firstLineChars="200"/>
              <w:jc w:val="center"/>
              <w:textAlignment w:val="auto"/>
              <w:rPr>
                <w:rFonts w:hint="default" w:ascii="Times New Roman" w:hAnsi="Times New Roman" w:eastAsia="宋体" w:cs="Times New Roman"/>
                <w:b/>
                <w:bCs w:val="0"/>
                <w:caps w:val="0"/>
                <w:color w:val="auto"/>
                <w:spacing w:val="0"/>
                <w:kern w:val="2"/>
                <w:sz w:val="24"/>
                <w:szCs w:val="24"/>
                <w:lang w:val="en-US" w:eastAsia="zh-CN" w:bidi="ar-SA"/>
              </w:rPr>
            </w:pPr>
            <w:r>
              <w:rPr>
                <w:rFonts w:hint="eastAsia" w:ascii="Times New Roman" w:hAnsi="Times New Roman" w:eastAsia="宋体" w:cs="Times New Roman"/>
                <w:b/>
                <w:bCs w:val="0"/>
                <w:caps w:val="0"/>
                <w:color w:val="auto"/>
                <w:spacing w:val="0"/>
                <w:kern w:val="2"/>
                <w:sz w:val="24"/>
                <w:szCs w:val="24"/>
                <w:lang w:val="en-US" w:eastAsia="zh-CN" w:bidi="ar-SA"/>
              </w:rPr>
              <w:t>图3-1  项目与辽宁省主体功能区划位置图</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2" w:firstLineChars="200"/>
              <w:textAlignment w:val="auto"/>
              <w:rPr>
                <w:rFonts w:hint="default" w:ascii="Times New Roman" w:hAnsi="Times New Roman" w:eastAsia="宋体" w:cs="Times New Roman"/>
                <w:b/>
                <w:bCs w:val="0"/>
                <w:caps w:val="0"/>
                <w:color w:val="auto"/>
                <w:spacing w:val="0"/>
                <w:kern w:val="2"/>
                <w:sz w:val="24"/>
                <w:szCs w:val="24"/>
                <w:lang w:val="en-US" w:eastAsia="zh-CN" w:bidi="ar-SA"/>
              </w:rPr>
            </w:pPr>
            <w:r>
              <w:rPr>
                <w:rFonts w:hint="eastAsia" w:ascii="Times New Roman" w:hAnsi="Times New Roman" w:eastAsia="宋体" w:cs="Times New Roman"/>
                <w:b/>
                <w:bCs w:val="0"/>
                <w:caps w:val="0"/>
                <w:color w:val="auto"/>
                <w:spacing w:val="0"/>
                <w:kern w:val="2"/>
                <w:sz w:val="24"/>
                <w:szCs w:val="24"/>
                <w:lang w:val="en-US" w:eastAsia="zh-CN" w:bidi="ar-SA"/>
              </w:rPr>
              <w:t>1.2生态功能区划</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b w:val="0"/>
                <w:bCs/>
                <w:caps w:val="0"/>
                <w:color w:val="auto"/>
                <w:spacing w:val="0"/>
                <w:kern w:val="2"/>
                <w:sz w:val="24"/>
                <w:szCs w:val="24"/>
                <w:lang w:val="en-US" w:eastAsia="zh-CN" w:bidi="ar-SA"/>
              </w:rPr>
            </w:pPr>
            <w:r>
              <w:rPr>
                <w:rFonts w:hint="eastAsia" w:ascii="Times New Roman" w:hAnsi="Times New Roman" w:eastAsia="宋体" w:cs="Times New Roman"/>
                <w:b w:val="0"/>
                <w:bCs/>
                <w:caps w:val="0"/>
                <w:color w:val="auto"/>
                <w:spacing w:val="0"/>
                <w:kern w:val="2"/>
                <w:sz w:val="24"/>
                <w:szCs w:val="24"/>
                <w:lang w:val="en-US" w:eastAsia="zh-CN" w:bidi="ar-SA"/>
              </w:rPr>
              <w:t>根据《朝阳市生态功能区划》，朝阳市共划分6个生态区，15个二级生态功能区。主要包括：Ⅰ白石水库土壤保持生态功能区、Ⅱ阎王鼻子水库土壤保持生态功能区、Ⅲ大凌河源头水源涵养生态保护区、Ⅳ青龙河源头生物多样性保护与水源涵养生态功能区、Ⅴ努鲁尔虎山沙化控制生态功能区和Ⅳ老哈河沙化控制生态功能区。</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b w:val="0"/>
                <w:bCs/>
                <w:caps w:val="0"/>
                <w:color w:val="auto"/>
                <w:spacing w:val="0"/>
                <w:kern w:val="2"/>
                <w:sz w:val="24"/>
                <w:szCs w:val="24"/>
                <w:lang w:val="en-US" w:eastAsia="zh-CN" w:bidi="ar-SA"/>
              </w:rPr>
            </w:pPr>
            <w:r>
              <w:rPr>
                <w:rFonts w:hint="default" w:ascii="Times New Roman" w:hAnsi="Times New Roman" w:eastAsia="宋体" w:cs="Times New Roman"/>
                <w:b w:val="0"/>
                <w:bCs/>
                <w:caps w:val="0"/>
                <w:color w:val="auto"/>
                <w:spacing w:val="0"/>
                <w:kern w:val="2"/>
                <w:sz w:val="24"/>
                <w:szCs w:val="24"/>
                <w:lang w:val="en-US" w:eastAsia="zh-CN" w:bidi="ar-SA"/>
              </w:rPr>
              <w:t>本项目位于辽宁省朝阳市龙城区边杖子镇，属于Ⅰ白石水库土壤保持生态功能区-Ⅰ3朝阳城区低丘宽谷台地水环境保护-生物多样性保护-矿山整治-经济发展区。</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b w:val="0"/>
                <w:bCs/>
                <w:caps w:val="0"/>
                <w:color w:val="auto"/>
                <w:spacing w:val="0"/>
                <w:kern w:val="2"/>
                <w:sz w:val="24"/>
                <w:szCs w:val="24"/>
                <w:lang w:val="en-US" w:eastAsia="zh-CN" w:bidi="ar-SA"/>
              </w:rPr>
            </w:pPr>
            <w:r>
              <w:rPr>
                <w:rFonts w:hint="eastAsia" w:ascii="Times New Roman" w:hAnsi="Times New Roman" w:eastAsia="宋体" w:cs="Times New Roman"/>
                <w:b w:val="0"/>
                <w:bCs/>
                <w:caps w:val="0"/>
                <w:color w:val="auto"/>
                <w:spacing w:val="0"/>
                <w:kern w:val="2"/>
                <w:sz w:val="24"/>
                <w:szCs w:val="24"/>
                <w:lang w:val="en-US" w:eastAsia="zh-CN" w:bidi="ar-SA"/>
              </w:rPr>
              <w:t>本项目的实施会对生态环境产生一定影响，但在严格落实生态环境保护措施，及时做好生态补偿、生态恢复的基础上，本项目的实施对环境影响较小。</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2" w:firstLineChars="200"/>
              <w:textAlignment w:val="auto"/>
              <w:rPr>
                <w:rFonts w:hint="eastAsia" w:ascii="Times New Roman" w:hAnsi="Times New Roman" w:eastAsia="宋体" w:cs="Times New Roman"/>
                <w:b/>
                <w:bCs w:val="0"/>
                <w:caps w:val="0"/>
                <w:color w:val="auto"/>
                <w:spacing w:val="0"/>
                <w:kern w:val="2"/>
                <w:sz w:val="24"/>
                <w:szCs w:val="24"/>
                <w:lang w:val="en-US" w:eastAsia="zh-CN" w:bidi="ar-SA"/>
              </w:rPr>
            </w:pPr>
            <w:r>
              <w:rPr>
                <w:rFonts w:hint="eastAsia" w:ascii="Times New Roman" w:hAnsi="Times New Roman" w:eastAsia="宋体" w:cs="Times New Roman"/>
                <w:b/>
                <w:bCs w:val="0"/>
                <w:caps w:val="0"/>
                <w:color w:val="auto"/>
                <w:spacing w:val="0"/>
                <w:kern w:val="2"/>
                <w:sz w:val="24"/>
                <w:szCs w:val="24"/>
                <w:lang w:val="en-US" w:eastAsia="zh-CN" w:bidi="ar-SA"/>
              </w:rPr>
              <w:t>1.3地形地貌</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b w:val="0"/>
                <w:bCs/>
                <w:caps w:val="0"/>
                <w:color w:val="auto"/>
                <w:spacing w:val="0"/>
                <w:kern w:val="2"/>
                <w:sz w:val="24"/>
                <w:szCs w:val="24"/>
                <w:lang w:val="en-US" w:eastAsia="zh-CN" w:bidi="ar-SA"/>
              </w:rPr>
            </w:pPr>
            <w:r>
              <w:rPr>
                <w:rFonts w:hint="eastAsia" w:ascii="Times New Roman" w:hAnsi="Times New Roman" w:eastAsia="宋体" w:cs="Times New Roman"/>
                <w:b w:val="0"/>
                <w:bCs/>
                <w:caps w:val="0"/>
                <w:color w:val="auto"/>
                <w:spacing w:val="0"/>
                <w:kern w:val="2"/>
                <w:sz w:val="24"/>
                <w:szCs w:val="24"/>
                <w:lang w:val="en-US" w:eastAsia="zh-CN" w:bidi="ar-SA"/>
              </w:rPr>
              <w:t>城区的地势地貌属于辽西低山丘陵区，地理构造较为复杂，境内多低山、丘陵及阶地，自然形成西高东低，山岭多呈东西—南北走向。西部的丘陵多分布在低山的外围，海拔在300 米以下，丘陵间多为小型的山间平原，土层深厚。</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b w:val="0"/>
                <w:bCs/>
                <w:caps w:val="0"/>
                <w:color w:val="auto"/>
                <w:spacing w:val="0"/>
                <w:kern w:val="2"/>
                <w:sz w:val="24"/>
                <w:szCs w:val="24"/>
                <w:lang w:val="en-US" w:eastAsia="zh-CN" w:bidi="ar-SA"/>
              </w:rPr>
            </w:pPr>
            <w:r>
              <w:rPr>
                <w:rFonts w:hint="eastAsia" w:ascii="Times New Roman" w:hAnsi="Times New Roman" w:eastAsia="宋体" w:cs="Times New Roman"/>
                <w:b w:val="0"/>
                <w:bCs/>
                <w:caps w:val="0"/>
                <w:color w:val="auto"/>
                <w:spacing w:val="0"/>
                <w:kern w:val="2"/>
                <w:sz w:val="24"/>
                <w:szCs w:val="24"/>
                <w:lang w:val="en-US" w:eastAsia="zh-CN" w:bidi="ar-SA"/>
              </w:rPr>
              <w:t>西部的丘陵多分布在低山的外围，海拔在347米以下，丘陵间为小型的山间平原，土层深厚。境内的凤凰山、麒麟山、鹰嘴山、马山、狼山构成一道天然屏障。大凌河、石家子河呈“丁”字形穿过区境。全区内荒山、沟壑、滩涂地约占60%，耕地约占30%，大致分为“六山半水三分田，半分村路在中间”。</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b w:val="0"/>
                <w:bCs/>
                <w:caps w:val="0"/>
                <w:color w:val="auto"/>
                <w:spacing w:val="0"/>
                <w:kern w:val="2"/>
                <w:sz w:val="24"/>
                <w:szCs w:val="24"/>
                <w:lang w:val="en-US" w:eastAsia="zh-CN" w:bidi="ar-SA"/>
              </w:rPr>
            </w:pPr>
            <w:r>
              <w:rPr>
                <w:rFonts w:hint="eastAsia" w:ascii="Times New Roman" w:hAnsi="Times New Roman" w:eastAsia="宋体" w:cs="Times New Roman"/>
                <w:b w:val="0"/>
                <w:bCs/>
                <w:caps w:val="0"/>
                <w:color w:val="auto"/>
                <w:spacing w:val="0"/>
                <w:kern w:val="2"/>
                <w:sz w:val="24"/>
                <w:szCs w:val="24"/>
                <w:lang w:val="en-US" w:eastAsia="zh-CN" w:bidi="ar-SA"/>
              </w:rPr>
              <w:t>从地质条件来看，地基强度稳定，不存在不良地质现象，适宜作各类建筑场地。本区地表多数被第四系所覆盖，主要出露新生界第四系地层，局部零星出露有太古代混合花岗岩。混合岩岩性为太古代混合花岗岩，黄灰色，粒状结构，块状构造，成分为石英、长石等。</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b w:val="0"/>
                <w:bCs/>
                <w:caps w:val="0"/>
                <w:color w:val="auto"/>
                <w:spacing w:val="0"/>
                <w:kern w:val="2"/>
                <w:sz w:val="24"/>
                <w:szCs w:val="24"/>
                <w:lang w:val="en-US" w:eastAsia="zh-CN" w:bidi="ar-SA"/>
              </w:rPr>
            </w:pPr>
            <w:r>
              <w:rPr>
                <w:rFonts w:hint="eastAsia" w:ascii="Times New Roman" w:hAnsi="Times New Roman" w:eastAsia="宋体" w:cs="Times New Roman"/>
                <w:b w:val="0"/>
                <w:bCs/>
                <w:caps w:val="0"/>
                <w:color w:val="auto"/>
                <w:spacing w:val="0"/>
                <w:kern w:val="2"/>
                <w:sz w:val="24"/>
                <w:szCs w:val="24"/>
                <w:lang w:val="en-US" w:eastAsia="zh-CN" w:bidi="ar-SA"/>
              </w:rPr>
              <w:t>规划区域大地构造单元为中朝准地台燕山台褶带山海关台拱绥中凸起部位。构造形态以断裂构造为主。区域上断裂十分发育，大小断裂有数十条，按区内构造的展布方向主要有东西向、北西向、北北东向、北东向四组。地震基本烈度为VI度。属轻微地震破坏区。</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2" w:firstLineChars="200"/>
              <w:textAlignment w:val="auto"/>
              <w:rPr>
                <w:rFonts w:hint="eastAsia" w:ascii="Times New Roman" w:hAnsi="Times New Roman" w:eastAsia="宋体" w:cs="Times New Roman"/>
                <w:b/>
                <w:bCs w:val="0"/>
                <w:caps w:val="0"/>
                <w:color w:val="auto"/>
                <w:spacing w:val="0"/>
                <w:kern w:val="2"/>
                <w:sz w:val="24"/>
                <w:szCs w:val="24"/>
                <w:lang w:val="en-US" w:eastAsia="zh-CN" w:bidi="ar-SA"/>
              </w:rPr>
            </w:pPr>
            <w:r>
              <w:rPr>
                <w:rFonts w:hint="eastAsia" w:ascii="Times New Roman" w:hAnsi="Times New Roman" w:eastAsia="宋体" w:cs="Times New Roman"/>
                <w:b/>
                <w:bCs w:val="0"/>
                <w:caps w:val="0"/>
                <w:color w:val="auto"/>
                <w:spacing w:val="0"/>
                <w:kern w:val="2"/>
                <w:sz w:val="24"/>
                <w:szCs w:val="24"/>
                <w:lang w:val="en-US" w:eastAsia="zh-CN" w:bidi="ar-SA"/>
              </w:rPr>
              <w:t>1.4气候气象</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b w:val="0"/>
                <w:bCs/>
                <w:caps w:val="0"/>
                <w:color w:val="auto"/>
                <w:spacing w:val="0"/>
                <w:kern w:val="2"/>
                <w:sz w:val="24"/>
                <w:szCs w:val="24"/>
                <w:lang w:val="en-US" w:eastAsia="zh-CN" w:bidi="ar-SA"/>
              </w:rPr>
            </w:pPr>
            <w:r>
              <w:rPr>
                <w:rFonts w:hint="eastAsia" w:ascii="Times New Roman" w:hAnsi="Times New Roman" w:eastAsia="宋体" w:cs="Times New Roman"/>
                <w:b w:val="0"/>
                <w:bCs/>
                <w:caps w:val="0"/>
                <w:color w:val="auto"/>
                <w:spacing w:val="0"/>
                <w:kern w:val="2"/>
                <w:sz w:val="24"/>
                <w:szCs w:val="24"/>
                <w:lang w:val="en-US" w:eastAsia="zh-CN" w:bidi="ar-SA"/>
              </w:rPr>
              <w:t>朝阳市属于北温带大陆性季风气候区，由于受坐落在建昌、喀喇沁左翼蒙古族自治县及朝阳、北票南部的松岭山脉阻隔，海洋暖湿空气对全市直接影响较小，而蒙古高原的干冷空气入侵频繁，使朝阳市形成半干旱半湿润、易旱的气候特点，冬季严寒，夏季酷热、干旱少雨，具有明显的昼夜温差大、极温高、日照长的特点。</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b w:val="0"/>
                <w:bCs/>
                <w:caps w:val="0"/>
                <w:color w:val="auto"/>
                <w:spacing w:val="0"/>
                <w:kern w:val="2"/>
                <w:sz w:val="24"/>
                <w:szCs w:val="24"/>
                <w:lang w:val="en-US" w:eastAsia="zh-CN" w:bidi="ar-SA"/>
              </w:rPr>
            </w:pPr>
            <w:r>
              <w:rPr>
                <w:rFonts w:hint="eastAsia" w:ascii="Times New Roman" w:hAnsi="Times New Roman" w:eastAsia="宋体" w:cs="Times New Roman"/>
                <w:b w:val="0"/>
                <w:bCs/>
                <w:caps w:val="0"/>
                <w:color w:val="auto"/>
                <w:spacing w:val="0"/>
                <w:kern w:val="2"/>
                <w:sz w:val="24"/>
                <w:szCs w:val="24"/>
                <w:lang w:val="en-US" w:eastAsia="zh-CN" w:bidi="ar-SA"/>
              </w:rPr>
              <w:t>据当地多年地面气象观测资料统计，其年日照数2760～2960小时，年平均气温5.4~8.7℃，极端最高温度41.1℃，无霜期145天左右，冬季降雪量少，春季多干旱大风，蒸发量是降水量的四倍多，平均年降水量为440mm～560mm，冻土最大深度1.35m；风向随季节转换，朝阳市冬季盛行西北风，夏季盛行西南风，年主导风向为南风（S），风向频率为16%，次主导风向为西南风（SW），风向频率为8%，年平均风速为3.4m/s，最大风速高达28.3m/s。</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b w:val="0"/>
                <w:bCs/>
                <w:caps w:val="0"/>
                <w:color w:val="auto"/>
                <w:spacing w:val="0"/>
                <w:kern w:val="2"/>
                <w:sz w:val="24"/>
                <w:szCs w:val="24"/>
                <w:lang w:val="en-US" w:eastAsia="zh-CN" w:bidi="ar-SA"/>
              </w:rPr>
            </w:pPr>
            <w:r>
              <w:rPr>
                <w:rFonts w:hint="eastAsia" w:ascii="Times New Roman" w:hAnsi="Times New Roman" w:eastAsia="宋体" w:cs="Times New Roman"/>
                <w:b w:val="0"/>
                <w:bCs/>
                <w:caps w:val="0"/>
                <w:color w:val="auto"/>
                <w:spacing w:val="0"/>
                <w:kern w:val="2"/>
                <w:sz w:val="24"/>
                <w:szCs w:val="24"/>
                <w:lang w:val="en-US" w:eastAsia="zh-CN" w:bidi="ar-SA"/>
              </w:rPr>
              <w:t>本储能站场址处风能资源较丰富，且无破坏性风速，具有一定的开发价值。</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2" w:firstLineChars="200"/>
              <w:textAlignment w:val="auto"/>
              <w:rPr>
                <w:rFonts w:hint="eastAsia" w:ascii="Times New Roman" w:hAnsi="Times New Roman" w:eastAsia="宋体" w:cs="Times New Roman"/>
                <w:b/>
                <w:bCs w:val="0"/>
                <w:caps w:val="0"/>
                <w:color w:val="auto"/>
                <w:spacing w:val="0"/>
                <w:kern w:val="2"/>
                <w:sz w:val="24"/>
                <w:szCs w:val="24"/>
                <w:lang w:val="en-US" w:eastAsia="zh-CN" w:bidi="ar-SA"/>
              </w:rPr>
            </w:pPr>
            <w:r>
              <w:rPr>
                <w:rFonts w:hint="eastAsia" w:ascii="Times New Roman" w:hAnsi="Times New Roman" w:eastAsia="宋体" w:cs="Times New Roman"/>
                <w:b/>
                <w:bCs w:val="0"/>
                <w:caps w:val="0"/>
                <w:color w:val="auto"/>
                <w:spacing w:val="0"/>
                <w:kern w:val="2"/>
                <w:sz w:val="24"/>
                <w:szCs w:val="24"/>
                <w:lang w:val="en-US" w:eastAsia="zh-CN" w:bidi="ar-SA"/>
              </w:rPr>
              <w:t>1.5水文地质</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b w:val="0"/>
                <w:bCs/>
                <w:caps w:val="0"/>
                <w:color w:val="auto"/>
                <w:spacing w:val="0"/>
                <w:kern w:val="2"/>
                <w:sz w:val="24"/>
                <w:szCs w:val="24"/>
                <w:lang w:val="en-US" w:eastAsia="zh-CN" w:bidi="ar-SA"/>
              </w:rPr>
            </w:pPr>
            <w:r>
              <w:rPr>
                <w:rFonts w:hint="eastAsia" w:ascii="Times New Roman" w:hAnsi="Times New Roman" w:eastAsia="宋体" w:cs="Times New Roman"/>
                <w:b w:val="0"/>
                <w:bCs/>
                <w:caps w:val="0"/>
                <w:color w:val="auto"/>
                <w:spacing w:val="0"/>
                <w:kern w:val="2"/>
                <w:sz w:val="24"/>
                <w:szCs w:val="24"/>
                <w:lang w:val="en-US" w:eastAsia="zh-CN" w:bidi="ar-SA"/>
              </w:rPr>
              <w:t>项目区位于朝阳市区西部，地貌单元为山前斜地，地处低山丘陵区向山前冲积平原区过渡地带，地貌成因类型划分为剥蚀堆积地形区内第四系组成主要为表层风化堆积物和坡积物。钻探揭遇到土层主要由坡洪积粉质黏土和砂、砾组成，按含水介质划分，区内分布的坡洪积物和基岩风化壳富水性较弱，该区内地下水主要接受大气降水的入渗补给，以地下径流的方式向下游平原区排泄。区内水文地质条件简单。</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b w:val="0"/>
                <w:bCs/>
                <w:caps w:val="0"/>
                <w:color w:val="auto"/>
                <w:spacing w:val="0"/>
                <w:kern w:val="2"/>
                <w:sz w:val="24"/>
                <w:szCs w:val="24"/>
                <w:lang w:val="en-US" w:eastAsia="zh-CN" w:bidi="ar-SA"/>
              </w:rPr>
            </w:pPr>
            <w:r>
              <w:rPr>
                <w:rFonts w:hint="eastAsia" w:ascii="Times New Roman" w:hAnsi="Times New Roman" w:eastAsia="宋体" w:cs="Times New Roman"/>
                <w:b w:val="0"/>
                <w:bCs/>
                <w:caps w:val="0"/>
                <w:color w:val="auto"/>
                <w:spacing w:val="0"/>
                <w:kern w:val="2"/>
                <w:sz w:val="24"/>
                <w:szCs w:val="24"/>
                <w:lang w:val="en-US" w:eastAsia="zh-CN" w:bidi="ar-SA"/>
              </w:rPr>
              <w:t>本区地下水类型为松散岩类孔隙水，碎屑岩裂隙孔隙水，碳酸盐岩类裂隙溶洞水，基岩裂隙水四种类别。</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b w:val="0"/>
                <w:bCs/>
                <w:caps w:val="0"/>
                <w:color w:val="auto"/>
                <w:spacing w:val="0"/>
                <w:kern w:val="2"/>
                <w:sz w:val="24"/>
                <w:szCs w:val="24"/>
                <w:lang w:val="en-US" w:eastAsia="zh-CN" w:bidi="ar-SA"/>
              </w:rPr>
            </w:pPr>
            <w:r>
              <w:rPr>
                <w:rFonts w:hint="eastAsia" w:ascii="Times New Roman" w:hAnsi="Times New Roman" w:eastAsia="宋体" w:cs="Times New Roman"/>
                <w:b w:val="0"/>
                <w:bCs/>
                <w:caps w:val="0"/>
                <w:color w:val="auto"/>
                <w:spacing w:val="0"/>
                <w:kern w:val="2"/>
                <w:sz w:val="24"/>
                <w:szCs w:val="24"/>
                <w:lang w:val="en-US" w:eastAsia="zh-CN" w:bidi="ar-SA"/>
              </w:rPr>
              <w:t>1.6</w:t>
            </w:r>
            <w:r>
              <w:rPr>
                <w:rFonts w:hint="eastAsia" w:ascii="Times New Roman" w:hAnsi="Times New Roman" w:eastAsia="宋体" w:cs="Times New Roman"/>
                <w:b/>
                <w:bCs w:val="0"/>
                <w:caps w:val="0"/>
                <w:color w:val="auto"/>
                <w:spacing w:val="0"/>
                <w:kern w:val="2"/>
                <w:sz w:val="24"/>
                <w:szCs w:val="24"/>
                <w:lang w:val="en-US" w:eastAsia="zh-CN" w:bidi="ar-SA"/>
              </w:rPr>
              <w:t>植被类型</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b w:val="0"/>
                <w:bCs/>
                <w:caps w:val="0"/>
                <w:color w:val="auto"/>
                <w:spacing w:val="0"/>
                <w:kern w:val="2"/>
                <w:sz w:val="24"/>
                <w:szCs w:val="24"/>
                <w:lang w:val="en-US" w:eastAsia="zh-CN" w:bidi="ar-SA"/>
              </w:rPr>
            </w:pPr>
            <w:r>
              <w:rPr>
                <w:rFonts w:hint="eastAsia" w:ascii="Times New Roman" w:hAnsi="Times New Roman" w:eastAsia="宋体" w:cs="Times New Roman"/>
                <w:b w:val="0"/>
                <w:bCs/>
                <w:caps w:val="0"/>
                <w:color w:val="auto"/>
                <w:spacing w:val="0"/>
                <w:kern w:val="2"/>
                <w:sz w:val="24"/>
                <w:szCs w:val="24"/>
                <w:lang w:val="en-US" w:eastAsia="zh-CN" w:bidi="ar-SA"/>
              </w:rPr>
              <w:t>根据《辽宁植被与植被区划》，本项目生态环境评价范围属于辽西山地西北部暖温带半湿润—半干旱的侧柏矮林、山杏矮林和黄榆矮林及草原化灌丛区（Ⅵ）。</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b w:val="0"/>
                <w:bCs/>
                <w:caps w:val="0"/>
                <w:color w:val="auto"/>
                <w:spacing w:val="0"/>
                <w:kern w:val="2"/>
                <w:sz w:val="24"/>
                <w:szCs w:val="24"/>
                <w:lang w:val="en-US" w:eastAsia="zh-CN" w:bidi="ar-SA"/>
              </w:rPr>
            </w:pPr>
            <w:r>
              <w:rPr>
                <w:rFonts w:hint="eastAsia" w:ascii="Times New Roman" w:hAnsi="Times New Roman" w:eastAsia="宋体" w:cs="Times New Roman"/>
                <w:b w:val="0"/>
                <w:bCs/>
                <w:caps w:val="0"/>
                <w:color w:val="auto"/>
                <w:spacing w:val="0"/>
                <w:kern w:val="2"/>
                <w:sz w:val="24"/>
                <w:szCs w:val="24"/>
                <w:lang w:val="en-US" w:eastAsia="zh-CN" w:bidi="ar-SA"/>
              </w:rPr>
              <w:t>本项目用地范围内主要植被为白羊草和少量荆条等，所在区域农田主要为承包耕地和开荒地，农作物以玉米为主，少量大豆和杂粮。</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b w:val="0"/>
                <w:bCs/>
                <w:caps w:val="0"/>
                <w:color w:val="auto"/>
                <w:spacing w:val="0"/>
                <w:kern w:val="2"/>
                <w:sz w:val="24"/>
                <w:szCs w:val="24"/>
                <w:lang w:val="en-US" w:eastAsia="zh-CN" w:bidi="ar-SA"/>
              </w:rPr>
            </w:pPr>
            <w:r>
              <w:rPr>
                <w:rFonts w:hint="eastAsia" w:ascii="Times New Roman" w:hAnsi="Times New Roman" w:eastAsia="宋体" w:cs="Times New Roman"/>
                <w:b w:val="0"/>
                <w:bCs/>
                <w:caps w:val="0"/>
                <w:color w:val="auto"/>
                <w:spacing w:val="0"/>
                <w:kern w:val="2"/>
                <w:sz w:val="24"/>
                <w:szCs w:val="24"/>
                <w:lang w:val="en-US" w:eastAsia="zh-CN" w:bidi="ar-SA"/>
              </w:rPr>
              <w:t>①灌丛：荆条为建群种，伴生种有兴安胡枝子、多花胡枝子、酸枣、榛子、三裂绣线菊、细叶小檗等。群落总盖度40％～60％。草本层总盖度30％～40％，主要有白羊草、狗尾草、黄花蒿、隐子草、防风、远志等。</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b w:val="0"/>
                <w:bCs/>
                <w:caps w:val="0"/>
                <w:color w:val="auto"/>
                <w:spacing w:val="0"/>
                <w:kern w:val="2"/>
                <w:sz w:val="24"/>
                <w:szCs w:val="24"/>
                <w:lang w:val="en-US" w:eastAsia="zh-CN" w:bidi="ar-SA"/>
              </w:rPr>
            </w:pPr>
            <w:r>
              <w:rPr>
                <w:rFonts w:hint="eastAsia" w:ascii="Times New Roman" w:hAnsi="Times New Roman" w:eastAsia="宋体" w:cs="Times New Roman"/>
                <w:b w:val="0"/>
                <w:bCs/>
                <w:caps w:val="0"/>
                <w:color w:val="auto"/>
                <w:spacing w:val="0"/>
                <w:kern w:val="2"/>
                <w:sz w:val="24"/>
                <w:szCs w:val="24"/>
                <w:lang w:val="en-US" w:eastAsia="zh-CN" w:bidi="ar-SA"/>
              </w:rPr>
              <w:t>②灌草丛：评价区内的灌草丛主要有荆条、白羊草灌草丛，物种组成与相应的灌丛相似，只是灌木数量较少，盖度小于20%。此外，有时散生一些低矮的灌木，如胡枝子和百里香等。草本植物主要为中生与旱生的物种，如多叶隐子草、丛生隐子草、猪毛菜、委陵菜、火绒草和狗尾草等。</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b w:val="0"/>
                <w:bCs/>
                <w:caps w:val="0"/>
                <w:color w:val="auto"/>
                <w:spacing w:val="0"/>
                <w:kern w:val="2"/>
                <w:sz w:val="24"/>
                <w:szCs w:val="24"/>
                <w:lang w:val="en-US" w:eastAsia="zh-CN" w:bidi="ar-SA"/>
              </w:rPr>
            </w:pPr>
            <w:r>
              <w:rPr>
                <w:rFonts w:hint="eastAsia" w:ascii="Times New Roman" w:hAnsi="Times New Roman" w:eastAsia="宋体" w:cs="Times New Roman"/>
                <w:b w:val="0"/>
                <w:bCs/>
                <w:caps w:val="0"/>
                <w:color w:val="auto"/>
                <w:spacing w:val="0"/>
                <w:kern w:val="2"/>
                <w:sz w:val="24"/>
                <w:szCs w:val="24"/>
                <w:lang w:val="en-US" w:eastAsia="zh-CN" w:bidi="ar-SA"/>
              </w:rPr>
              <w:t>自然植被均为当地广布种，种类较单一，未见珍稀野生植物，本项目占地范围内无国家级及省级重要保护生境。</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caps w:val="0"/>
                <w:color w:val="auto"/>
                <w:spacing w:val="0"/>
                <w:kern w:val="2"/>
                <w:sz w:val="24"/>
                <w:szCs w:val="24"/>
                <w:lang w:val="en-US" w:eastAsia="zh-CN" w:bidi="ar-SA"/>
              </w:rPr>
            </w:pPr>
            <w:r>
              <w:rPr>
                <w:rFonts w:hint="eastAsia" w:ascii="Times New Roman" w:hAnsi="Times New Roman" w:eastAsia="宋体" w:cs="Times New Roman"/>
                <w:b w:val="0"/>
                <w:bCs/>
                <w:caps w:val="0"/>
                <w:color w:val="auto"/>
                <w:spacing w:val="0"/>
                <w:kern w:val="2"/>
                <w:sz w:val="24"/>
                <w:szCs w:val="24"/>
                <w:lang w:val="en-US" w:eastAsia="zh-CN" w:bidi="ar-SA"/>
              </w:rPr>
              <w:drawing>
                <wp:inline distT="0" distB="0" distL="114300" distR="114300">
                  <wp:extent cx="2415540" cy="1811655"/>
                  <wp:effectExtent l="0" t="0" r="3810" b="17145"/>
                  <wp:docPr id="108" name="图片 108"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8"/>
                          <pic:cNvPicPr>
                            <a:picLocks noChangeAspect="1"/>
                          </pic:cNvPicPr>
                        </pic:nvPicPr>
                        <pic:blipFill>
                          <a:blip r:embed="rId37"/>
                          <a:stretch>
                            <a:fillRect/>
                          </a:stretch>
                        </pic:blipFill>
                        <pic:spPr>
                          <a:xfrm>
                            <a:off x="0" y="0"/>
                            <a:ext cx="2415540" cy="1811655"/>
                          </a:xfrm>
                          <a:prstGeom prst="rect">
                            <a:avLst/>
                          </a:prstGeom>
                        </pic:spPr>
                      </pic:pic>
                    </a:graphicData>
                  </a:graphic>
                </wp:inline>
              </w:drawing>
            </w:r>
            <w:r>
              <w:rPr>
                <w:rFonts w:hint="eastAsia" w:ascii="Times New Roman" w:hAnsi="Times New Roman" w:eastAsia="宋体" w:cs="Times New Roman"/>
                <w:b w:val="0"/>
                <w:bCs/>
                <w:caps w:val="0"/>
                <w:color w:val="auto"/>
                <w:spacing w:val="0"/>
                <w:kern w:val="2"/>
                <w:sz w:val="24"/>
                <w:szCs w:val="24"/>
                <w:lang w:val="en-US" w:eastAsia="zh-CN" w:bidi="ar-SA"/>
              </w:rPr>
              <w:t xml:space="preserve"> </w:t>
            </w:r>
            <w:r>
              <w:rPr>
                <w:rFonts w:hint="default" w:ascii="Times New Roman" w:hAnsi="Times New Roman" w:eastAsia="宋体" w:cs="Times New Roman"/>
                <w:b w:val="0"/>
                <w:bCs/>
                <w:caps w:val="0"/>
                <w:color w:val="auto"/>
                <w:spacing w:val="0"/>
                <w:kern w:val="2"/>
                <w:sz w:val="24"/>
                <w:szCs w:val="24"/>
                <w:lang w:val="en-US" w:eastAsia="zh-CN" w:bidi="ar-SA"/>
              </w:rPr>
              <w:drawing>
                <wp:inline distT="0" distB="0" distL="114300" distR="114300">
                  <wp:extent cx="2451100" cy="1838960"/>
                  <wp:effectExtent l="0" t="0" r="6350" b="8890"/>
                  <wp:docPr id="109" name="图片 109"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17"/>
                          <pic:cNvPicPr>
                            <a:picLocks noChangeAspect="1"/>
                          </pic:cNvPicPr>
                        </pic:nvPicPr>
                        <pic:blipFill>
                          <a:blip r:embed="rId38"/>
                          <a:stretch>
                            <a:fillRect/>
                          </a:stretch>
                        </pic:blipFill>
                        <pic:spPr>
                          <a:xfrm>
                            <a:off x="0" y="0"/>
                            <a:ext cx="2451100" cy="1838960"/>
                          </a:xfrm>
                          <a:prstGeom prst="rect">
                            <a:avLst/>
                          </a:prstGeom>
                        </pic:spPr>
                      </pic:pic>
                    </a:graphicData>
                  </a:graphic>
                </wp:inline>
              </w:drawing>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caps w:val="0"/>
                <w:color w:val="auto"/>
                <w:spacing w:val="0"/>
                <w:kern w:val="2"/>
                <w:sz w:val="24"/>
                <w:szCs w:val="24"/>
                <w:lang w:val="en-US" w:eastAsia="zh-CN" w:bidi="ar-SA"/>
              </w:rPr>
            </w:pPr>
            <w:r>
              <w:rPr>
                <w:rFonts w:hint="default" w:ascii="Times New Roman" w:hAnsi="Times New Roman" w:eastAsia="宋体" w:cs="Times New Roman"/>
                <w:b w:val="0"/>
                <w:bCs/>
                <w:caps w:val="0"/>
                <w:color w:val="auto"/>
                <w:spacing w:val="0"/>
                <w:kern w:val="2"/>
                <w:sz w:val="24"/>
                <w:szCs w:val="24"/>
                <w:lang w:val="en-US" w:eastAsia="zh-CN" w:bidi="ar-SA"/>
              </w:rPr>
              <w:drawing>
                <wp:inline distT="0" distB="0" distL="114300" distR="114300">
                  <wp:extent cx="2461260" cy="1846580"/>
                  <wp:effectExtent l="0" t="0" r="15240" b="1270"/>
                  <wp:docPr id="110" name="图片 1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2"/>
                          <pic:cNvPicPr>
                            <a:picLocks noChangeAspect="1"/>
                          </pic:cNvPicPr>
                        </pic:nvPicPr>
                        <pic:blipFill>
                          <a:blip r:embed="rId39"/>
                          <a:stretch>
                            <a:fillRect/>
                          </a:stretch>
                        </pic:blipFill>
                        <pic:spPr>
                          <a:xfrm>
                            <a:off x="0" y="0"/>
                            <a:ext cx="2461260" cy="1846580"/>
                          </a:xfrm>
                          <a:prstGeom prst="rect">
                            <a:avLst/>
                          </a:prstGeom>
                        </pic:spPr>
                      </pic:pic>
                    </a:graphicData>
                  </a:graphic>
                </wp:inline>
              </w:drawing>
            </w:r>
            <w:r>
              <w:rPr>
                <w:rFonts w:hint="default" w:ascii="Times New Roman" w:hAnsi="Times New Roman" w:eastAsia="宋体" w:cs="Times New Roman"/>
                <w:b w:val="0"/>
                <w:bCs/>
                <w:caps w:val="0"/>
                <w:color w:val="auto"/>
                <w:spacing w:val="0"/>
                <w:kern w:val="2"/>
                <w:sz w:val="24"/>
                <w:szCs w:val="24"/>
                <w:lang w:val="en-US" w:eastAsia="zh-CN" w:bidi="ar-SA"/>
              </w:rPr>
              <w:drawing>
                <wp:inline distT="0" distB="0" distL="114300" distR="114300">
                  <wp:extent cx="2487930" cy="1866265"/>
                  <wp:effectExtent l="0" t="0" r="7620" b="635"/>
                  <wp:docPr id="111" name="图片 111" descr="0a7beb5c5ed984f552e56040cb43f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0a7beb5c5ed984f552e56040cb43fade"/>
                          <pic:cNvPicPr>
                            <a:picLocks noChangeAspect="1"/>
                          </pic:cNvPicPr>
                        </pic:nvPicPr>
                        <pic:blipFill>
                          <a:blip r:embed="rId40"/>
                          <a:stretch>
                            <a:fillRect/>
                          </a:stretch>
                        </pic:blipFill>
                        <pic:spPr>
                          <a:xfrm>
                            <a:off x="0" y="0"/>
                            <a:ext cx="2487930" cy="1866265"/>
                          </a:xfrm>
                          <a:prstGeom prst="rect">
                            <a:avLst/>
                          </a:prstGeom>
                        </pic:spPr>
                      </pic:pic>
                    </a:graphicData>
                  </a:graphic>
                </wp:inline>
              </w:drawing>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caps w:val="0"/>
                <w:color w:val="auto"/>
                <w:spacing w:val="0"/>
                <w:kern w:val="2"/>
                <w:sz w:val="24"/>
                <w:szCs w:val="24"/>
                <w:lang w:val="en-US" w:eastAsia="zh-CN" w:bidi="ar-SA"/>
              </w:rPr>
            </w:pPr>
            <w:r>
              <w:rPr>
                <w:rFonts w:hint="eastAsia" w:ascii="Times New Roman" w:hAnsi="Times New Roman" w:eastAsia="宋体" w:cs="Times New Roman"/>
                <w:b/>
                <w:bCs w:val="0"/>
                <w:caps w:val="0"/>
                <w:color w:val="auto"/>
                <w:spacing w:val="0"/>
                <w:kern w:val="2"/>
                <w:sz w:val="21"/>
                <w:szCs w:val="21"/>
                <w:lang w:val="en-US" w:eastAsia="zh-CN" w:bidi="ar-SA"/>
              </w:rPr>
              <w:t>线路生态植被现状</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2" w:firstLineChars="200"/>
              <w:textAlignment w:val="auto"/>
              <w:rPr>
                <w:rFonts w:hint="eastAsia" w:ascii="Times New Roman" w:hAnsi="Times New Roman" w:eastAsia="宋体" w:cs="Times New Roman"/>
                <w:b/>
                <w:bCs w:val="0"/>
                <w:caps w:val="0"/>
                <w:color w:val="auto"/>
                <w:spacing w:val="0"/>
                <w:kern w:val="2"/>
                <w:sz w:val="24"/>
                <w:szCs w:val="24"/>
                <w:lang w:val="en-US" w:eastAsia="zh-CN" w:bidi="ar-SA"/>
              </w:rPr>
            </w:pPr>
            <w:r>
              <w:rPr>
                <w:rFonts w:hint="eastAsia" w:ascii="Times New Roman" w:hAnsi="Times New Roman" w:eastAsia="宋体" w:cs="Times New Roman"/>
                <w:b/>
                <w:bCs w:val="0"/>
                <w:caps w:val="0"/>
                <w:color w:val="auto"/>
                <w:spacing w:val="0"/>
                <w:kern w:val="2"/>
                <w:sz w:val="24"/>
                <w:szCs w:val="24"/>
                <w:lang w:val="en-US" w:eastAsia="zh-CN" w:bidi="ar-SA"/>
              </w:rPr>
              <w:t>1.7野生动植物和鸟类</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b w:val="0"/>
                <w:bCs/>
                <w:caps w:val="0"/>
                <w:color w:val="auto"/>
                <w:spacing w:val="0"/>
                <w:kern w:val="2"/>
                <w:sz w:val="24"/>
                <w:szCs w:val="24"/>
                <w:lang w:val="en-US" w:eastAsia="zh-CN" w:bidi="ar-SA"/>
              </w:rPr>
            </w:pPr>
            <w:r>
              <w:rPr>
                <w:rFonts w:hint="eastAsia" w:ascii="Times New Roman" w:hAnsi="Times New Roman" w:eastAsia="宋体" w:cs="Times New Roman"/>
                <w:b w:val="0"/>
                <w:bCs/>
                <w:caps w:val="0"/>
                <w:color w:val="auto"/>
                <w:spacing w:val="0"/>
                <w:kern w:val="2"/>
                <w:sz w:val="24"/>
                <w:szCs w:val="24"/>
                <w:lang w:val="en-US" w:eastAsia="zh-CN" w:bidi="ar-SA"/>
              </w:rPr>
              <w:t>在系统查阅国家和地方动物志等资料的基础上，结合植物调查工作对本项目所在区域—龙城区西大营子镇的动物分布情况进行了实地调查，推测出本项目所在区域动物的种类的现存及生境情况。从调查结果看，本项目所在区域的野生动物在中国动物地理区划中属古北界—东北亚界—东北区。本项目所在区域范围内野生动物种类、数量已很少，野生动物资源主要有刺猬、野兔、黄鼠狼等兽类，各类蛇等爬行动物，家燕、灰喜鹊、麻雀、野鸡等鸟类，其中灰喜鹊、麻雀为国家三有保护动物。此外，本项目所在区域内还有大量的昆虫以及家畜、家禽等动物，本项目所在区域内无野生动物集中栖息地。根据现有资料可知，本项目所在区内未发现国家级和省级保护、珍稀濒危野生动物分布的记录，不涉及候鸟迁徙及候鸟栖息地。</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b w:val="0"/>
                <w:bCs/>
                <w:caps w:val="0"/>
                <w:color w:val="auto"/>
                <w:spacing w:val="0"/>
                <w:kern w:val="2"/>
                <w:sz w:val="24"/>
                <w:szCs w:val="24"/>
                <w:lang w:val="en-US" w:eastAsia="zh-CN" w:bidi="ar-SA"/>
              </w:rPr>
            </w:pPr>
            <w:r>
              <w:rPr>
                <w:rFonts w:hint="eastAsia" w:ascii="Times New Roman" w:hAnsi="Times New Roman" w:eastAsia="宋体" w:cs="Times New Roman"/>
                <w:b w:val="0"/>
                <w:bCs/>
                <w:caps w:val="0"/>
                <w:color w:val="auto"/>
                <w:spacing w:val="0"/>
                <w:kern w:val="2"/>
                <w:sz w:val="24"/>
                <w:szCs w:val="24"/>
                <w:lang w:val="en-US" w:eastAsia="zh-CN" w:bidi="ar-SA"/>
              </w:rPr>
              <w:t>本地区地带性植物类型为华北植物区系，受人类活动和评价区地理条件影响，目前项目周边区域内的主要植被类型为：油松、杨树、刺槐、草本植物、灌木等。项目占地内的植被覆盖度较低，植被类型一般。项目区域内土地大部分为草本植物、灌木和裸岩石砾地等，地表植被覆盖度较低。本项目占用基本农田采用只占不征，进行一次性经济补偿的方式，确保基本农田地力等级不降低，且仅塔基四角的基础占地，其余地方均可种植，实际占用耕地面积较小，不涉及农用地转用和征用土地。评价区内无国家级及辽宁省级重点保护植物。</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b w:val="0"/>
                <w:bCs/>
                <w:caps w:val="0"/>
                <w:color w:val="auto"/>
                <w:spacing w:val="0"/>
                <w:kern w:val="2"/>
                <w:sz w:val="24"/>
                <w:szCs w:val="24"/>
                <w:lang w:val="en-US" w:eastAsia="zh-CN" w:bidi="ar-SA"/>
              </w:rPr>
            </w:pPr>
            <w:r>
              <w:rPr>
                <w:rFonts w:hint="eastAsia" w:ascii="Times New Roman" w:hAnsi="Times New Roman" w:eastAsia="宋体" w:cs="Times New Roman"/>
                <w:b w:val="0"/>
                <w:bCs/>
                <w:caps w:val="0"/>
                <w:color w:val="auto"/>
                <w:spacing w:val="0"/>
                <w:kern w:val="2"/>
                <w:sz w:val="24"/>
                <w:szCs w:val="24"/>
                <w:lang w:val="en-US" w:eastAsia="zh-CN" w:bidi="ar-SA"/>
              </w:rPr>
              <w:t>本项目影响范围内无自然保护区、风景名胜区、森林公园、地质公园、重要湿地等特殊生态敏感区以及重要生态敏感区。项目区内无《国家重点保护植物名录》中的动植物，评价区内未发现国家级和省级保护物种、珍稀濒危物种分布的记录。</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2" w:firstLineChars="200"/>
              <w:textAlignment w:val="auto"/>
              <w:rPr>
                <w:rFonts w:hint="default" w:ascii="Times New Roman" w:hAnsi="Times New Roman" w:eastAsia="宋体" w:cs="Times New Roman"/>
                <w:b/>
                <w:bCs w:val="0"/>
                <w:caps w:val="0"/>
                <w:color w:val="auto"/>
                <w:spacing w:val="0"/>
                <w:kern w:val="2"/>
                <w:sz w:val="24"/>
                <w:szCs w:val="24"/>
                <w:lang w:val="en-US" w:eastAsia="zh-CN" w:bidi="ar-SA"/>
              </w:rPr>
            </w:pPr>
            <w:r>
              <w:rPr>
                <w:rFonts w:hint="eastAsia" w:ascii="Times New Roman" w:hAnsi="Times New Roman" w:eastAsia="宋体" w:cs="Times New Roman"/>
                <w:b/>
                <w:bCs w:val="0"/>
                <w:caps w:val="0"/>
                <w:color w:val="auto"/>
                <w:spacing w:val="0"/>
                <w:kern w:val="2"/>
                <w:sz w:val="24"/>
                <w:szCs w:val="24"/>
                <w:lang w:val="en-US" w:eastAsia="zh-CN" w:bidi="ar-SA"/>
              </w:rPr>
              <w:t>2</w:t>
            </w:r>
            <w:r>
              <w:rPr>
                <w:rFonts w:hint="default" w:ascii="Times New Roman" w:hAnsi="Times New Roman" w:eastAsia="宋体" w:cs="Times New Roman"/>
                <w:b/>
                <w:bCs w:val="0"/>
                <w:caps w:val="0"/>
                <w:color w:val="auto"/>
                <w:spacing w:val="0"/>
                <w:kern w:val="2"/>
                <w:sz w:val="24"/>
                <w:szCs w:val="24"/>
                <w:lang w:val="en-US" w:eastAsia="zh-CN" w:bidi="ar-SA"/>
              </w:rPr>
              <w:t>、环境质量现状</w:t>
            </w:r>
          </w:p>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506"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pacing w:val="6"/>
                <w:sz w:val="24"/>
                <w:szCs w:val="24"/>
              </w:rPr>
              <w:t>1.环境空气质量现状</w:t>
            </w:r>
          </w:p>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512"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8"/>
                <w:sz w:val="24"/>
                <w:szCs w:val="24"/>
              </w:rPr>
              <w:t>根据《环境影响评价技术导则大气环境》（</w:t>
            </w:r>
            <w:r>
              <w:rPr>
                <w:rFonts w:hint="default" w:ascii="Times New Roman" w:hAnsi="Times New Roman" w:eastAsia="宋体" w:cs="Times New Roman"/>
                <w:color w:val="auto"/>
                <w:sz w:val="24"/>
                <w:szCs w:val="24"/>
              </w:rPr>
              <w:t>HJ</w:t>
            </w:r>
            <w:r>
              <w:rPr>
                <w:rFonts w:hint="default" w:ascii="Times New Roman" w:hAnsi="Times New Roman" w:eastAsia="宋体" w:cs="Times New Roman"/>
                <w:color w:val="auto"/>
                <w:spacing w:val="8"/>
                <w:sz w:val="24"/>
                <w:szCs w:val="24"/>
              </w:rPr>
              <w:t>2.2-2018</w:t>
            </w:r>
            <w:r>
              <w:rPr>
                <w:rFonts w:hint="default" w:ascii="Times New Roman" w:hAnsi="Times New Roman" w:eastAsia="宋体" w:cs="Times New Roman"/>
                <w:color w:val="auto"/>
                <w:spacing w:val="10"/>
                <w:sz w:val="24"/>
                <w:szCs w:val="24"/>
              </w:rPr>
              <w:t>），</w:t>
            </w:r>
            <w:r>
              <w:rPr>
                <w:rFonts w:hint="default" w:ascii="Times New Roman" w:hAnsi="Times New Roman" w:eastAsia="宋体" w:cs="Times New Roman"/>
                <w:color w:val="auto"/>
                <w:spacing w:val="8"/>
                <w:sz w:val="24"/>
                <w:szCs w:val="24"/>
              </w:rPr>
              <w:t>为了解项目所在地环境空气</w:t>
            </w:r>
            <w:r>
              <w:rPr>
                <w:rFonts w:hint="default" w:ascii="Times New Roman" w:hAnsi="Times New Roman" w:eastAsia="宋体" w:cs="Times New Roman"/>
                <w:color w:val="auto"/>
                <w:spacing w:val="7"/>
                <w:sz w:val="24"/>
                <w:szCs w:val="24"/>
              </w:rPr>
              <w:t>质量状况，本评价根据朝阳市生态环境局官网公布的朝阳</w:t>
            </w:r>
            <w:r>
              <w:rPr>
                <w:rFonts w:hint="default" w:ascii="Times New Roman" w:hAnsi="Times New Roman" w:eastAsia="宋体" w:cs="Times New Roman"/>
                <w:color w:val="auto"/>
                <w:spacing w:val="6"/>
                <w:sz w:val="24"/>
                <w:szCs w:val="24"/>
              </w:rPr>
              <w:t>市2024年1月—12月环境空气质</w:t>
            </w:r>
            <w:r>
              <w:rPr>
                <w:rFonts w:hint="default" w:ascii="Times New Roman" w:hAnsi="Times New Roman" w:eastAsia="宋体" w:cs="Times New Roman"/>
                <w:color w:val="auto"/>
                <w:spacing w:val="9"/>
                <w:sz w:val="24"/>
                <w:szCs w:val="24"/>
              </w:rPr>
              <w:t>量六项指标累计浓度情况，朝阳市区环境空气中基本污染物统计结果见下表。</w:t>
            </w:r>
          </w:p>
          <w:p>
            <w:pPr>
              <w:pStyle w:val="38"/>
              <w:spacing w:before="66" w:line="227" w:lineRule="auto"/>
              <w:ind w:left="2206"/>
              <w:rPr>
                <w:color w:val="auto"/>
                <w:sz w:val="21"/>
                <w:szCs w:val="21"/>
              </w:rPr>
            </w:pPr>
            <w:r>
              <w:rPr>
                <w:rFonts w:hint="default" w:ascii="Times New Roman" w:hAnsi="Times New Roman" w:eastAsia="宋体" w:cs="Times New Roman"/>
                <w:b/>
                <w:bCs/>
                <w:color w:val="auto"/>
                <w:spacing w:val="6"/>
                <w:sz w:val="21"/>
                <w:szCs w:val="21"/>
              </w:rPr>
              <w:t>表</w:t>
            </w:r>
            <w:r>
              <w:rPr>
                <w:rFonts w:hint="default" w:ascii="Times New Roman" w:hAnsi="Times New Roman" w:eastAsia="宋体" w:cs="Times New Roman"/>
                <w:color w:val="auto"/>
                <w:spacing w:val="-41"/>
                <w:sz w:val="21"/>
                <w:szCs w:val="21"/>
              </w:rPr>
              <w:t xml:space="preserve"> </w:t>
            </w:r>
            <w:r>
              <w:rPr>
                <w:rFonts w:hint="default" w:ascii="Times New Roman" w:hAnsi="Times New Roman" w:eastAsia="宋体" w:cs="Times New Roman"/>
                <w:b/>
                <w:bCs/>
                <w:color w:val="auto"/>
                <w:spacing w:val="6"/>
                <w:sz w:val="21"/>
                <w:szCs w:val="21"/>
              </w:rPr>
              <w:t>3-</w:t>
            </w:r>
            <w:r>
              <w:rPr>
                <w:rFonts w:hint="eastAsia" w:ascii="Times New Roman" w:hAnsi="Times New Roman" w:eastAsia="宋体" w:cs="Times New Roman"/>
                <w:b/>
                <w:bCs/>
                <w:color w:val="auto"/>
                <w:spacing w:val="6"/>
                <w:sz w:val="21"/>
                <w:szCs w:val="21"/>
                <w:lang w:val="en-US" w:eastAsia="zh-CN"/>
              </w:rPr>
              <w:t>2</w:t>
            </w:r>
            <w:r>
              <w:rPr>
                <w:rFonts w:hint="default" w:ascii="Times New Roman" w:hAnsi="Times New Roman" w:eastAsia="宋体" w:cs="Times New Roman"/>
                <w:b/>
                <w:bCs/>
                <w:color w:val="auto"/>
                <w:spacing w:val="6"/>
                <w:sz w:val="21"/>
                <w:szCs w:val="21"/>
              </w:rPr>
              <w:t xml:space="preserve">    2024 年朝阳市空气</w:t>
            </w:r>
            <w:r>
              <w:rPr>
                <w:rFonts w:hint="default" w:ascii="Times New Roman" w:hAnsi="Times New Roman" w:eastAsia="宋体" w:cs="Times New Roman"/>
                <w:b/>
                <w:bCs/>
                <w:color w:val="auto"/>
                <w:spacing w:val="5"/>
                <w:sz w:val="21"/>
                <w:szCs w:val="21"/>
              </w:rPr>
              <w:t>质量现状评价表</w:t>
            </w:r>
          </w:p>
          <w:tbl>
            <w:tblPr>
              <w:tblStyle w:val="31"/>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14"/>
              <w:gridCol w:w="944"/>
              <w:gridCol w:w="1952"/>
              <w:gridCol w:w="1254"/>
              <w:gridCol w:w="1346"/>
              <w:gridCol w:w="1136"/>
              <w:gridCol w:w="106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4" w:hRule="atLeast"/>
              </w:trPr>
              <w:tc>
                <w:tcPr>
                  <w:tcW w:w="425"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序号</w:t>
                  </w:r>
                </w:p>
              </w:tc>
              <w:tc>
                <w:tcPr>
                  <w:tcW w:w="561"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污染物</w:t>
                  </w:r>
                </w:p>
              </w:tc>
              <w:tc>
                <w:tcPr>
                  <w:tcW w:w="1160"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年评价指标</w:t>
                  </w:r>
                </w:p>
              </w:tc>
              <w:tc>
                <w:tcPr>
                  <w:tcW w:w="745"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现状浓度</w:t>
                  </w:r>
                </w:p>
              </w:tc>
              <w:tc>
                <w:tcPr>
                  <w:tcW w:w="800"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标准值</w:t>
                  </w:r>
                </w:p>
              </w:tc>
              <w:tc>
                <w:tcPr>
                  <w:tcW w:w="675"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position w:val="1"/>
                      <w:sz w:val="21"/>
                      <w:szCs w:val="21"/>
                    </w:rPr>
                    <w:t>占标率%</w:t>
                  </w:r>
                </w:p>
              </w:tc>
              <w:tc>
                <w:tcPr>
                  <w:tcW w:w="631"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达标</w:t>
                  </w:r>
                </w:p>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2" w:hRule="atLeast"/>
              </w:trPr>
              <w:tc>
                <w:tcPr>
                  <w:tcW w:w="42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position w:val="1"/>
                      <w:sz w:val="21"/>
                      <w:szCs w:val="21"/>
                    </w:rPr>
                    <w:t>1</w:t>
                  </w:r>
                </w:p>
              </w:tc>
              <w:tc>
                <w:tcPr>
                  <w:tcW w:w="561"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PM</w:t>
                  </w:r>
                  <w:r>
                    <w:rPr>
                      <w:rFonts w:hint="default" w:ascii="Times New Roman" w:hAnsi="Times New Roman" w:eastAsia="宋体" w:cs="Times New Roman"/>
                      <w:color w:val="auto"/>
                      <w:spacing w:val="6"/>
                      <w:sz w:val="21"/>
                      <w:szCs w:val="21"/>
                      <w:vertAlign w:val="subscript"/>
                    </w:rPr>
                    <w:t>2.5</w:t>
                  </w:r>
                </w:p>
              </w:tc>
              <w:tc>
                <w:tcPr>
                  <w:tcW w:w="1160" w:type="pct"/>
                  <w:vMerge w:val="restart"/>
                  <w:tcBorders>
                    <w:bottom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年平均质量浓度</w:t>
                  </w:r>
                </w:p>
              </w:tc>
              <w:tc>
                <w:tcPr>
                  <w:tcW w:w="74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position w:val="3"/>
                      <w:sz w:val="21"/>
                      <w:szCs w:val="21"/>
                    </w:rPr>
                    <w:t>31µg/m</w:t>
                  </w:r>
                  <w:r>
                    <w:rPr>
                      <w:rFonts w:hint="default" w:ascii="Times New Roman" w:hAnsi="Times New Roman" w:eastAsia="宋体" w:cs="Times New Roman"/>
                      <w:color w:val="auto"/>
                      <w:spacing w:val="3"/>
                      <w:position w:val="9"/>
                      <w:sz w:val="21"/>
                      <w:szCs w:val="21"/>
                    </w:rPr>
                    <w:t>3</w:t>
                  </w:r>
                </w:p>
              </w:tc>
              <w:tc>
                <w:tcPr>
                  <w:tcW w:w="80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position w:val="3"/>
                      <w:sz w:val="21"/>
                      <w:szCs w:val="21"/>
                    </w:rPr>
                    <w:t>35µg/m</w:t>
                  </w:r>
                  <w:r>
                    <w:rPr>
                      <w:rFonts w:hint="default" w:ascii="Times New Roman" w:hAnsi="Times New Roman" w:eastAsia="宋体" w:cs="Times New Roman"/>
                      <w:color w:val="auto"/>
                      <w:spacing w:val="3"/>
                      <w:position w:val="8"/>
                      <w:sz w:val="21"/>
                      <w:szCs w:val="21"/>
                    </w:rPr>
                    <w:t>3</w:t>
                  </w:r>
                </w:p>
              </w:tc>
              <w:tc>
                <w:tcPr>
                  <w:tcW w:w="67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position w:val="2"/>
                      <w:sz w:val="21"/>
                      <w:szCs w:val="21"/>
                    </w:rPr>
                    <w:t>88.6</w:t>
                  </w:r>
                </w:p>
              </w:tc>
              <w:tc>
                <w:tcPr>
                  <w:tcW w:w="631"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1" w:hRule="atLeast"/>
              </w:trPr>
              <w:tc>
                <w:tcPr>
                  <w:tcW w:w="42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position w:val="1"/>
                      <w:sz w:val="21"/>
                      <w:szCs w:val="21"/>
                    </w:rPr>
                    <w:t>2</w:t>
                  </w:r>
                </w:p>
              </w:tc>
              <w:tc>
                <w:tcPr>
                  <w:tcW w:w="561"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position w:val="1"/>
                      <w:sz w:val="21"/>
                      <w:szCs w:val="21"/>
                    </w:rPr>
                    <w:t>PM</w:t>
                  </w:r>
                  <w:r>
                    <w:rPr>
                      <w:rFonts w:hint="default" w:ascii="Times New Roman" w:hAnsi="Times New Roman" w:eastAsia="宋体" w:cs="Times New Roman"/>
                      <w:color w:val="auto"/>
                      <w:spacing w:val="6"/>
                      <w:sz w:val="21"/>
                      <w:szCs w:val="21"/>
                      <w:vertAlign w:val="subscript"/>
                    </w:rPr>
                    <w:t>10</w:t>
                  </w:r>
                </w:p>
              </w:tc>
              <w:tc>
                <w:tcPr>
                  <w:tcW w:w="1160" w:type="pct"/>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74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position w:val="3"/>
                      <w:sz w:val="21"/>
                      <w:szCs w:val="21"/>
                    </w:rPr>
                    <w:t>68µg/m</w:t>
                  </w:r>
                  <w:r>
                    <w:rPr>
                      <w:rFonts w:hint="default" w:ascii="Times New Roman" w:hAnsi="Times New Roman" w:eastAsia="宋体" w:cs="Times New Roman"/>
                      <w:color w:val="auto"/>
                      <w:spacing w:val="3"/>
                      <w:position w:val="9"/>
                      <w:sz w:val="21"/>
                      <w:szCs w:val="21"/>
                    </w:rPr>
                    <w:t>3</w:t>
                  </w:r>
                </w:p>
              </w:tc>
              <w:tc>
                <w:tcPr>
                  <w:tcW w:w="80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position w:val="3"/>
                      <w:sz w:val="21"/>
                      <w:szCs w:val="21"/>
                    </w:rPr>
                    <w:t>70µg/m</w:t>
                  </w:r>
                  <w:r>
                    <w:rPr>
                      <w:rFonts w:hint="default" w:ascii="Times New Roman" w:hAnsi="Times New Roman" w:eastAsia="宋体" w:cs="Times New Roman"/>
                      <w:color w:val="auto"/>
                      <w:spacing w:val="3"/>
                      <w:position w:val="9"/>
                      <w:sz w:val="21"/>
                      <w:szCs w:val="21"/>
                    </w:rPr>
                    <w:t>3</w:t>
                  </w:r>
                </w:p>
              </w:tc>
              <w:tc>
                <w:tcPr>
                  <w:tcW w:w="67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position w:val="2"/>
                      <w:sz w:val="21"/>
                      <w:szCs w:val="21"/>
                    </w:rPr>
                    <w:t>97.1</w:t>
                  </w:r>
                </w:p>
              </w:tc>
              <w:tc>
                <w:tcPr>
                  <w:tcW w:w="631"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2" w:hRule="atLeast"/>
              </w:trPr>
              <w:tc>
                <w:tcPr>
                  <w:tcW w:w="42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position w:val="2"/>
                      <w:sz w:val="21"/>
                      <w:szCs w:val="21"/>
                    </w:rPr>
                    <w:t>3</w:t>
                  </w:r>
                </w:p>
              </w:tc>
              <w:tc>
                <w:tcPr>
                  <w:tcW w:w="561"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SO</w:t>
                  </w:r>
                  <w:r>
                    <w:rPr>
                      <w:rFonts w:hint="default" w:ascii="Times New Roman" w:hAnsi="Times New Roman" w:eastAsia="宋体" w:cs="Times New Roman"/>
                      <w:color w:val="auto"/>
                      <w:spacing w:val="6"/>
                      <w:sz w:val="21"/>
                      <w:szCs w:val="21"/>
                      <w:vertAlign w:val="subscript"/>
                    </w:rPr>
                    <w:t>2</w:t>
                  </w:r>
                </w:p>
              </w:tc>
              <w:tc>
                <w:tcPr>
                  <w:tcW w:w="1160" w:type="pct"/>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74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position w:val="3"/>
                      <w:sz w:val="21"/>
                      <w:szCs w:val="21"/>
                    </w:rPr>
                    <w:t>12µg/m</w:t>
                  </w:r>
                  <w:r>
                    <w:rPr>
                      <w:rFonts w:hint="default" w:ascii="Times New Roman" w:hAnsi="Times New Roman" w:eastAsia="宋体" w:cs="Times New Roman"/>
                      <w:color w:val="auto"/>
                      <w:spacing w:val="1"/>
                      <w:position w:val="9"/>
                      <w:sz w:val="21"/>
                      <w:szCs w:val="21"/>
                    </w:rPr>
                    <w:t>3</w:t>
                  </w:r>
                </w:p>
              </w:tc>
              <w:tc>
                <w:tcPr>
                  <w:tcW w:w="80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position w:val="3"/>
                      <w:sz w:val="21"/>
                      <w:szCs w:val="21"/>
                    </w:rPr>
                    <w:t>60µg/m</w:t>
                  </w:r>
                  <w:r>
                    <w:rPr>
                      <w:rFonts w:hint="default" w:ascii="Times New Roman" w:hAnsi="Times New Roman" w:eastAsia="宋体" w:cs="Times New Roman"/>
                      <w:color w:val="auto"/>
                      <w:spacing w:val="3"/>
                      <w:position w:val="9"/>
                      <w:sz w:val="21"/>
                      <w:szCs w:val="21"/>
                    </w:rPr>
                    <w:t>3</w:t>
                  </w:r>
                </w:p>
              </w:tc>
              <w:tc>
                <w:tcPr>
                  <w:tcW w:w="67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position w:val="2"/>
                      <w:sz w:val="21"/>
                      <w:szCs w:val="21"/>
                    </w:rPr>
                    <w:t>20.0</w:t>
                  </w:r>
                </w:p>
              </w:tc>
              <w:tc>
                <w:tcPr>
                  <w:tcW w:w="631"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1" w:hRule="atLeast"/>
              </w:trPr>
              <w:tc>
                <w:tcPr>
                  <w:tcW w:w="42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position w:val="1"/>
                      <w:sz w:val="21"/>
                      <w:szCs w:val="21"/>
                    </w:rPr>
                    <w:t>4</w:t>
                  </w:r>
                </w:p>
              </w:tc>
              <w:tc>
                <w:tcPr>
                  <w:tcW w:w="561"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NO</w:t>
                  </w:r>
                  <w:r>
                    <w:rPr>
                      <w:rFonts w:hint="default" w:ascii="Times New Roman" w:hAnsi="Times New Roman" w:eastAsia="宋体" w:cs="Times New Roman"/>
                      <w:color w:val="auto"/>
                      <w:spacing w:val="6"/>
                      <w:sz w:val="21"/>
                      <w:szCs w:val="21"/>
                      <w:vertAlign w:val="subscript"/>
                    </w:rPr>
                    <w:t>2</w:t>
                  </w:r>
                </w:p>
              </w:tc>
              <w:tc>
                <w:tcPr>
                  <w:tcW w:w="1160" w:type="pct"/>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74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position w:val="3"/>
                      <w:sz w:val="21"/>
                      <w:szCs w:val="21"/>
                    </w:rPr>
                    <w:t>22µg/m</w:t>
                  </w:r>
                  <w:r>
                    <w:rPr>
                      <w:rFonts w:hint="default" w:ascii="Times New Roman" w:hAnsi="Times New Roman" w:eastAsia="宋体" w:cs="Times New Roman"/>
                      <w:color w:val="auto"/>
                      <w:spacing w:val="4"/>
                      <w:position w:val="9"/>
                      <w:sz w:val="21"/>
                      <w:szCs w:val="21"/>
                    </w:rPr>
                    <w:t>3</w:t>
                  </w:r>
                </w:p>
              </w:tc>
              <w:tc>
                <w:tcPr>
                  <w:tcW w:w="80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position w:val="3"/>
                      <w:sz w:val="21"/>
                      <w:szCs w:val="21"/>
                    </w:rPr>
                    <w:t>40µg/m</w:t>
                  </w:r>
                  <w:r>
                    <w:rPr>
                      <w:rFonts w:hint="default" w:ascii="Times New Roman" w:hAnsi="Times New Roman" w:eastAsia="宋体" w:cs="Times New Roman"/>
                      <w:color w:val="auto"/>
                      <w:spacing w:val="4"/>
                      <w:position w:val="9"/>
                      <w:sz w:val="21"/>
                      <w:szCs w:val="21"/>
                    </w:rPr>
                    <w:t>3</w:t>
                  </w:r>
                </w:p>
              </w:tc>
              <w:tc>
                <w:tcPr>
                  <w:tcW w:w="67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position w:val="2"/>
                      <w:sz w:val="21"/>
                      <w:szCs w:val="21"/>
                    </w:rPr>
                    <w:t>55.0</w:t>
                  </w:r>
                </w:p>
              </w:tc>
              <w:tc>
                <w:tcPr>
                  <w:tcW w:w="631"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8" w:hRule="atLeast"/>
              </w:trPr>
              <w:tc>
                <w:tcPr>
                  <w:tcW w:w="42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561"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CO</w:t>
                  </w:r>
                </w:p>
              </w:tc>
              <w:tc>
                <w:tcPr>
                  <w:tcW w:w="1160"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第</w:t>
                  </w:r>
                  <w:r>
                    <w:rPr>
                      <w:rFonts w:hint="default" w:ascii="Times New Roman" w:hAnsi="Times New Roman" w:eastAsia="宋体" w:cs="Times New Roman"/>
                      <w:color w:val="auto"/>
                      <w:spacing w:val="-36"/>
                      <w:sz w:val="21"/>
                      <w:szCs w:val="21"/>
                    </w:rPr>
                    <w:t xml:space="preserve"> </w:t>
                  </w:r>
                  <w:r>
                    <w:rPr>
                      <w:rFonts w:hint="default" w:ascii="Times New Roman" w:hAnsi="Times New Roman" w:eastAsia="宋体" w:cs="Times New Roman"/>
                      <w:color w:val="auto"/>
                      <w:spacing w:val="4"/>
                      <w:sz w:val="21"/>
                      <w:szCs w:val="21"/>
                    </w:rPr>
                    <w:t>95</w:t>
                  </w:r>
                  <w:r>
                    <w:rPr>
                      <w:rFonts w:hint="default" w:ascii="Times New Roman" w:hAnsi="Times New Roman" w:eastAsia="宋体" w:cs="Times New Roman"/>
                      <w:color w:val="auto"/>
                      <w:spacing w:val="17"/>
                      <w:sz w:val="21"/>
                      <w:szCs w:val="21"/>
                    </w:rPr>
                    <w:t xml:space="preserve"> </w:t>
                  </w:r>
                  <w:r>
                    <w:rPr>
                      <w:rFonts w:hint="default" w:ascii="Times New Roman" w:hAnsi="Times New Roman" w:eastAsia="宋体" w:cs="Times New Roman"/>
                      <w:color w:val="auto"/>
                      <w:spacing w:val="4"/>
                      <w:sz w:val="21"/>
                      <w:szCs w:val="21"/>
                    </w:rPr>
                    <w:t>百分位数日</w:t>
                  </w:r>
                  <w:r>
                    <w:rPr>
                      <w:rFonts w:hint="default" w:ascii="Times New Roman" w:hAnsi="Times New Roman" w:eastAsia="宋体" w:cs="Times New Roman"/>
                      <w:color w:val="auto"/>
                      <w:spacing w:val="8"/>
                      <w:sz w:val="21"/>
                      <w:szCs w:val="21"/>
                    </w:rPr>
                    <w:t>平均质量浓度</w:t>
                  </w:r>
                </w:p>
              </w:tc>
              <w:tc>
                <w:tcPr>
                  <w:tcW w:w="74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position w:val="3"/>
                      <w:sz w:val="21"/>
                      <w:szCs w:val="21"/>
                    </w:rPr>
                    <w:t>1400µg/m</w:t>
                  </w:r>
                  <w:r>
                    <w:rPr>
                      <w:rFonts w:hint="default" w:ascii="Times New Roman" w:hAnsi="Times New Roman" w:eastAsia="宋体" w:cs="Times New Roman"/>
                      <w:color w:val="auto"/>
                      <w:spacing w:val="2"/>
                      <w:position w:val="9"/>
                      <w:sz w:val="21"/>
                      <w:szCs w:val="21"/>
                    </w:rPr>
                    <w:t>3</w:t>
                  </w:r>
                </w:p>
              </w:tc>
              <w:tc>
                <w:tcPr>
                  <w:tcW w:w="80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position w:val="3"/>
                      <w:sz w:val="21"/>
                      <w:szCs w:val="21"/>
                    </w:rPr>
                    <w:t>4000µg/m</w:t>
                  </w:r>
                  <w:r>
                    <w:rPr>
                      <w:rFonts w:hint="default" w:ascii="Times New Roman" w:hAnsi="Times New Roman" w:eastAsia="宋体" w:cs="Times New Roman"/>
                      <w:color w:val="auto"/>
                      <w:spacing w:val="4"/>
                      <w:position w:val="9"/>
                      <w:sz w:val="21"/>
                      <w:szCs w:val="21"/>
                    </w:rPr>
                    <w:t>3</w:t>
                  </w:r>
                </w:p>
              </w:tc>
              <w:tc>
                <w:tcPr>
                  <w:tcW w:w="67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position w:val="2"/>
                      <w:sz w:val="21"/>
                      <w:szCs w:val="21"/>
                    </w:rPr>
                    <w:t>35.0</w:t>
                  </w:r>
                </w:p>
              </w:tc>
              <w:tc>
                <w:tcPr>
                  <w:tcW w:w="631"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5" w:hRule="atLeast"/>
              </w:trPr>
              <w:tc>
                <w:tcPr>
                  <w:tcW w:w="42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position w:val="2"/>
                      <w:sz w:val="21"/>
                      <w:szCs w:val="21"/>
                    </w:rPr>
                    <w:t>6</w:t>
                  </w:r>
                </w:p>
              </w:tc>
              <w:tc>
                <w:tcPr>
                  <w:tcW w:w="561"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position w:val="1"/>
                      <w:sz w:val="21"/>
                      <w:szCs w:val="21"/>
                    </w:rPr>
                    <w:t>O</w:t>
                  </w:r>
                  <w:r>
                    <w:rPr>
                      <w:rFonts w:hint="default" w:ascii="Times New Roman" w:hAnsi="Times New Roman" w:eastAsia="宋体" w:cs="Times New Roman"/>
                      <w:color w:val="auto"/>
                      <w:spacing w:val="6"/>
                      <w:sz w:val="21"/>
                      <w:szCs w:val="21"/>
                      <w:vertAlign w:val="subscript"/>
                    </w:rPr>
                    <w:t>3</w:t>
                  </w:r>
                </w:p>
              </w:tc>
              <w:tc>
                <w:tcPr>
                  <w:tcW w:w="1160"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第</w:t>
                  </w:r>
                  <w:r>
                    <w:rPr>
                      <w:rFonts w:hint="default" w:ascii="Times New Roman" w:hAnsi="Times New Roman" w:eastAsia="宋体" w:cs="Times New Roman"/>
                      <w:color w:val="auto"/>
                      <w:spacing w:val="-34"/>
                      <w:sz w:val="21"/>
                      <w:szCs w:val="21"/>
                    </w:rPr>
                    <w:t xml:space="preserve"> </w:t>
                  </w:r>
                  <w:r>
                    <w:rPr>
                      <w:rFonts w:hint="default" w:ascii="Times New Roman" w:hAnsi="Times New Roman" w:eastAsia="宋体" w:cs="Times New Roman"/>
                      <w:color w:val="auto"/>
                      <w:spacing w:val="2"/>
                      <w:sz w:val="21"/>
                      <w:szCs w:val="21"/>
                    </w:rPr>
                    <w:t>90</w:t>
                  </w:r>
                  <w:r>
                    <w:rPr>
                      <w:rFonts w:hint="default" w:ascii="Times New Roman" w:hAnsi="Times New Roman" w:eastAsia="宋体" w:cs="Times New Roman"/>
                      <w:color w:val="auto"/>
                      <w:spacing w:val="17"/>
                      <w:w w:val="101"/>
                      <w:sz w:val="21"/>
                      <w:szCs w:val="21"/>
                    </w:rPr>
                    <w:t xml:space="preserve"> </w:t>
                  </w:r>
                  <w:r>
                    <w:rPr>
                      <w:rFonts w:hint="default" w:ascii="Times New Roman" w:hAnsi="Times New Roman" w:eastAsia="宋体" w:cs="Times New Roman"/>
                      <w:color w:val="auto"/>
                      <w:spacing w:val="2"/>
                      <w:sz w:val="21"/>
                      <w:szCs w:val="21"/>
                    </w:rPr>
                    <w:t>百分位数</w:t>
                  </w:r>
                  <w:r>
                    <w:rPr>
                      <w:rFonts w:hint="default" w:ascii="Times New Roman" w:hAnsi="Times New Roman" w:eastAsia="宋体" w:cs="Times New Roman"/>
                      <w:color w:val="auto"/>
                      <w:spacing w:val="-33"/>
                      <w:sz w:val="21"/>
                      <w:szCs w:val="21"/>
                    </w:rPr>
                    <w:t xml:space="preserve"> </w:t>
                  </w:r>
                  <w:r>
                    <w:rPr>
                      <w:rFonts w:hint="default" w:ascii="Times New Roman" w:hAnsi="Times New Roman" w:eastAsia="宋体" w:cs="Times New Roman"/>
                      <w:color w:val="auto"/>
                      <w:spacing w:val="2"/>
                      <w:sz w:val="21"/>
                      <w:szCs w:val="21"/>
                    </w:rPr>
                    <w:t>8h</w:t>
                  </w:r>
                  <w:r>
                    <w:rPr>
                      <w:rFonts w:hint="default" w:ascii="Times New Roman" w:hAnsi="Times New Roman" w:eastAsia="宋体" w:cs="Times New Roman"/>
                      <w:color w:val="auto"/>
                      <w:spacing w:val="8"/>
                      <w:sz w:val="21"/>
                      <w:szCs w:val="21"/>
                    </w:rPr>
                    <w:t>平均质量浓度</w:t>
                  </w:r>
                </w:p>
              </w:tc>
              <w:tc>
                <w:tcPr>
                  <w:tcW w:w="74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position w:val="3"/>
                      <w:sz w:val="21"/>
                      <w:szCs w:val="21"/>
                    </w:rPr>
                    <w:t>156µg/m</w:t>
                  </w:r>
                  <w:r>
                    <w:rPr>
                      <w:rFonts w:hint="default" w:ascii="Times New Roman" w:hAnsi="Times New Roman" w:eastAsia="宋体" w:cs="Times New Roman"/>
                      <w:color w:val="auto"/>
                      <w:spacing w:val="1"/>
                      <w:position w:val="9"/>
                      <w:sz w:val="21"/>
                      <w:szCs w:val="21"/>
                    </w:rPr>
                    <w:t>3</w:t>
                  </w:r>
                </w:p>
              </w:tc>
              <w:tc>
                <w:tcPr>
                  <w:tcW w:w="80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position w:val="3"/>
                      <w:sz w:val="21"/>
                      <w:szCs w:val="21"/>
                    </w:rPr>
                    <w:t>160µg/m</w:t>
                  </w:r>
                  <w:r>
                    <w:rPr>
                      <w:rFonts w:hint="default" w:ascii="Times New Roman" w:hAnsi="Times New Roman" w:eastAsia="宋体" w:cs="Times New Roman"/>
                      <w:color w:val="auto"/>
                      <w:spacing w:val="1"/>
                      <w:position w:val="9"/>
                      <w:sz w:val="21"/>
                      <w:szCs w:val="21"/>
                    </w:rPr>
                    <w:t>3</w:t>
                  </w:r>
                </w:p>
              </w:tc>
              <w:tc>
                <w:tcPr>
                  <w:tcW w:w="675"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position w:val="2"/>
                      <w:sz w:val="21"/>
                      <w:szCs w:val="21"/>
                    </w:rPr>
                    <w:t>97.5</w:t>
                  </w:r>
                </w:p>
              </w:tc>
              <w:tc>
                <w:tcPr>
                  <w:tcW w:w="631"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达标</w:t>
                  </w:r>
                </w:p>
              </w:tc>
            </w:tr>
          </w:tbl>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508" w:firstLineChars="200"/>
              <w:jc w:val="both"/>
              <w:textAlignment w:val="auto"/>
              <w:rPr>
                <w:rFonts w:hint="default" w:ascii="Times New Roman" w:hAnsi="Times New Roman" w:eastAsia="宋体" w:cs="Times New Roman"/>
                <w:color w:val="auto"/>
                <w:spacing w:val="7"/>
                <w:sz w:val="24"/>
                <w:szCs w:val="24"/>
              </w:rPr>
            </w:pPr>
            <w:r>
              <w:rPr>
                <w:rFonts w:hint="default" w:ascii="Times New Roman" w:hAnsi="Times New Roman" w:eastAsia="宋体" w:cs="Times New Roman"/>
                <w:color w:val="auto"/>
                <w:spacing w:val="7"/>
                <w:sz w:val="24"/>
                <w:szCs w:val="24"/>
              </w:rPr>
              <w:t>项目区域 PM</w:t>
            </w:r>
            <w:r>
              <w:rPr>
                <w:rFonts w:hint="default" w:ascii="Times New Roman" w:hAnsi="Times New Roman" w:eastAsia="宋体" w:cs="Times New Roman"/>
                <w:color w:val="auto"/>
                <w:spacing w:val="7"/>
                <w:sz w:val="24"/>
                <w:szCs w:val="24"/>
                <w:vertAlign w:val="subscript"/>
              </w:rPr>
              <w:t>10</w:t>
            </w:r>
            <w:r>
              <w:rPr>
                <w:rFonts w:hint="default" w:ascii="Times New Roman" w:hAnsi="Times New Roman" w:eastAsia="宋体" w:cs="Times New Roman"/>
                <w:color w:val="auto"/>
                <w:spacing w:val="7"/>
                <w:sz w:val="24"/>
                <w:szCs w:val="24"/>
              </w:rPr>
              <w:t>、PM</w:t>
            </w:r>
            <w:r>
              <w:rPr>
                <w:rFonts w:hint="default" w:ascii="Times New Roman" w:hAnsi="Times New Roman" w:eastAsia="宋体" w:cs="Times New Roman"/>
                <w:color w:val="auto"/>
                <w:spacing w:val="7"/>
                <w:sz w:val="24"/>
                <w:szCs w:val="24"/>
                <w:vertAlign w:val="subscript"/>
              </w:rPr>
              <w:t>2.5</w:t>
            </w:r>
            <w:r>
              <w:rPr>
                <w:rFonts w:hint="default" w:ascii="Times New Roman" w:hAnsi="Times New Roman" w:eastAsia="宋体" w:cs="Times New Roman"/>
                <w:color w:val="auto"/>
                <w:spacing w:val="7"/>
                <w:sz w:val="24"/>
                <w:szCs w:val="24"/>
              </w:rPr>
              <w:t>、CO、SO</w:t>
            </w:r>
            <w:r>
              <w:rPr>
                <w:rFonts w:hint="default" w:ascii="Times New Roman" w:hAnsi="Times New Roman" w:eastAsia="宋体" w:cs="Times New Roman"/>
                <w:color w:val="auto"/>
                <w:spacing w:val="7"/>
                <w:sz w:val="24"/>
                <w:szCs w:val="24"/>
                <w:vertAlign w:val="subscript"/>
              </w:rPr>
              <w:t>2</w:t>
            </w:r>
            <w:r>
              <w:rPr>
                <w:rFonts w:hint="default" w:ascii="Times New Roman" w:hAnsi="Times New Roman" w:eastAsia="宋体" w:cs="Times New Roman"/>
                <w:color w:val="auto"/>
                <w:spacing w:val="7"/>
                <w:sz w:val="24"/>
                <w:szCs w:val="24"/>
              </w:rPr>
              <w:t>、NO</w:t>
            </w:r>
            <w:r>
              <w:rPr>
                <w:rFonts w:hint="default" w:ascii="Times New Roman" w:hAnsi="Times New Roman" w:eastAsia="宋体" w:cs="Times New Roman"/>
                <w:color w:val="auto"/>
                <w:spacing w:val="7"/>
                <w:sz w:val="24"/>
                <w:szCs w:val="24"/>
                <w:vertAlign w:val="subscript"/>
              </w:rPr>
              <w:t>2</w:t>
            </w:r>
            <w:r>
              <w:rPr>
                <w:rFonts w:hint="default" w:ascii="Times New Roman" w:hAnsi="Times New Roman" w:eastAsia="宋体" w:cs="Times New Roman"/>
                <w:color w:val="auto"/>
                <w:spacing w:val="7"/>
                <w:sz w:val="24"/>
                <w:szCs w:val="24"/>
              </w:rPr>
              <w:t>、O</w:t>
            </w:r>
            <w:r>
              <w:rPr>
                <w:rFonts w:hint="default" w:ascii="Times New Roman" w:hAnsi="Times New Roman" w:eastAsia="宋体" w:cs="Times New Roman"/>
                <w:color w:val="auto"/>
                <w:spacing w:val="7"/>
                <w:sz w:val="24"/>
                <w:szCs w:val="24"/>
                <w:vertAlign w:val="subscript"/>
              </w:rPr>
              <w:t xml:space="preserve">3 </w:t>
            </w:r>
            <w:r>
              <w:rPr>
                <w:rFonts w:hint="default" w:ascii="Times New Roman" w:hAnsi="Times New Roman" w:eastAsia="宋体" w:cs="Times New Roman"/>
                <w:color w:val="auto"/>
                <w:spacing w:val="7"/>
                <w:sz w:val="24"/>
                <w:szCs w:val="24"/>
              </w:rPr>
              <w:t>均满足《环境空气质量标准》（</w:t>
            </w:r>
            <w:r>
              <w:rPr>
                <w:rFonts w:hint="eastAsia" w:ascii="Times New Roman" w:hAnsi="Times New Roman" w:eastAsia="宋体" w:cs="Times New Roman"/>
                <w:color w:val="auto"/>
                <w:spacing w:val="7"/>
                <w:sz w:val="24"/>
                <w:szCs w:val="24"/>
                <w:lang w:eastAsia="zh-CN"/>
              </w:rPr>
              <w:t>GB 3095-2026</w:t>
            </w:r>
            <w:r>
              <w:rPr>
                <w:rFonts w:hint="default" w:ascii="Times New Roman" w:hAnsi="Times New Roman" w:eastAsia="宋体" w:cs="Times New Roman"/>
                <w:color w:val="auto"/>
                <w:spacing w:val="7"/>
                <w:sz w:val="24"/>
                <w:szCs w:val="24"/>
              </w:rPr>
              <w:t>）中的二级标准要求，判定项目所在区为环境空气质量达标区。</w:t>
            </w:r>
          </w:p>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49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spacing w:val="2"/>
                <w:sz w:val="24"/>
                <w:szCs w:val="24"/>
                <w:highlight w:val="none"/>
              </w:rPr>
              <w:t>2.</w:t>
            </w:r>
            <w:r>
              <w:rPr>
                <w:rFonts w:hint="default" w:ascii="Times New Roman" w:hAnsi="Times New Roman" w:eastAsia="宋体" w:cs="Times New Roman"/>
                <w:b/>
                <w:bCs/>
                <w:color w:val="auto"/>
                <w:spacing w:val="-17"/>
                <w:sz w:val="24"/>
                <w:szCs w:val="24"/>
                <w:highlight w:val="none"/>
              </w:rPr>
              <w:t xml:space="preserve"> </w:t>
            </w:r>
            <w:r>
              <w:rPr>
                <w:rFonts w:hint="default" w:ascii="Times New Roman" w:hAnsi="Times New Roman" w:eastAsia="宋体" w:cs="Times New Roman"/>
                <w:b/>
                <w:bCs/>
                <w:color w:val="auto"/>
                <w:spacing w:val="2"/>
                <w:sz w:val="24"/>
                <w:szCs w:val="24"/>
                <w:highlight w:val="none"/>
              </w:rPr>
              <w:t>电磁环境现状</w:t>
            </w:r>
          </w:p>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508"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pacing w:val="7"/>
                <w:sz w:val="24"/>
                <w:szCs w:val="24"/>
                <w:highlight w:val="none"/>
              </w:rPr>
              <w:t>本</w:t>
            </w:r>
            <w:r>
              <w:rPr>
                <w:rFonts w:hint="eastAsia" w:ascii="Times New Roman" w:hAnsi="Times New Roman" w:eastAsia="宋体" w:cs="Times New Roman"/>
                <w:color w:val="auto"/>
                <w:spacing w:val="7"/>
                <w:sz w:val="24"/>
                <w:szCs w:val="24"/>
                <w:highlight w:val="none"/>
                <w:lang w:val="en-US" w:eastAsia="zh-CN"/>
              </w:rPr>
              <w:t>项目电磁环境数据引用</w:t>
            </w:r>
            <w:r>
              <w:rPr>
                <w:rFonts w:hint="default" w:ascii="Times New Roman" w:hAnsi="Times New Roman" w:eastAsia="宋体" w:cs="Times New Roman"/>
                <w:color w:val="auto"/>
                <w:spacing w:val="7"/>
                <w:sz w:val="24"/>
                <w:szCs w:val="24"/>
                <w:highlight w:val="none"/>
              </w:rPr>
              <w:t>辽宁天圆检测有限责任公司对</w:t>
            </w:r>
            <w:r>
              <w:rPr>
                <w:rFonts w:hint="eastAsia" w:ascii="Times New Roman" w:hAnsi="Times New Roman" w:eastAsia="宋体" w:cs="Times New Roman"/>
                <w:color w:val="auto"/>
                <w:spacing w:val="7"/>
                <w:sz w:val="24"/>
                <w:szCs w:val="24"/>
                <w:highlight w:val="none"/>
                <w:lang w:eastAsia="zh-CN"/>
              </w:rPr>
              <w:t>《中能国宏100MW/200MWh独立储能电站项目》</w:t>
            </w:r>
            <w:r>
              <w:rPr>
                <w:rFonts w:hint="default" w:ascii="Times New Roman" w:hAnsi="Times New Roman" w:eastAsia="宋体" w:cs="Times New Roman"/>
                <w:color w:val="auto"/>
                <w:spacing w:val="7"/>
                <w:sz w:val="24"/>
                <w:szCs w:val="24"/>
                <w:highlight w:val="none"/>
              </w:rPr>
              <w:t>四周电磁环境质量现状监测，监测结果表明，各监测点位工</w:t>
            </w:r>
            <w:r>
              <w:rPr>
                <w:rFonts w:hint="default" w:ascii="Times New Roman" w:hAnsi="Times New Roman" w:eastAsia="宋体" w:cs="Times New Roman"/>
                <w:color w:val="auto"/>
                <w:spacing w:val="16"/>
                <w:sz w:val="24"/>
                <w:szCs w:val="24"/>
                <w:highlight w:val="none"/>
              </w:rPr>
              <w:t>频电场强度和工频磁感应强度均满足《电磁环境控制限值》（</w:t>
            </w:r>
            <w:r>
              <w:rPr>
                <w:rFonts w:hint="default" w:ascii="Times New Roman" w:hAnsi="Times New Roman" w:eastAsia="宋体" w:cs="Times New Roman"/>
                <w:color w:val="auto"/>
                <w:sz w:val="24"/>
                <w:szCs w:val="24"/>
                <w:highlight w:val="none"/>
              </w:rPr>
              <w:t>GB</w:t>
            </w:r>
            <w:r>
              <w:rPr>
                <w:rFonts w:hint="default" w:ascii="Times New Roman" w:hAnsi="Times New Roman" w:eastAsia="宋体" w:cs="Times New Roman"/>
                <w:color w:val="auto"/>
                <w:spacing w:val="16"/>
                <w:sz w:val="24"/>
                <w:szCs w:val="24"/>
                <w:highlight w:val="none"/>
              </w:rPr>
              <w:t>8702-2014</w:t>
            </w:r>
            <w:r>
              <w:rPr>
                <w:rFonts w:hint="default" w:ascii="Times New Roman" w:hAnsi="Times New Roman" w:eastAsia="宋体" w:cs="Times New Roman"/>
                <w:color w:val="auto"/>
                <w:spacing w:val="15"/>
                <w:sz w:val="24"/>
                <w:szCs w:val="24"/>
                <w:highlight w:val="none"/>
              </w:rPr>
              <w:t>）中规定的</w:t>
            </w:r>
            <w:r>
              <w:rPr>
                <w:rFonts w:hint="default" w:ascii="Times New Roman" w:hAnsi="Times New Roman" w:eastAsia="宋体" w:cs="Times New Roman"/>
                <w:color w:val="auto"/>
                <w:spacing w:val="7"/>
                <w:sz w:val="24"/>
                <w:szCs w:val="24"/>
                <w:highlight w:val="none"/>
              </w:rPr>
              <w:t>4000V/m和100µT公众曝露控制限值的要求，具体内容</w:t>
            </w:r>
            <w:r>
              <w:rPr>
                <w:rFonts w:hint="default" w:ascii="Times New Roman" w:hAnsi="Times New Roman" w:eastAsia="宋体" w:cs="Times New Roman"/>
                <w:color w:val="auto"/>
                <w:spacing w:val="6"/>
                <w:sz w:val="24"/>
                <w:szCs w:val="24"/>
                <w:highlight w:val="none"/>
              </w:rPr>
              <w:t>见电磁专项评价。</w:t>
            </w:r>
          </w:p>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506"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spacing w:val="6"/>
                <w:sz w:val="24"/>
                <w:szCs w:val="24"/>
                <w:highlight w:val="none"/>
              </w:rPr>
              <w:t>3.声环境现状</w:t>
            </w:r>
          </w:p>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512"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pacing w:val="8"/>
                <w:sz w:val="24"/>
                <w:szCs w:val="24"/>
                <w:highlight w:val="none"/>
              </w:rPr>
              <w:t>①监测布点</w:t>
            </w:r>
          </w:p>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492"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pacing w:val="3"/>
                <w:sz w:val="24"/>
                <w:szCs w:val="24"/>
                <w:highlight w:val="none"/>
              </w:rPr>
              <w:t>2025年11月21日-22日辽宁鹏宇环境监测有限公司对</w:t>
            </w:r>
            <w:r>
              <w:rPr>
                <w:rFonts w:hint="eastAsia" w:ascii="Times New Roman" w:hAnsi="Times New Roman" w:eastAsia="宋体" w:cs="Times New Roman"/>
                <w:color w:val="auto"/>
                <w:spacing w:val="7"/>
                <w:sz w:val="24"/>
                <w:szCs w:val="24"/>
                <w:highlight w:val="none"/>
                <w:lang w:eastAsia="zh-CN"/>
              </w:rPr>
              <w:t>《朝阳国宏100MW储能项目220千伏送出工程项目环境质量现状监测》</w:t>
            </w:r>
            <w:r>
              <w:rPr>
                <w:rFonts w:hint="eastAsia" w:ascii="Times New Roman" w:hAnsi="Times New Roman" w:eastAsia="宋体" w:cs="Times New Roman"/>
                <w:color w:val="auto"/>
                <w:spacing w:val="8"/>
                <w:sz w:val="24"/>
                <w:szCs w:val="24"/>
                <w:highlight w:val="none"/>
                <w:lang w:val="en-US" w:eastAsia="zh-CN"/>
              </w:rPr>
              <w:t>的</w:t>
            </w:r>
            <w:r>
              <w:rPr>
                <w:rFonts w:hint="default" w:ascii="Times New Roman" w:hAnsi="Times New Roman" w:eastAsia="宋体" w:cs="Times New Roman"/>
                <w:color w:val="auto"/>
                <w:spacing w:val="8"/>
                <w:sz w:val="24"/>
                <w:szCs w:val="24"/>
                <w:highlight w:val="none"/>
              </w:rPr>
              <w:t>声环境质量现状监测</w:t>
            </w:r>
            <w:r>
              <w:rPr>
                <w:rFonts w:hint="eastAsia" w:ascii="Times New Roman" w:hAnsi="Times New Roman" w:eastAsia="宋体" w:cs="Times New Roman"/>
                <w:color w:val="auto"/>
                <w:spacing w:val="8"/>
                <w:sz w:val="24"/>
                <w:szCs w:val="24"/>
                <w:highlight w:val="none"/>
                <w:lang w:val="en-US" w:eastAsia="zh-CN"/>
              </w:rPr>
              <w:t>进行了监测</w:t>
            </w:r>
            <w:r>
              <w:rPr>
                <w:rFonts w:hint="default" w:ascii="Times New Roman" w:hAnsi="Times New Roman" w:eastAsia="宋体" w:cs="Times New Roman"/>
                <w:color w:val="auto"/>
                <w:spacing w:val="8"/>
                <w:sz w:val="24"/>
                <w:szCs w:val="24"/>
                <w:highlight w:val="none"/>
              </w:rPr>
              <w:t>。监测布点原则根据相关导则、规范要求。</w:t>
            </w:r>
          </w:p>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512" w:firstLineChars="200"/>
              <w:textAlignment w:val="auto"/>
              <w:rPr>
                <w:rFonts w:hint="default" w:ascii="Times New Roman" w:hAnsi="Times New Roman" w:eastAsia="宋体" w:cs="Times New Roman"/>
                <w:color w:val="auto"/>
                <w:spacing w:val="7"/>
                <w:sz w:val="24"/>
                <w:szCs w:val="24"/>
                <w:highlight w:val="none"/>
                <w:lang w:eastAsia="zh-CN"/>
              </w:rPr>
            </w:pPr>
            <w:r>
              <w:rPr>
                <w:rFonts w:hint="default" w:ascii="Times New Roman" w:hAnsi="Times New Roman" w:eastAsia="宋体" w:cs="Times New Roman"/>
                <w:color w:val="auto"/>
                <w:spacing w:val="8"/>
                <w:sz w:val="24"/>
                <w:szCs w:val="24"/>
                <w:highlight w:val="none"/>
              </w:rPr>
              <w:t>②</w:t>
            </w:r>
            <w:r>
              <w:rPr>
                <w:rFonts w:hint="default" w:ascii="Times New Roman" w:hAnsi="Times New Roman" w:eastAsia="宋体" w:cs="Times New Roman"/>
                <w:color w:val="auto"/>
                <w:spacing w:val="7"/>
                <w:sz w:val="24"/>
                <w:szCs w:val="24"/>
                <w:highlight w:val="none"/>
                <w:lang w:eastAsia="zh-CN"/>
              </w:rPr>
              <w:t>监测项目及频次</w:t>
            </w:r>
          </w:p>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508" w:firstLineChars="200"/>
              <w:textAlignment w:val="auto"/>
              <w:rPr>
                <w:rFonts w:hint="default" w:ascii="Times New Roman" w:hAnsi="Times New Roman" w:eastAsia="宋体" w:cs="Times New Roman"/>
                <w:color w:val="auto"/>
                <w:spacing w:val="7"/>
                <w:sz w:val="24"/>
                <w:szCs w:val="24"/>
                <w:highlight w:val="none"/>
                <w:lang w:eastAsia="zh-CN"/>
              </w:rPr>
            </w:pPr>
            <w:r>
              <w:rPr>
                <w:rFonts w:hint="default" w:ascii="Times New Roman" w:hAnsi="Times New Roman" w:eastAsia="宋体" w:cs="Times New Roman"/>
                <w:color w:val="auto"/>
                <w:spacing w:val="7"/>
                <w:sz w:val="24"/>
                <w:szCs w:val="24"/>
                <w:highlight w:val="none"/>
                <w:lang w:eastAsia="zh-CN"/>
              </w:rPr>
              <w:t>监测项目为声环境，监测频次为各监测点位昼、夜各监测一次。</w:t>
            </w:r>
          </w:p>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508" w:firstLineChars="200"/>
              <w:textAlignment w:val="auto"/>
              <w:rPr>
                <w:rFonts w:hint="default" w:ascii="Times New Roman" w:hAnsi="Times New Roman" w:eastAsia="宋体" w:cs="Times New Roman"/>
                <w:color w:val="auto"/>
                <w:spacing w:val="7"/>
                <w:sz w:val="24"/>
                <w:szCs w:val="24"/>
                <w:highlight w:val="none"/>
                <w:lang w:eastAsia="zh-CN"/>
              </w:rPr>
            </w:pPr>
            <w:r>
              <w:rPr>
                <w:rFonts w:hint="default" w:ascii="Times New Roman" w:hAnsi="Times New Roman" w:eastAsia="宋体" w:cs="Times New Roman"/>
                <w:color w:val="auto"/>
                <w:spacing w:val="7"/>
                <w:sz w:val="24"/>
                <w:szCs w:val="24"/>
                <w:highlight w:val="none"/>
                <w:lang w:eastAsia="zh-CN"/>
              </w:rPr>
              <w:t>监测仪器名称、型号详见表3-</w:t>
            </w:r>
            <w:r>
              <w:rPr>
                <w:rFonts w:hint="eastAsia" w:ascii="Times New Roman" w:hAnsi="Times New Roman" w:eastAsia="宋体" w:cs="Times New Roman"/>
                <w:color w:val="auto"/>
                <w:spacing w:val="7"/>
                <w:sz w:val="24"/>
                <w:szCs w:val="24"/>
                <w:highlight w:val="none"/>
                <w:lang w:val="en-US" w:eastAsia="zh-CN"/>
              </w:rPr>
              <w:t>3</w:t>
            </w:r>
            <w:r>
              <w:rPr>
                <w:rFonts w:hint="default" w:ascii="Times New Roman" w:hAnsi="Times New Roman" w:eastAsia="宋体" w:cs="Times New Roman"/>
                <w:color w:val="auto"/>
                <w:spacing w:val="7"/>
                <w:sz w:val="24"/>
                <w:szCs w:val="24"/>
                <w:highlight w:val="none"/>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2" w:firstLineChars="200"/>
              <w:jc w:val="center"/>
              <w:textAlignment w:val="auto"/>
              <w:rPr>
                <w:color w:val="auto"/>
                <w:highlight w:val="none"/>
              </w:rPr>
            </w:pPr>
            <w:r>
              <w:rPr>
                <w:rFonts w:hint="default" w:ascii="Times New Roman" w:hAnsi="Times New Roman" w:cs="Times New Roman"/>
                <w:b/>
                <w:bCs/>
                <w:color w:val="auto"/>
                <w:spacing w:val="5"/>
                <w:sz w:val="21"/>
                <w:szCs w:val="21"/>
                <w:highlight w:val="none"/>
              </w:rPr>
              <w:t>表3</w:t>
            </w:r>
            <w:r>
              <w:rPr>
                <w:rFonts w:hint="eastAsia" w:ascii="Times New Roman" w:hAnsi="Times New Roman" w:cs="Times New Roman"/>
                <w:b/>
                <w:bCs/>
                <w:color w:val="auto"/>
                <w:spacing w:val="5"/>
                <w:sz w:val="21"/>
                <w:szCs w:val="21"/>
                <w:highlight w:val="none"/>
                <w:lang w:val="en-US" w:eastAsia="zh-CN"/>
              </w:rPr>
              <w:t>-3</w:t>
            </w:r>
            <w:r>
              <w:rPr>
                <w:rFonts w:hint="default" w:ascii="Times New Roman" w:hAnsi="Times New Roman" w:cs="Times New Roman"/>
                <w:b/>
                <w:bCs/>
                <w:color w:val="auto"/>
                <w:spacing w:val="5"/>
                <w:sz w:val="21"/>
                <w:szCs w:val="21"/>
                <w:highlight w:val="none"/>
              </w:rPr>
              <w:t xml:space="preserve"> 声环境监测仪器</w:t>
            </w:r>
          </w:p>
          <w:tbl>
            <w:tblPr>
              <w:tblStyle w:val="31"/>
              <w:tblW w:w="494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552"/>
              <w:gridCol w:w="2251"/>
              <w:gridCol w:w="2316"/>
              <w:gridCol w:w="220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4" w:hRule="atLeast"/>
              </w:trPr>
              <w:tc>
                <w:tcPr>
                  <w:tcW w:w="931" w:type="pct"/>
                  <w:vAlign w:val="top"/>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11"/>
                      <w:sz w:val="21"/>
                      <w:szCs w:val="21"/>
                      <w:highlight w:val="none"/>
                    </w:rPr>
                  </w:pPr>
                  <w:r>
                    <w:rPr>
                      <w:rFonts w:hint="default" w:ascii="Times New Roman" w:hAnsi="Times New Roman" w:eastAsia="宋体" w:cs="Times New Roman"/>
                      <w:color w:val="auto"/>
                      <w:spacing w:val="11"/>
                      <w:sz w:val="21"/>
                      <w:szCs w:val="21"/>
                      <w:highlight w:val="none"/>
                    </w:rPr>
                    <w:t>序号</w:t>
                  </w:r>
                </w:p>
              </w:tc>
              <w:tc>
                <w:tcPr>
                  <w:tcW w:w="1351"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11"/>
                      <w:sz w:val="21"/>
                      <w:szCs w:val="21"/>
                      <w:highlight w:val="none"/>
                      <w:lang w:val="en-US" w:eastAsia="zh-CN"/>
                    </w:rPr>
                  </w:pPr>
                  <w:r>
                    <w:rPr>
                      <w:rFonts w:hint="eastAsia" w:ascii="Times New Roman" w:hAnsi="Times New Roman" w:eastAsia="宋体" w:cs="Times New Roman"/>
                      <w:color w:val="auto"/>
                      <w:spacing w:val="11"/>
                      <w:sz w:val="21"/>
                      <w:szCs w:val="21"/>
                      <w:highlight w:val="none"/>
                      <w:lang w:val="en-US" w:eastAsia="zh-CN"/>
                    </w:rPr>
                    <w:t>仪器编号</w:t>
                  </w:r>
                </w:p>
              </w:tc>
              <w:tc>
                <w:tcPr>
                  <w:tcW w:w="1390"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11"/>
                      <w:sz w:val="21"/>
                      <w:szCs w:val="21"/>
                      <w:highlight w:val="none"/>
                    </w:rPr>
                  </w:pPr>
                  <w:r>
                    <w:rPr>
                      <w:rFonts w:hint="default" w:ascii="Times New Roman" w:hAnsi="Times New Roman" w:eastAsia="宋体" w:cs="Times New Roman"/>
                      <w:color w:val="auto"/>
                      <w:spacing w:val="11"/>
                      <w:sz w:val="21"/>
                      <w:szCs w:val="21"/>
                      <w:highlight w:val="none"/>
                    </w:rPr>
                    <w:t>监测项目</w:t>
                  </w:r>
                </w:p>
              </w:tc>
              <w:tc>
                <w:tcPr>
                  <w:tcW w:w="1326" w:type="pct"/>
                  <w:vAlign w:val="top"/>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11"/>
                      <w:sz w:val="21"/>
                      <w:szCs w:val="21"/>
                      <w:highlight w:val="none"/>
                    </w:rPr>
                  </w:pPr>
                  <w:r>
                    <w:rPr>
                      <w:rFonts w:hint="default" w:ascii="Times New Roman" w:hAnsi="Times New Roman" w:eastAsia="宋体" w:cs="Times New Roman"/>
                      <w:color w:val="auto"/>
                      <w:spacing w:val="11"/>
                      <w:sz w:val="21"/>
                      <w:szCs w:val="21"/>
                      <w:highlight w:val="none"/>
                    </w:rPr>
                    <w:t>仪器型号</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0" w:hRule="atLeast"/>
              </w:trPr>
              <w:tc>
                <w:tcPr>
                  <w:tcW w:w="931" w:type="pct"/>
                  <w:vAlign w:val="top"/>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11"/>
                      <w:sz w:val="21"/>
                      <w:szCs w:val="21"/>
                      <w:highlight w:val="none"/>
                    </w:rPr>
                  </w:pPr>
                  <w:r>
                    <w:rPr>
                      <w:rFonts w:hint="default" w:ascii="Times New Roman" w:hAnsi="Times New Roman" w:eastAsia="宋体" w:cs="Times New Roman"/>
                      <w:color w:val="auto"/>
                      <w:spacing w:val="11"/>
                      <w:sz w:val="21"/>
                      <w:szCs w:val="21"/>
                      <w:highlight w:val="none"/>
                    </w:rPr>
                    <w:t>1</w:t>
                  </w:r>
                </w:p>
              </w:tc>
              <w:tc>
                <w:tcPr>
                  <w:tcW w:w="1351"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11"/>
                      <w:sz w:val="21"/>
                      <w:szCs w:val="21"/>
                      <w:highlight w:val="none"/>
                    </w:rPr>
                  </w:pPr>
                  <w:r>
                    <w:rPr>
                      <w:rFonts w:hint="default" w:ascii="Times New Roman" w:hAnsi="Times New Roman" w:eastAsia="宋体" w:cs="Times New Roman"/>
                      <w:color w:val="auto"/>
                      <w:spacing w:val="11"/>
                      <w:sz w:val="21"/>
                      <w:szCs w:val="21"/>
                      <w:highlight w:val="none"/>
                    </w:rPr>
                    <w:t>PY/G-5615</w:t>
                  </w:r>
                </w:p>
              </w:tc>
              <w:tc>
                <w:tcPr>
                  <w:tcW w:w="1390" w:type="pct"/>
                  <w:vMerge w:val="restart"/>
                  <w:tcBorders>
                    <w:bottom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11"/>
                      <w:sz w:val="21"/>
                      <w:szCs w:val="21"/>
                      <w:highlight w:val="none"/>
                    </w:rPr>
                  </w:pPr>
                  <w:r>
                    <w:rPr>
                      <w:rFonts w:hint="default" w:ascii="Times New Roman" w:hAnsi="Times New Roman" w:eastAsia="宋体" w:cs="Times New Roman"/>
                      <w:color w:val="auto"/>
                      <w:spacing w:val="11"/>
                      <w:sz w:val="21"/>
                      <w:szCs w:val="21"/>
                      <w:highlight w:val="none"/>
                    </w:rPr>
                    <w:t>噪声</w:t>
                  </w:r>
                </w:p>
              </w:tc>
              <w:tc>
                <w:tcPr>
                  <w:tcW w:w="1326" w:type="pct"/>
                  <w:vAlign w:val="top"/>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11"/>
                      <w:sz w:val="21"/>
                      <w:szCs w:val="21"/>
                      <w:highlight w:val="none"/>
                    </w:rPr>
                  </w:pPr>
                  <w:r>
                    <w:rPr>
                      <w:rFonts w:hint="default" w:ascii="Times New Roman" w:hAnsi="Times New Roman" w:eastAsia="宋体" w:cs="Times New Roman"/>
                      <w:color w:val="auto"/>
                      <w:spacing w:val="11"/>
                      <w:sz w:val="21"/>
                      <w:szCs w:val="21"/>
                      <w:highlight w:val="none"/>
                    </w:rPr>
                    <w:t>AWA6228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9" w:hRule="atLeast"/>
              </w:trPr>
              <w:tc>
                <w:tcPr>
                  <w:tcW w:w="931" w:type="pct"/>
                  <w:vAlign w:val="top"/>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11"/>
                      <w:sz w:val="21"/>
                      <w:szCs w:val="21"/>
                      <w:highlight w:val="none"/>
                    </w:rPr>
                  </w:pPr>
                  <w:r>
                    <w:rPr>
                      <w:rFonts w:hint="default" w:ascii="Times New Roman" w:hAnsi="Times New Roman" w:eastAsia="宋体" w:cs="Times New Roman"/>
                      <w:color w:val="auto"/>
                      <w:spacing w:val="11"/>
                      <w:sz w:val="21"/>
                      <w:szCs w:val="21"/>
                      <w:highlight w:val="none"/>
                    </w:rPr>
                    <w:t>2</w:t>
                  </w:r>
                </w:p>
              </w:tc>
              <w:tc>
                <w:tcPr>
                  <w:tcW w:w="1351" w:type="pct"/>
                  <w:vAlign w:val="top"/>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11"/>
                      <w:sz w:val="21"/>
                      <w:szCs w:val="21"/>
                      <w:highlight w:val="none"/>
                    </w:rPr>
                  </w:pPr>
                  <w:r>
                    <w:rPr>
                      <w:rFonts w:hint="default" w:ascii="Times New Roman" w:hAnsi="Times New Roman" w:eastAsia="宋体" w:cs="Times New Roman"/>
                      <w:color w:val="auto"/>
                      <w:spacing w:val="11"/>
                      <w:sz w:val="21"/>
                      <w:szCs w:val="21"/>
                      <w:highlight w:val="none"/>
                    </w:rPr>
                    <w:t>PY/G-5632</w:t>
                  </w:r>
                </w:p>
              </w:tc>
              <w:tc>
                <w:tcPr>
                  <w:tcW w:w="1390" w:type="pct"/>
                  <w:vMerge w:val="continue"/>
                  <w:tcBorders>
                    <w:top w:val="nil"/>
                    <w:bottom w:val="nil"/>
                  </w:tcBorders>
                  <w:vAlign w:val="top"/>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11"/>
                      <w:sz w:val="21"/>
                      <w:szCs w:val="21"/>
                      <w:highlight w:val="none"/>
                    </w:rPr>
                  </w:pPr>
                </w:p>
              </w:tc>
              <w:tc>
                <w:tcPr>
                  <w:tcW w:w="1326" w:type="pct"/>
                  <w:vAlign w:val="top"/>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11"/>
                      <w:sz w:val="21"/>
                      <w:szCs w:val="21"/>
                      <w:highlight w:val="none"/>
                      <w:lang w:val="en-US" w:eastAsia="zh-CN"/>
                    </w:rPr>
                  </w:pPr>
                  <w:r>
                    <w:rPr>
                      <w:rFonts w:hint="default" w:ascii="Times New Roman" w:hAnsi="Times New Roman" w:eastAsia="宋体" w:cs="Times New Roman"/>
                      <w:color w:val="auto"/>
                      <w:spacing w:val="11"/>
                      <w:sz w:val="21"/>
                      <w:szCs w:val="21"/>
                      <w:highlight w:val="none"/>
                    </w:rPr>
                    <w:t>AWA</w:t>
                  </w:r>
                  <w:r>
                    <w:rPr>
                      <w:rFonts w:hint="eastAsia" w:ascii="Times New Roman" w:hAnsi="Times New Roman" w:eastAsia="宋体" w:cs="Times New Roman"/>
                      <w:color w:val="auto"/>
                      <w:spacing w:val="11"/>
                      <w:sz w:val="21"/>
                      <w:szCs w:val="21"/>
                      <w:highlight w:val="none"/>
                      <w:lang w:val="en-US" w:eastAsia="zh-CN"/>
                    </w:rPr>
                    <w:t>6021A</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9" w:hRule="atLeast"/>
              </w:trPr>
              <w:tc>
                <w:tcPr>
                  <w:tcW w:w="931" w:type="pct"/>
                  <w:vAlign w:val="top"/>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eastAsia" w:ascii="Times New Roman" w:hAnsi="Times New Roman" w:eastAsia="宋体" w:cs="Times New Roman"/>
                      <w:color w:val="auto"/>
                      <w:spacing w:val="11"/>
                      <w:sz w:val="21"/>
                      <w:szCs w:val="21"/>
                      <w:highlight w:val="none"/>
                      <w:lang w:val="en-US" w:eastAsia="zh-CN"/>
                    </w:rPr>
                  </w:pPr>
                  <w:r>
                    <w:rPr>
                      <w:rFonts w:hint="eastAsia" w:ascii="Times New Roman" w:hAnsi="Times New Roman" w:eastAsia="宋体" w:cs="Times New Roman"/>
                      <w:color w:val="auto"/>
                      <w:spacing w:val="11"/>
                      <w:sz w:val="21"/>
                      <w:szCs w:val="21"/>
                      <w:highlight w:val="none"/>
                      <w:lang w:val="en-US" w:eastAsia="zh-CN"/>
                    </w:rPr>
                    <w:t>3</w:t>
                  </w:r>
                </w:p>
              </w:tc>
              <w:tc>
                <w:tcPr>
                  <w:tcW w:w="1351" w:type="pct"/>
                  <w:vAlign w:val="top"/>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11"/>
                      <w:sz w:val="21"/>
                      <w:szCs w:val="21"/>
                      <w:highlight w:val="none"/>
                    </w:rPr>
                  </w:pPr>
                  <w:r>
                    <w:rPr>
                      <w:rFonts w:hint="default" w:ascii="Times New Roman" w:hAnsi="Times New Roman" w:eastAsia="宋体" w:cs="Times New Roman"/>
                      <w:color w:val="auto"/>
                      <w:spacing w:val="11"/>
                      <w:sz w:val="21"/>
                      <w:szCs w:val="21"/>
                      <w:highlight w:val="none"/>
                    </w:rPr>
                    <w:t>PY/G-5624</w:t>
                  </w:r>
                </w:p>
              </w:tc>
              <w:tc>
                <w:tcPr>
                  <w:tcW w:w="1390" w:type="pct"/>
                  <w:tcBorders>
                    <w:top w:val="nil"/>
                  </w:tcBorders>
                  <w:vAlign w:val="top"/>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11"/>
                      <w:sz w:val="21"/>
                      <w:szCs w:val="21"/>
                      <w:highlight w:val="none"/>
                    </w:rPr>
                  </w:pPr>
                </w:p>
              </w:tc>
              <w:tc>
                <w:tcPr>
                  <w:tcW w:w="1326" w:type="pct"/>
                  <w:vAlign w:val="top"/>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11"/>
                      <w:sz w:val="21"/>
                      <w:szCs w:val="21"/>
                      <w:highlight w:val="none"/>
                      <w:lang w:val="en-US" w:eastAsia="zh-CN"/>
                    </w:rPr>
                  </w:pPr>
                  <w:r>
                    <w:rPr>
                      <w:rFonts w:hint="eastAsia" w:ascii="Times New Roman" w:hAnsi="Times New Roman" w:eastAsia="宋体" w:cs="Times New Roman"/>
                      <w:color w:val="auto"/>
                      <w:spacing w:val="11"/>
                      <w:sz w:val="21"/>
                      <w:szCs w:val="21"/>
                      <w:highlight w:val="none"/>
                      <w:lang w:val="en-US" w:eastAsia="zh-CN"/>
                    </w:rPr>
                    <w:t>P6-8232</w:t>
                  </w:r>
                </w:p>
              </w:tc>
            </w:tr>
          </w:tbl>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right="0" w:firstLine="504" w:firstLineChars="200"/>
              <w:textAlignment w:val="auto"/>
              <w:rPr>
                <w:rFonts w:hint="default" w:ascii="Times New Roman" w:hAnsi="Times New Roman" w:eastAsia="宋体" w:cs="Times New Roman"/>
                <w:color w:val="auto"/>
                <w:spacing w:val="6"/>
                <w:position w:val="1"/>
                <w:sz w:val="24"/>
                <w:szCs w:val="24"/>
                <w:highlight w:val="none"/>
              </w:rPr>
            </w:pPr>
            <w:r>
              <w:rPr>
                <w:rFonts w:hint="default" w:ascii="Times New Roman" w:hAnsi="Times New Roman" w:eastAsia="宋体" w:cs="Times New Roman"/>
                <w:color w:val="auto"/>
                <w:spacing w:val="6"/>
                <w:position w:val="1"/>
                <w:sz w:val="24"/>
                <w:szCs w:val="24"/>
                <w:highlight w:val="none"/>
              </w:rPr>
              <w:t>④监测结果</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right="0" w:firstLine="504" w:firstLineChars="200"/>
              <w:textAlignment w:val="auto"/>
              <w:rPr>
                <w:rFonts w:hint="default" w:ascii="Times New Roman" w:hAnsi="Times New Roman" w:eastAsia="宋体" w:cs="Times New Roman"/>
                <w:color w:val="auto"/>
                <w:spacing w:val="6"/>
                <w:position w:val="1"/>
                <w:sz w:val="24"/>
                <w:szCs w:val="24"/>
                <w:highlight w:val="none"/>
              </w:rPr>
            </w:pPr>
            <w:r>
              <w:rPr>
                <w:rFonts w:hint="default" w:ascii="Times New Roman" w:hAnsi="Times New Roman" w:eastAsia="宋体" w:cs="Times New Roman"/>
                <w:color w:val="auto"/>
                <w:spacing w:val="6"/>
                <w:position w:val="1"/>
                <w:sz w:val="24"/>
                <w:szCs w:val="24"/>
                <w:highlight w:val="none"/>
              </w:rPr>
              <w:t>声环境质量现状监测结果见表3-</w:t>
            </w:r>
            <w:r>
              <w:rPr>
                <w:rFonts w:hint="eastAsia" w:ascii="Times New Roman" w:hAnsi="Times New Roman" w:eastAsia="宋体" w:cs="Times New Roman"/>
                <w:color w:val="auto"/>
                <w:spacing w:val="6"/>
                <w:position w:val="1"/>
                <w:sz w:val="24"/>
                <w:szCs w:val="24"/>
                <w:highlight w:val="none"/>
                <w:lang w:val="en-US" w:eastAsia="zh-CN"/>
              </w:rPr>
              <w:t>4</w:t>
            </w:r>
            <w:r>
              <w:rPr>
                <w:rFonts w:hint="default" w:ascii="Times New Roman" w:hAnsi="Times New Roman" w:eastAsia="宋体" w:cs="Times New Roman"/>
                <w:color w:val="auto"/>
                <w:spacing w:val="6"/>
                <w:position w:val="1"/>
                <w:sz w:val="24"/>
                <w:szCs w:val="24"/>
                <w:highlight w:val="none"/>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42" w:firstLineChars="200"/>
              <w:jc w:val="center"/>
              <w:textAlignment w:val="auto"/>
              <w:rPr>
                <w:rFonts w:hint="default" w:ascii="Times New Roman" w:hAnsi="Times New Roman" w:cs="Times New Roman"/>
                <w:b/>
                <w:bCs/>
                <w:color w:val="auto"/>
                <w:spacing w:val="5"/>
                <w:sz w:val="21"/>
                <w:szCs w:val="21"/>
                <w:highlight w:val="none"/>
              </w:rPr>
            </w:pPr>
            <w:r>
              <w:rPr>
                <w:rFonts w:hint="default" w:ascii="Times New Roman" w:hAnsi="Times New Roman" w:cs="Times New Roman"/>
                <w:b/>
                <w:bCs/>
                <w:color w:val="auto"/>
                <w:spacing w:val="5"/>
                <w:sz w:val="21"/>
                <w:szCs w:val="21"/>
                <w:highlight w:val="none"/>
              </w:rPr>
              <w:t>表 3-</w:t>
            </w:r>
            <w:r>
              <w:rPr>
                <w:rFonts w:hint="eastAsia" w:ascii="Times New Roman" w:hAnsi="Times New Roman" w:cs="Times New Roman"/>
                <w:b/>
                <w:bCs/>
                <w:color w:val="auto"/>
                <w:spacing w:val="5"/>
                <w:sz w:val="21"/>
                <w:szCs w:val="21"/>
                <w:highlight w:val="none"/>
                <w:lang w:val="en-US" w:eastAsia="zh-CN"/>
              </w:rPr>
              <w:t>4</w:t>
            </w:r>
            <w:r>
              <w:rPr>
                <w:rFonts w:hint="default" w:ascii="Times New Roman" w:hAnsi="Times New Roman" w:cs="Times New Roman"/>
                <w:b/>
                <w:bCs/>
                <w:color w:val="auto"/>
                <w:spacing w:val="5"/>
                <w:sz w:val="21"/>
                <w:szCs w:val="21"/>
                <w:highlight w:val="none"/>
              </w:rPr>
              <w:t xml:space="preserve"> 噪声检测结果单位：dB（A）</w:t>
            </w:r>
          </w:p>
          <w:tbl>
            <w:tblPr>
              <w:tblStyle w:val="31"/>
              <w:tblW w:w="490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041"/>
              <w:gridCol w:w="1628"/>
              <w:gridCol w:w="159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6" w:hRule="atLeast"/>
              </w:trPr>
              <w:tc>
                <w:tcPr>
                  <w:tcW w:w="3051" w:type="pct"/>
                  <w:vMerge w:val="restart"/>
                  <w:tcBorders>
                    <w:bottom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11"/>
                      <w:sz w:val="21"/>
                      <w:szCs w:val="21"/>
                      <w:highlight w:val="none"/>
                    </w:rPr>
                  </w:pPr>
                  <w:r>
                    <w:rPr>
                      <w:rFonts w:hint="default" w:ascii="Times New Roman" w:hAnsi="Times New Roman" w:eastAsia="宋体" w:cs="Times New Roman"/>
                      <w:color w:val="auto"/>
                      <w:spacing w:val="11"/>
                      <w:sz w:val="21"/>
                      <w:szCs w:val="21"/>
                      <w:highlight w:val="none"/>
                    </w:rPr>
                    <w:t>监测点位</w:t>
                  </w:r>
                </w:p>
              </w:tc>
              <w:tc>
                <w:tcPr>
                  <w:tcW w:w="984"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11"/>
                      <w:sz w:val="21"/>
                      <w:szCs w:val="21"/>
                      <w:highlight w:val="none"/>
                    </w:rPr>
                  </w:pPr>
                  <w:r>
                    <w:rPr>
                      <w:rFonts w:hint="eastAsia" w:ascii="Times New Roman" w:hAnsi="Times New Roman" w:eastAsia="宋体" w:cs="Times New Roman"/>
                      <w:color w:val="auto"/>
                      <w:spacing w:val="11"/>
                      <w:sz w:val="21"/>
                      <w:szCs w:val="21"/>
                      <w:highlight w:val="none"/>
                      <w:lang w:val="en-US" w:eastAsia="zh-CN"/>
                    </w:rPr>
                    <w:t>3</w:t>
                  </w:r>
                  <w:r>
                    <w:rPr>
                      <w:rFonts w:hint="default" w:ascii="Times New Roman" w:hAnsi="Times New Roman" w:eastAsia="宋体" w:cs="Times New Roman"/>
                      <w:color w:val="auto"/>
                      <w:spacing w:val="11"/>
                      <w:sz w:val="21"/>
                      <w:szCs w:val="21"/>
                      <w:highlight w:val="none"/>
                    </w:rPr>
                    <w:t>月</w:t>
                  </w:r>
                  <w:r>
                    <w:rPr>
                      <w:rFonts w:hint="eastAsia" w:ascii="Times New Roman" w:hAnsi="Times New Roman" w:eastAsia="宋体" w:cs="Times New Roman"/>
                      <w:color w:val="auto"/>
                      <w:spacing w:val="11"/>
                      <w:sz w:val="21"/>
                      <w:szCs w:val="21"/>
                      <w:highlight w:val="none"/>
                      <w:lang w:val="en-US" w:eastAsia="zh-CN"/>
                    </w:rPr>
                    <w:t>27</w:t>
                  </w:r>
                  <w:r>
                    <w:rPr>
                      <w:rFonts w:hint="default" w:ascii="Times New Roman" w:hAnsi="Times New Roman" w:eastAsia="宋体" w:cs="Times New Roman"/>
                      <w:color w:val="auto"/>
                      <w:spacing w:val="11"/>
                      <w:sz w:val="21"/>
                      <w:szCs w:val="21"/>
                      <w:highlight w:val="none"/>
                    </w:rPr>
                    <w:t>日检测值（昼间）</w:t>
                  </w:r>
                </w:p>
              </w:tc>
              <w:tc>
                <w:tcPr>
                  <w:tcW w:w="963"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11"/>
                      <w:sz w:val="21"/>
                      <w:szCs w:val="21"/>
                      <w:highlight w:val="none"/>
                    </w:rPr>
                  </w:pPr>
                  <w:r>
                    <w:rPr>
                      <w:rFonts w:hint="eastAsia" w:ascii="Times New Roman" w:hAnsi="Times New Roman" w:eastAsia="宋体" w:cs="Times New Roman"/>
                      <w:color w:val="auto"/>
                      <w:spacing w:val="11"/>
                      <w:sz w:val="21"/>
                      <w:szCs w:val="21"/>
                      <w:highlight w:val="none"/>
                      <w:lang w:val="en-US" w:eastAsia="zh-CN"/>
                    </w:rPr>
                    <w:t>3</w:t>
                  </w:r>
                  <w:r>
                    <w:rPr>
                      <w:rFonts w:hint="default" w:ascii="Times New Roman" w:hAnsi="Times New Roman" w:eastAsia="宋体" w:cs="Times New Roman"/>
                      <w:color w:val="auto"/>
                      <w:spacing w:val="11"/>
                      <w:sz w:val="21"/>
                      <w:szCs w:val="21"/>
                      <w:highlight w:val="none"/>
                    </w:rPr>
                    <w:t>月</w:t>
                  </w:r>
                  <w:r>
                    <w:rPr>
                      <w:rFonts w:hint="eastAsia" w:ascii="Times New Roman" w:hAnsi="Times New Roman" w:eastAsia="宋体" w:cs="Times New Roman"/>
                      <w:color w:val="auto"/>
                      <w:spacing w:val="11"/>
                      <w:sz w:val="21"/>
                      <w:szCs w:val="21"/>
                      <w:highlight w:val="none"/>
                      <w:lang w:val="en-US" w:eastAsia="zh-CN"/>
                    </w:rPr>
                    <w:t>27</w:t>
                  </w:r>
                  <w:r>
                    <w:rPr>
                      <w:rFonts w:hint="default" w:ascii="Times New Roman" w:hAnsi="Times New Roman" w:eastAsia="宋体" w:cs="Times New Roman"/>
                      <w:color w:val="auto"/>
                      <w:spacing w:val="11"/>
                      <w:sz w:val="21"/>
                      <w:szCs w:val="21"/>
                      <w:highlight w:val="none"/>
                    </w:rPr>
                    <w:t>日检测值（夜间）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3051" w:type="pct"/>
                  <w:vMerge w:val="continue"/>
                  <w:tcBorders>
                    <w:top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11"/>
                      <w:sz w:val="21"/>
                      <w:szCs w:val="21"/>
                      <w:highlight w:val="none"/>
                    </w:rPr>
                  </w:pPr>
                </w:p>
              </w:tc>
              <w:tc>
                <w:tcPr>
                  <w:tcW w:w="1948" w:type="pct"/>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11"/>
                      <w:sz w:val="21"/>
                      <w:szCs w:val="21"/>
                      <w:highlight w:val="none"/>
                    </w:rPr>
                  </w:pPr>
                  <w:r>
                    <w:rPr>
                      <w:rFonts w:hint="default" w:ascii="Times New Roman" w:hAnsi="Times New Roman" w:eastAsia="宋体" w:cs="Times New Roman"/>
                      <w:color w:val="auto"/>
                      <w:spacing w:val="11"/>
                      <w:sz w:val="21"/>
                      <w:szCs w:val="21"/>
                      <w:highlight w:val="none"/>
                    </w:rPr>
                    <w:t>Leq</w:t>
                  </w:r>
                  <w:r>
                    <w:rPr>
                      <w:rFonts w:hint="eastAsia" w:ascii="Times New Roman" w:hAnsi="Times New Roman" w:eastAsia="宋体" w:cs="Times New Roman"/>
                      <w:color w:val="auto"/>
                      <w:spacing w:val="11"/>
                      <w:sz w:val="21"/>
                      <w:szCs w:val="21"/>
                      <w:highlight w:val="none"/>
                      <w:lang w:eastAsia="zh-CN"/>
                    </w:rPr>
                    <w:t>(</w:t>
                  </w:r>
                  <w:r>
                    <w:rPr>
                      <w:rFonts w:hint="default" w:ascii="Times New Roman" w:hAnsi="Times New Roman" w:eastAsia="宋体" w:cs="Times New Roman"/>
                      <w:color w:val="auto"/>
                      <w:spacing w:val="11"/>
                      <w:sz w:val="21"/>
                      <w:szCs w:val="21"/>
                      <w:highlight w:val="none"/>
                    </w:rPr>
                    <w:t>A）</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3051"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11"/>
                      <w:sz w:val="21"/>
                      <w:szCs w:val="21"/>
                      <w:highlight w:val="none"/>
                    </w:rPr>
                  </w:pPr>
                  <w:r>
                    <w:rPr>
                      <w:rFonts w:hint="default" w:ascii="Times New Roman" w:hAnsi="Times New Roman" w:eastAsia="宋体" w:cs="Times New Roman"/>
                      <w:color w:val="auto"/>
                      <w:spacing w:val="11"/>
                      <w:sz w:val="21"/>
                      <w:szCs w:val="21"/>
                      <w:highlight w:val="none"/>
                    </w:rPr>
                    <w:t>朝阳市龙城区边杖子镇小东山民房东北侧</w:t>
                  </w:r>
                </w:p>
              </w:tc>
              <w:tc>
                <w:tcPr>
                  <w:tcW w:w="984"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11"/>
                      <w:sz w:val="21"/>
                      <w:szCs w:val="21"/>
                      <w:highlight w:val="none"/>
                      <w:lang w:val="en-US" w:eastAsia="zh-CN"/>
                    </w:rPr>
                  </w:pPr>
                  <w:r>
                    <w:rPr>
                      <w:rFonts w:hint="eastAsia" w:ascii="Times New Roman" w:hAnsi="Times New Roman" w:eastAsia="宋体" w:cs="Times New Roman"/>
                      <w:color w:val="auto"/>
                      <w:spacing w:val="11"/>
                      <w:sz w:val="21"/>
                      <w:szCs w:val="21"/>
                      <w:highlight w:val="none"/>
                      <w:lang w:val="en-US" w:eastAsia="zh-CN"/>
                    </w:rPr>
                    <w:t>51</w:t>
                  </w:r>
                </w:p>
              </w:tc>
              <w:tc>
                <w:tcPr>
                  <w:tcW w:w="963"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11"/>
                      <w:sz w:val="21"/>
                      <w:szCs w:val="21"/>
                      <w:highlight w:val="none"/>
                      <w:lang w:val="en-US" w:eastAsia="zh-CN"/>
                    </w:rPr>
                  </w:pPr>
                  <w:r>
                    <w:rPr>
                      <w:rFonts w:hint="eastAsia" w:ascii="Times New Roman" w:hAnsi="Times New Roman" w:eastAsia="宋体" w:cs="Times New Roman"/>
                      <w:color w:val="auto"/>
                      <w:spacing w:val="11"/>
                      <w:sz w:val="21"/>
                      <w:szCs w:val="21"/>
                      <w:highlight w:val="none"/>
                      <w:lang w:val="en-US" w:eastAsia="zh-CN"/>
                    </w:rPr>
                    <w:t>41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3051"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11"/>
                      <w:sz w:val="21"/>
                      <w:szCs w:val="21"/>
                      <w:highlight w:val="none"/>
                    </w:rPr>
                  </w:pPr>
                  <w:r>
                    <w:rPr>
                      <w:rFonts w:hint="default" w:ascii="Times New Roman" w:hAnsi="Times New Roman" w:eastAsia="宋体" w:cs="Times New Roman"/>
                      <w:color w:val="auto"/>
                      <w:spacing w:val="11"/>
                      <w:sz w:val="21"/>
                      <w:szCs w:val="21"/>
                      <w:highlight w:val="none"/>
                    </w:rPr>
                    <w:t>朝阳市龙城区边杖子镇卧马线民房东南侧</w:t>
                  </w:r>
                </w:p>
              </w:tc>
              <w:tc>
                <w:tcPr>
                  <w:tcW w:w="984"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11"/>
                      <w:sz w:val="21"/>
                      <w:szCs w:val="21"/>
                      <w:highlight w:val="none"/>
                      <w:lang w:val="en-US" w:eastAsia="zh-CN"/>
                    </w:rPr>
                  </w:pPr>
                  <w:r>
                    <w:rPr>
                      <w:rFonts w:hint="eastAsia" w:ascii="Times New Roman" w:hAnsi="Times New Roman" w:eastAsia="宋体" w:cs="Times New Roman"/>
                      <w:color w:val="auto"/>
                      <w:spacing w:val="11"/>
                      <w:sz w:val="21"/>
                      <w:szCs w:val="21"/>
                      <w:highlight w:val="none"/>
                      <w:lang w:val="en-US" w:eastAsia="zh-CN"/>
                    </w:rPr>
                    <w:t>49</w:t>
                  </w:r>
                </w:p>
              </w:tc>
              <w:tc>
                <w:tcPr>
                  <w:tcW w:w="963"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11"/>
                      <w:sz w:val="21"/>
                      <w:szCs w:val="21"/>
                      <w:highlight w:val="none"/>
                      <w:lang w:val="en-US" w:eastAsia="zh-CN"/>
                    </w:rPr>
                  </w:pPr>
                  <w:r>
                    <w:rPr>
                      <w:rFonts w:hint="eastAsia" w:ascii="Times New Roman" w:hAnsi="Times New Roman" w:eastAsia="宋体" w:cs="Times New Roman"/>
                      <w:color w:val="auto"/>
                      <w:spacing w:val="11"/>
                      <w:sz w:val="21"/>
                      <w:szCs w:val="21"/>
                      <w:highlight w:val="none"/>
                      <w:lang w:val="en-US" w:eastAsia="zh-CN"/>
                    </w:rPr>
                    <w:t>39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3051"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11"/>
                      <w:sz w:val="21"/>
                      <w:szCs w:val="21"/>
                      <w:highlight w:val="none"/>
                    </w:rPr>
                  </w:pPr>
                  <w:r>
                    <w:rPr>
                      <w:rFonts w:hint="default" w:ascii="Times New Roman" w:hAnsi="Times New Roman" w:eastAsia="宋体" w:cs="Times New Roman"/>
                      <w:color w:val="auto"/>
                      <w:spacing w:val="11"/>
                      <w:sz w:val="21"/>
                      <w:szCs w:val="21"/>
                      <w:highlight w:val="none"/>
                    </w:rPr>
                    <w:t>朝阳市龙城区边杖子镇卧马线民房西北侧</w:t>
                  </w:r>
                </w:p>
              </w:tc>
              <w:tc>
                <w:tcPr>
                  <w:tcW w:w="984"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11"/>
                      <w:sz w:val="21"/>
                      <w:szCs w:val="21"/>
                      <w:highlight w:val="none"/>
                      <w:lang w:val="en-US" w:eastAsia="zh-CN"/>
                    </w:rPr>
                  </w:pPr>
                  <w:r>
                    <w:rPr>
                      <w:rFonts w:hint="eastAsia" w:ascii="Times New Roman" w:hAnsi="Times New Roman" w:eastAsia="宋体" w:cs="Times New Roman"/>
                      <w:color w:val="auto"/>
                      <w:spacing w:val="11"/>
                      <w:sz w:val="21"/>
                      <w:szCs w:val="21"/>
                      <w:highlight w:val="none"/>
                      <w:lang w:val="en-US" w:eastAsia="zh-CN"/>
                    </w:rPr>
                    <w:t>49</w:t>
                  </w:r>
                </w:p>
              </w:tc>
              <w:tc>
                <w:tcPr>
                  <w:tcW w:w="963"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11"/>
                      <w:sz w:val="21"/>
                      <w:szCs w:val="21"/>
                      <w:highlight w:val="none"/>
                      <w:lang w:val="en-US" w:eastAsia="zh-CN"/>
                    </w:rPr>
                  </w:pPr>
                  <w:r>
                    <w:rPr>
                      <w:rFonts w:hint="eastAsia" w:ascii="Times New Roman" w:hAnsi="Times New Roman" w:eastAsia="宋体" w:cs="Times New Roman"/>
                      <w:color w:val="auto"/>
                      <w:spacing w:val="11"/>
                      <w:sz w:val="21"/>
                      <w:szCs w:val="21"/>
                      <w:highlight w:val="none"/>
                      <w:lang w:val="en-US" w:eastAsia="zh-CN"/>
                    </w:rPr>
                    <w:t>40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3051"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11"/>
                      <w:sz w:val="21"/>
                      <w:szCs w:val="21"/>
                      <w:highlight w:val="none"/>
                    </w:rPr>
                  </w:pPr>
                  <w:r>
                    <w:rPr>
                      <w:rFonts w:hint="default" w:ascii="Times New Roman" w:hAnsi="Times New Roman" w:eastAsia="宋体" w:cs="Times New Roman"/>
                      <w:color w:val="auto"/>
                      <w:spacing w:val="11"/>
                      <w:sz w:val="21"/>
                      <w:szCs w:val="21"/>
                      <w:highlight w:val="none"/>
                    </w:rPr>
                    <w:t>朝阳市龙城区边杖子镇朝阳沟民房东侧</w:t>
                  </w:r>
                </w:p>
              </w:tc>
              <w:tc>
                <w:tcPr>
                  <w:tcW w:w="984"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11"/>
                      <w:sz w:val="21"/>
                      <w:szCs w:val="21"/>
                      <w:highlight w:val="none"/>
                      <w:lang w:val="en-US" w:eastAsia="zh-CN"/>
                    </w:rPr>
                  </w:pPr>
                  <w:r>
                    <w:rPr>
                      <w:rFonts w:hint="eastAsia" w:ascii="Times New Roman" w:hAnsi="Times New Roman" w:eastAsia="宋体" w:cs="Times New Roman"/>
                      <w:color w:val="auto"/>
                      <w:spacing w:val="11"/>
                      <w:sz w:val="21"/>
                      <w:szCs w:val="21"/>
                      <w:highlight w:val="none"/>
                      <w:lang w:val="en-US" w:eastAsia="zh-CN"/>
                    </w:rPr>
                    <w:t>50</w:t>
                  </w:r>
                </w:p>
              </w:tc>
              <w:tc>
                <w:tcPr>
                  <w:tcW w:w="963"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s="Times New Roman"/>
                      <w:color w:val="auto"/>
                      <w:spacing w:val="11"/>
                      <w:sz w:val="21"/>
                      <w:szCs w:val="21"/>
                      <w:highlight w:val="none"/>
                      <w:lang w:val="en-US" w:eastAsia="zh-CN"/>
                    </w:rPr>
                  </w:pPr>
                  <w:r>
                    <w:rPr>
                      <w:rFonts w:hint="eastAsia" w:ascii="Times New Roman" w:hAnsi="Times New Roman" w:eastAsia="宋体" w:cs="Times New Roman"/>
                      <w:color w:val="auto"/>
                      <w:spacing w:val="11"/>
                      <w:sz w:val="21"/>
                      <w:szCs w:val="21"/>
                      <w:highlight w:val="none"/>
                      <w:lang w:val="en-US" w:eastAsia="zh-CN"/>
                    </w:rPr>
                    <w:t>39</w:t>
                  </w:r>
                </w:p>
              </w:tc>
            </w:tr>
          </w:tbl>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right="0" w:firstLine="504" w:firstLineChars="200"/>
              <w:textAlignment w:val="auto"/>
              <w:rPr>
                <w:rFonts w:hint="default" w:ascii="Times New Roman" w:hAnsi="Times New Roman" w:eastAsia="宋体" w:cs="Times New Roman"/>
                <w:color w:val="auto"/>
                <w:spacing w:val="6"/>
                <w:position w:val="1"/>
                <w:sz w:val="24"/>
                <w:szCs w:val="24"/>
                <w:highlight w:val="none"/>
              </w:rPr>
            </w:pPr>
            <w:r>
              <w:rPr>
                <w:rFonts w:hint="default" w:ascii="Times New Roman" w:hAnsi="Times New Roman" w:eastAsia="宋体" w:cs="Times New Roman"/>
                <w:color w:val="auto"/>
                <w:spacing w:val="6"/>
                <w:position w:val="1"/>
                <w:sz w:val="24"/>
                <w:szCs w:val="24"/>
                <w:highlight w:val="none"/>
              </w:rPr>
              <w:t>由表3-</w:t>
            </w:r>
            <w:r>
              <w:rPr>
                <w:rFonts w:hint="eastAsia" w:ascii="Times New Roman" w:hAnsi="Times New Roman" w:eastAsia="宋体" w:cs="Times New Roman"/>
                <w:color w:val="auto"/>
                <w:spacing w:val="6"/>
                <w:position w:val="1"/>
                <w:sz w:val="24"/>
                <w:szCs w:val="24"/>
                <w:highlight w:val="none"/>
                <w:lang w:val="en-US" w:eastAsia="zh-CN"/>
              </w:rPr>
              <w:t>4</w:t>
            </w:r>
            <w:r>
              <w:rPr>
                <w:rFonts w:hint="default" w:ascii="Times New Roman" w:hAnsi="Times New Roman" w:eastAsia="宋体" w:cs="Times New Roman"/>
                <w:color w:val="auto"/>
                <w:spacing w:val="6"/>
                <w:position w:val="1"/>
                <w:sz w:val="24"/>
                <w:szCs w:val="24"/>
                <w:highlight w:val="none"/>
              </w:rPr>
              <w:t>可见，</w:t>
            </w:r>
            <w:r>
              <w:rPr>
                <w:rFonts w:hint="eastAsia" w:ascii="Times New Roman" w:hAnsi="Times New Roman" w:eastAsia="宋体" w:cs="Times New Roman"/>
                <w:color w:val="auto"/>
                <w:spacing w:val="6"/>
                <w:position w:val="1"/>
                <w:sz w:val="24"/>
                <w:szCs w:val="24"/>
                <w:highlight w:val="none"/>
                <w:lang w:val="en-US" w:eastAsia="zh-CN"/>
              </w:rPr>
              <w:t>监测点位</w:t>
            </w:r>
            <w:r>
              <w:rPr>
                <w:rFonts w:hint="default" w:ascii="Times New Roman" w:hAnsi="Times New Roman" w:eastAsia="宋体" w:cs="Times New Roman"/>
                <w:color w:val="auto"/>
                <w:spacing w:val="6"/>
                <w:position w:val="1"/>
                <w:sz w:val="24"/>
                <w:szCs w:val="24"/>
                <w:highlight w:val="none"/>
              </w:rPr>
              <w:t>噪声均满足《声环境质量标准》（GB3096-2008）</w:t>
            </w:r>
            <w:r>
              <w:rPr>
                <w:rFonts w:hint="eastAsia" w:ascii="Times New Roman" w:hAnsi="Times New Roman" w:eastAsia="宋体" w:cs="Times New Roman"/>
                <w:color w:val="auto"/>
                <w:spacing w:val="6"/>
                <w:position w:val="1"/>
                <w:sz w:val="24"/>
                <w:szCs w:val="24"/>
                <w:highlight w:val="none"/>
                <w:lang w:val="en-US" w:eastAsia="zh-CN"/>
              </w:rPr>
              <w:t>1</w:t>
            </w:r>
            <w:r>
              <w:rPr>
                <w:rFonts w:hint="default" w:ascii="Times New Roman" w:hAnsi="Times New Roman" w:eastAsia="宋体" w:cs="Times New Roman"/>
                <w:color w:val="auto"/>
                <w:spacing w:val="6"/>
                <w:position w:val="1"/>
                <w:sz w:val="24"/>
                <w:szCs w:val="24"/>
                <w:highlight w:val="none"/>
              </w:rPr>
              <w:t>类标准限值要求昼间55dB（A），夜间45dB（A</w:t>
            </w:r>
            <w:r>
              <w:rPr>
                <w:rFonts w:hint="eastAsia" w:ascii="Times New Roman" w:hAnsi="Times New Roman" w:eastAsia="宋体" w:cs="Times New Roman"/>
                <w:color w:val="auto"/>
                <w:spacing w:val="6"/>
                <w:position w:val="1"/>
                <w:sz w:val="24"/>
                <w:szCs w:val="24"/>
                <w:highlight w:val="none"/>
                <w:lang w:eastAsia="zh-CN"/>
              </w:rPr>
              <w:t>）</w:t>
            </w:r>
            <w:r>
              <w:rPr>
                <w:rFonts w:hint="default" w:ascii="Times New Roman" w:hAnsi="Times New Roman" w:eastAsia="宋体" w:cs="Times New Roman"/>
                <w:color w:val="auto"/>
                <w:spacing w:val="6"/>
                <w:position w:val="1"/>
                <w:sz w:val="24"/>
                <w:szCs w:val="24"/>
                <w:highlight w:val="none"/>
              </w:rPr>
              <w:t>。</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2" w:firstLineChars="200"/>
              <w:textAlignment w:val="auto"/>
              <w:rPr>
                <w:rFonts w:hint="eastAsia" w:ascii="Times New Roman" w:hAnsi="Times New Roman" w:eastAsia="宋体" w:cs="Times New Roman"/>
                <w:b/>
                <w:caps w:val="0"/>
                <w:color w:val="auto"/>
                <w:sz w:val="24"/>
                <w:lang w:val="en-US" w:eastAsia="zh-CN"/>
              </w:rPr>
            </w:pPr>
            <w:r>
              <w:rPr>
                <w:rFonts w:hint="eastAsia" w:ascii="Times New Roman" w:hAnsi="Times New Roman" w:eastAsia="宋体" w:cs="Times New Roman"/>
                <w:b/>
                <w:caps w:val="0"/>
                <w:color w:val="auto"/>
                <w:sz w:val="24"/>
                <w:lang w:val="en-US" w:eastAsia="zh-CN"/>
              </w:rPr>
              <w:t>3、地表水</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引用朝阳市生态环境局2025年6月5日发布的《朝阳市生态环境质量公报（2024年）》中相关数据：</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color w:val="auto"/>
                <w:sz w:val="24"/>
                <w:szCs w:val="24"/>
                <w:vertAlign w:val="baseline"/>
                <w:lang w:val="en-US" w:eastAsia="zh-CN"/>
              </w:rPr>
              <w:t>2024年，朝阳市13个国控地表水监测断面中，断面优、良水质率为100%。与2023年相比，大凌河干流及支流、青龙河水质无明显变化，保持优不变，老哈河大北海断面水质变好，由2023年的Ⅳ类水质提升为Ⅲ类。其他3个断面中，长宝渡口断面由2023年Ⅱ类水质变为Ⅱ类，稍有恶化。阎王鼻子水库入库口水质为Ⅱ类，保持优不变。下凉水河桥断面水质与2023相比，保持Ⅲ类不变。</w:t>
            </w:r>
          </w:p>
          <w:p>
            <w:pPr>
              <w:pStyle w:val="9"/>
              <w:keepNext w:val="0"/>
              <w:keepLines w:val="0"/>
              <w:pageBreakBefore w:val="0"/>
              <w:widowControl w:val="0"/>
              <w:tabs>
                <w:tab w:val="left" w:pos="0"/>
                <w:tab w:val="left" w:pos="444"/>
              </w:tabs>
              <w:kinsoku/>
              <w:wordWrap/>
              <w:overflowPunct/>
              <w:topLinePunct w:val="0"/>
              <w:autoSpaceDE/>
              <w:autoSpaceDN/>
              <w:bidi w:val="0"/>
              <w:adjustRightInd/>
              <w:snapToGrid/>
              <w:spacing w:line="360" w:lineRule="auto"/>
              <w:ind w:left="0" w:leftChars="0" w:firstLine="480" w:firstLineChars="200"/>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4"/>
                <w:szCs w:val="24"/>
                <w:vertAlign w:val="baseline"/>
                <w:lang w:val="en-US" w:eastAsia="zh-CN"/>
              </w:rPr>
              <w:t>朝阳市集中式生活饮用水水源由地表水水源和地下水水源组成，地表水水源有1个，地下水水源有9个。其中，白石水库（地表水）、凌源市古塔水源、建平县一水源、建平县二水源、喀喇沁左翼蒙古族自治县县香磨水源、喀喇沁左翼蒙古族自治县一水源为在用水源，中山水源、扣北水源、北票市第四水源、凌源市凌河水源为备用水源。其中，地表水水源水质符合《地表水环境质量标准》（GB3838-2002)Ⅱ类标准，地下水水源水质符合《地下水质量标准》（GB/T14848-2017）Ⅲ类标准，水源水质良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17" w:type="dxa"/>
            <w:vAlign w:val="center"/>
          </w:tcPr>
          <w:p>
            <w:pPr>
              <w:jc w:val="center"/>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eastAsia="宋体" w:cs="Times New Roman"/>
                <w:b/>
                <w:bCs/>
                <w:caps w:val="0"/>
                <w:color w:val="auto"/>
                <w:sz w:val="24"/>
                <w:szCs w:val="24"/>
                <w:lang w:val="en-US" w:eastAsia="zh-CN"/>
              </w:rPr>
              <w:t>与项目有关的原有环境污染和生态破坏问题</w:t>
            </w:r>
          </w:p>
        </w:tc>
        <w:tc>
          <w:tcPr>
            <w:tcW w:w="8637"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hint="eastAsia" w:ascii="Times New Roman" w:hAnsi="Times New Roman" w:eastAsia="宋体" w:cs="Times New Roman"/>
                <w:color w:val="auto"/>
                <w:kern w:val="2"/>
                <w:sz w:val="24"/>
                <w:szCs w:val="24"/>
                <w:vertAlign w:val="baseline"/>
                <w:lang w:val="en-US" w:eastAsia="zh-CN" w:bidi="ar-SA"/>
              </w:rPr>
            </w:pPr>
            <w:r>
              <w:rPr>
                <w:rFonts w:hint="eastAsia" w:ascii="Times New Roman" w:hAnsi="Times New Roman" w:eastAsia="宋体" w:cs="Times New Roman"/>
                <w:color w:val="auto"/>
                <w:kern w:val="2"/>
                <w:sz w:val="24"/>
                <w:szCs w:val="24"/>
                <w:vertAlign w:val="baseline"/>
                <w:lang w:val="en-US" w:eastAsia="zh-CN" w:bidi="ar-SA"/>
              </w:rPr>
              <w:t>本项目为新建项目，区域环境状况较好，因此，本项目无原有环境污染和生态破坏问题。根据现状监测结果来看，本次拟建工程所在地附近电磁环境和声环境现状均满足相应国家标准要求。</w:t>
            </w:r>
          </w:p>
          <w:p>
            <w:pPr>
              <w:pStyle w:val="5"/>
              <w:rPr>
                <w:color w:val="auto"/>
                <w:spacing w:val="5"/>
                <w:sz w:val="24"/>
                <w:szCs w:val="24"/>
              </w:rPr>
            </w:pPr>
          </w:p>
          <w:p>
            <w:pPr>
              <w:rPr>
                <w:color w:val="auto"/>
                <w:spacing w:val="5"/>
                <w:sz w:val="24"/>
                <w:szCs w:val="24"/>
              </w:rPr>
            </w:pPr>
          </w:p>
          <w:p>
            <w:pPr>
              <w:pStyle w:val="5"/>
              <w:rPr>
                <w:color w:val="auto"/>
                <w:spacing w:val="5"/>
                <w:sz w:val="24"/>
                <w:szCs w:val="24"/>
              </w:rPr>
            </w:pPr>
          </w:p>
          <w:p>
            <w:pPr>
              <w:rPr>
                <w:color w:val="auto"/>
                <w:spacing w:val="5"/>
                <w:sz w:val="24"/>
                <w:szCs w:val="24"/>
              </w:rPr>
            </w:pPr>
          </w:p>
          <w:p>
            <w:pPr>
              <w:pStyle w:val="5"/>
              <w:rPr>
                <w:color w:val="auto"/>
                <w:spacing w:val="5"/>
                <w:sz w:val="24"/>
                <w:szCs w:val="24"/>
              </w:rPr>
            </w:pPr>
          </w:p>
          <w:p>
            <w:pPr>
              <w:rPr>
                <w:color w:val="auto"/>
                <w:spacing w:val="5"/>
                <w:sz w:val="24"/>
                <w:szCs w:val="24"/>
              </w:rPr>
            </w:pPr>
          </w:p>
          <w:p>
            <w:pPr>
              <w:pStyle w:val="5"/>
              <w:rPr>
                <w:color w:val="auto"/>
                <w:spacing w:val="5"/>
                <w:sz w:val="24"/>
                <w:szCs w:val="24"/>
              </w:rPr>
            </w:pPr>
          </w:p>
          <w:p>
            <w:pPr>
              <w:rPr>
                <w:color w:val="auto"/>
                <w:spacing w:val="5"/>
                <w:sz w:val="24"/>
                <w:szCs w:val="24"/>
              </w:rPr>
            </w:pPr>
          </w:p>
          <w:p>
            <w:pPr>
              <w:pStyle w:val="5"/>
              <w:rPr>
                <w:color w:val="auto"/>
                <w:spacing w:val="5"/>
                <w:sz w:val="24"/>
                <w:szCs w:val="24"/>
              </w:rPr>
            </w:pPr>
          </w:p>
          <w:p>
            <w:pPr>
              <w:rPr>
                <w:color w:val="auto"/>
                <w:spacing w:val="5"/>
                <w:sz w:val="24"/>
                <w:szCs w:val="24"/>
              </w:rPr>
            </w:pPr>
          </w:p>
          <w:p>
            <w:pPr>
              <w:pStyle w:val="5"/>
              <w:rPr>
                <w:color w:val="auto"/>
                <w:spacing w:val="5"/>
                <w:sz w:val="24"/>
                <w:szCs w:val="24"/>
              </w:rPr>
            </w:pPr>
          </w:p>
          <w:p>
            <w:pPr>
              <w:rPr>
                <w:color w:val="auto"/>
                <w:spacing w:val="5"/>
                <w:sz w:val="24"/>
                <w:szCs w:val="24"/>
              </w:rPr>
            </w:pPr>
          </w:p>
          <w:p>
            <w:pPr>
              <w:pStyle w:val="5"/>
            </w:pP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eastAsiaTheme="minorEastAsia"/>
                <w:color w:val="auto"/>
                <w:spacing w:val="5"/>
                <w:sz w:val="24"/>
                <w:szCs w:val="24"/>
                <w:lang w:eastAsia="zh-CN"/>
              </w:rPr>
            </w:pPr>
            <w:r>
              <w:rPr>
                <w:rFonts w:hint="eastAsia" w:eastAsiaTheme="minorEastAsia"/>
                <w:color w:val="auto"/>
                <w:spacing w:val="5"/>
                <w:sz w:val="24"/>
                <w:szCs w:val="24"/>
                <w:lang w:eastAsia="zh-CN"/>
              </w:rPr>
              <w:drawing>
                <wp:inline distT="0" distB="0" distL="114300" distR="114300">
                  <wp:extent cx="5393690" cy="4045585"/>
                  <wp:effectExtent l="0" t="0" r="16510" b="12065"/>
                  <wp:docPr id="103" name="图片 103" descr="2304911fda4242902e900566311a92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2304911fda4242902e900566311a92b9"/>
                          <pic:cNvPicPr>
                            <a:picLocks noChangeAspect="1"/>
                          </pic:cNvPicPr>
                        </pic:nvPicPr>
                        <pic:blipFill>
                          <a:blip r:embed="rId41"/>
                          <a:stretch>
                            <a:fillRect/>
                          </a:stretch>
                        </pic:blipFill>
                        <pic:spPr>
                          <a:xfrm>
                            <a:off x="0" y="0"/>
                            <a:ext cx="5393690" cy="404558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left="0" w:right="0" w:firstLine="446" w:firstLineChars="200"/>
              <w:jc w:val="center"/>
              <w:textAlignment w:val="auto"/>
              <w:rPr>
                <w:rFonts w:hint="default" w:eastAsiaTheme="minorEastAsia"/>
                <w:color w:val="auto"/>
                <w:spacing w:val="5"/>
                <w:sz w:val="24"/>
                <w:szCs w:val="24"/>
                <w:lang w:val="en-US" w:eastAsia="zh-CN"/>
              </w:rPr>
            </w:pPr>
            <w:r>
              <w:rPr>
                <w:rFonts w:hint="eastAsia" w:ascii="Times New Roman" w:hAnsi="Times New Roman" w:cs="Times New Roman"/>
                <w:b/>
                <w:bCs/>
                <w:color w:val="auto"/>
                <w:spacing w:val="6"/>
                <w:sz w:val="21"/>
                <w:szCs w:val="21"/>
                <w:lang w:val="en-US" w:eastAsia="zh-CN"/>
              </w:rPr>
              <w:t>国宏储能站现场（本项目起点和终点均已取得环评审批手续）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93" w:hRule="atLeast"/>
          <w:jc w:val="center"/>
        </w:trPr>
        <w:tc>
          <w:tcPr>
            <w:tcW w:w="717" w:type="dxa"/>
            <w:vAlign w:val="center"/>
          </w:tcPr>
          <w:p>
            <w:pPr>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b/>
                <w:bCs/>
                <w:caps w:val="0"/>
                <w:color w:val="auto"/>
                <w:sz w:val="24"/>
                <w:szCs w:val="24"/>
                <w:lang w:val="en-US" w:eastAsia="zh-CN"/>
              </w:rPr>
              <w:t>生态环境保护目标</w:t>
            </w:r>
          </w:p>
        </w:tc>
        <w:tc>
          <w:tcPr>
            <w:tcW w:w="8637" w:type="dxa"/>
            <w:vAlign w:val="center"/>
          </w:tcPr>
          <w:p>
            <w:pPr>
              <w:pStyle w:val="51"/>
              <w:keepNext w:val="0"/>
              <w:keepLines w:val="0"/>
              <w:pageBreakBefore w:val="0"/>
              <w:widowControl w:val="0"/>
              <w:kinsoku/>
              <w:wordWrap/>
              <w:overflowPunct/>
              <w:topLinePunct/>
              <w:autoSpaceDE/>
              <w:autoSpaceDN/>
              <w:bidi w:val="0"/>
              <w:adjustRightInd/>
              <w:snapToGrid/>
              <w:spacing w:line="360" w:lineRule="auto"/>
              <w:ind w:left="42" w:right="42" w:firstLine="414"/>
              <w:textAlignment w:val="auto"/>
              <w:rPr>
                <w:rFonts w:hint="default" w:cs="Times New Roman" w:eastAsiaTheme="minorEastAsia"/>
                <w:b/>
                <w:bCs/>
                <w:color w:val="auto"/>
                <w:spacing w:val="-1"/>
                <w:sz w:val="24"/>
                <w:szCs w:val="24"/>
                <w:lang w:val="en-US" w:eastAsia="zh-CN"/>
              </w:rPr>
            </w:pPr>
            <w:r>
              <w:rPr>
                <w:rFonts w:hint="eastAsia" w:cs="Times New Roman"/>
                <w:b/>
                <w:bCs/>
                <w:color w:val="auto"/>
                <w:spacing w:val="-1"/>
                <w:sz w:val="24"/>
                <w:szCs w:val="24"/>
                <w:lang w:val="en-US" w:eastAsia="zh-CN"/>
              </w:rPr>
              <w:t>1、评价范围</w:t>
            </w:r>
          </w:p>
          <w:p>
            <w:pPr>
              <w:pStyle w:val="51"/>
              <w:keepNext w:val="0"/>
              <w:keepLines w:val="0"/>
              <w:pageBreakBefore w:val="0"/>
              <w:widowControl w:val="0"/>
              <w:kinsoku/>
              <w:wordWrap/>
              <w:overflowPunct/>
              <w:topLinePunct/>
              <w:autoSpaceDE/>
              <w:autoSpaceDN/>
              <w:bidi w:val="0"/>
              <w:adjustRightInd/>
              <w:snapToGrid/>
              <w:spacing w:line="360" w:lineRule="auto"/>
              <w:ind w:left="42" w:right="42" w:firstLine="414"/>
              <w:textAlignment w:val="auto"/>
              <w:rPr>
                <w:rFonts w:cs="Times New Roman"/>
                <w:color w:val="auto"/>
                <w:sz w:val="24"/>
                <w:szCs w:val="24"/>
              </w:rPr>
            </w:pPr>
            <w:r>
              <w:rPr>
                <w:rFonts w:cs="Times New Roman"/>
                <w:color w:val="auto"/>
                <w:spacing w:val="-1"/>
                <w:sz w:val="24"/>
                <w:szCs w:val="24"/>
              </w:rPr>
              <w:t>本项目电磁评价范围为输电线路边导线地面投</w:t>
            </w:r>
            <w:r>
              <w:rPr>
                <w:rFonts w:cs="Times New Roman"/>
                <w:color w:val="auto"/>
                <w:spacing w:val="-2"/>
                <w:sz w:val="24"/>
                <w:szCs w:val="24"/>
              </w:rPr>
              <w:t>影外两侧各40m；噪声评价范围为输电线</w:t>
            </w:r>
            <w:r>
              <w:rPr>
                <w:rFonts w:cs="Times New Roman"/>
                <w:color w:val="auto"/>
                <w:spacing w:val="-5"/>
                <w:sz w:val="24"/>
                <w:szCs w:val="24"/>
              </w:rPr>
              <w:t>路边导线地面投影外两侧各</w:t>
            </w:r>
            <w:r>
              <w:rPr>
                <w:rFonts w:hint="eastAsia" w:cs="Times New Roman"/>
                <w:color w:val="auto"/>
                <w:spacing w:val="-5"/>
                <w:sz w:val="24"/>
                <w:szCs w:val="24"/>
                <w:lang w:val="en-US" w:eastAsia="zh-CN"/>
              </w:rPr>
              <w:t>4</w:t>
            </w:r>
            <w:r>
              <w:rPr>
                <w:rFonts w:cs="Times New Roman"/>
                <w:color w:val="auto"/>
                <w:spacing w:val="-5"/>
                <w:sz w:val="24"/>
                <w:szCs w:val="24"/>
              </w:rPr>
              <w:t>0m；生态评价范围为输电线路边导线两侧各300m内带状区域，</w:t>
            </w:r>
            <w:r>
              <w:rPr>
                <w:rFonts w:hint="eastAsia" w:cs="Times New Roman"/>
                <w:color w:val="auto"/>
                <w:sz w:val="24"/>
                <w:szCs w:val="24"/>
                <w:lang w:val="en-US" w:eastAsia="zh-CN"/>
              </w:rPr>
              <w:t>若涉及</w:t>
            </w:r>
            <w:r>
              <w:rPr>
                <w:rFonts w:cs="Times New Roman"/>
                <w:color w:val="auto"/>
                <w:sz w:val="24"/>
                <w:szCs w:val="24"/>
              </w:rPr>
              <w:t>生态敏感区（生态保护红线）的输电线路段边导线地面投影外两侧各1000m内的带状区域。详见表3-5。</w:t>
            </w:r>
          </w:p>
          <w:p>
            <w:pPr>
              <w:keepNext w:val="0"/>
              <w:keepLines w:val="0"/>
              <w:pageBreakBefore w:val="0"/>
              <w:widowControl w:val="0"/>
              <w:kinsoku/>
              <w:wordWrap/>
              <w:overflowPunct/>
              <w:topLinePunct w:val="0"/>
              <w:autoSpaceDE/>
              <w:autoSpaceDN/>
              <w:bidi w:val="0"/>
              <w:adjustRightInd/>
              <w:snapToGrid/>
              <w:spacing w:line="240" w:lineRule="auto"/>
              <w:ind w:left="0" w:right="0" w:firstLine="2897" w:firstLineChars="1300"/>
              <w:jc w:val="both"/>
              <w:textAlignment w:val="auto"/>
              <w:rPr>
                <w:rFonts w:hint="default" w:ascii="Times New Roman" w:hAnsi="Times New Roman" w:cs="Times New Roman"/>
                <w:b/>
                <w:bCs/>
                <w:color w:val="auto"/>
                <w:spacing w:val="6"/>
                <w:sz w:val="21"/>
                <w:szCs w:val="21"/>
                <w:lang w:eastAsia="zh-CN"/>
              </w:rPr>
            </w:pPr>
            <w:r>
              <w:rPr>
                <w:rFonts w:hint="default" w:ascii="Times New Roman" w:hAnsi="Times New Roman" w:cs="Times New Roman"/>
                <w:b/>
                <w:bCs/>
                <w:color w:val="auto"/>
                <w:spacing w:val="6"/>
                <w:sz w:val="21"/>
                <w:szCs w:val="21"/>
                <w:lang w:eastAsia="zh-CN"/>
              </w:rPr>
              <w:t>表3-5本项目评价范围</w:t>
            </w:r>
          </w:p>
          <w:tbl>
            <w:tblPr>
              <w:tblStyle w:val="31"/>
              <w:tblW w:w="4685"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546"/>
              <w:gridCol w:w="633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2" w:hRule="atLeast"/>
                <w:jc w:val="center"/>
              </w:trPr>
              <w:tc>
                <w:tcPr>
                  <w:tcW w:w="1546" w:type="dxa"/>
                  <w:vMerge w:val="restar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7"/>
                      <w:sz w:val="21"/>
                      <w:szCs w:val="21"/>
                    </w:rPr>
                  </w:pPr>
                  <w:r>
                    <w:rPr>
                      <w:rFonts w:hint="default" w:ascii="Times New Roman" w:hAnsi="Times New Roman" w:eastAsia="宋体" w:cs="Times New Roman"/>
                      <w:color w:val="auto"/>
                      <w:spacing w:val="7"/>
                      <w:sz w:val="21"/>
                      <w:szCs w:val="21"/>
                    </w:rPr>
                    <w:t>评价内容</w:t>
                  </w:r>
                </w:p>
              </w:tc>
              <w:tc>
                <w:tcPr>
                  <w:tcW w:w="6341"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7"/>
                      <w:sz w:val="21"/>
                      <w:szCs w:val="21"/>
                    </w:rPr>
                  </w:pPr>
                  <w:r>
                    <w:rPr>
                      <w:rFonts w:hint="default" w:ascii="Times New Roman" w:hAnsi="Times New Roman" w:eastAsia="宋体" w:cs="Times New Roman"/>
                      <w:color w:val="auto"/>
                      <w:spacing w:val="7"/>
                      <w:sz w:val="21"/>
                      <w:szCs w:val="21"/>
                    </w:rPr>
                    <w:t>评价范围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2" w:hRule="atLeast"/>
                <w:jc w:val="center"/>
              </w:trPr>
              <w:tc>
                <w:tcPr>
                  <w:tcW w:w="1546" w:type="dxa"/>
                  <w:vMerge w:val="continue"/>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7"/>
                      <w:sz w:val="21"/>
                      <w:szCs w:val="21"/>
                    </w:rPr>
                  </w:pPr>
                </w:p>
              </w:tc>
              <w:tc>
                <w:tcPr>
                  <w:tcW w:w="6341"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7"/>
                      <w:sz w:val="21"/>
                      <w:szCs w:val="21"/>
                    </w:rPr>
                  </w:pPr>
                  <w:r>
                    <w:rPr>
                      <w:rFonts w:hint="default" w:ascii="Times New Roman" w:hAnsi="Times New Roman" w:eastAsia="宋体" w:cs="Times New Roman"/>
                      <w:color w:val="auto"/>
                      <w:spacing w:val="7"/>
                      <w:sz w:val="21"/>
                      <w:szCs w:val="21"/>
                    </w:rPr>
                    <w:t>220kV架空线路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1546"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7"/>
                      <w:sz w:val="21"/>
                      <w:szCs w:val="21"/>
                    </w:rPr>
                  </w:pPr>
                  <w:r>
                    <w:rPr>
                      <w:rFonts w:hint="default" w:ascii="Times New Roman" w:hAnsi="Times New Roman" w:eastAsia="宋体" w:cs="Times New Roman"/>
                      <w:color w:val="auto"/>
                      <w:spacing w:val="7"/>
                      <w:sz w:val="21"/>
                      <w:szCs w:val="21"/>
                    </w:rPr>
                    <w:t>电磁环境</w:t>
                  </w:r>
                </w:p>
              </w:tc>
              <w:tc>
                <w:tcPr>
                  <w:tcW w:w="6341"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7"/>
                      <w:sz w:val="21"/>
                      <w:szCs w:val="21"/>
                      <w:lang w:eastAsia="zh-CN"/>
                    </w:rPr>
                  </w:pPr>
                  <w:r>
                    <w:rPr>
                      <w:rFonts w:hint="default" w:ascii="Times New Roman" w:hAnsi="Times New Roman" w:eastAsia="宋体" w:cs="Times New Roman"/>
                      <w:color w:val="auto"/>
                      <w:spacing w:val="7"/>
                      <w:sz w:val="21"/>
                      <w:szCs w:val="21"/>
                      <w:lang w:eastAsia="zh-CN"/>
                    </w:rPr>
                    <w:t>边导线地面投影外两侧各40m</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2" w:hRule="atLeast"/>
                <w:jc w:val="center"/>
              </w:trPr>
              <w:tc>
                <w:tcPr>
                  <w:tcW w:w="1546"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7"/>
                      <w:sz w:val="21"/>
                      <w:szCs w:val="21"/>
                    </w:rPr>
                  </w:pPr>
                  <w:r>
                    <w:rPr>
                      <w:rFonts w:hint="default" w:ascii="Times New Roman" w:hAnsi="Times New Roman" w:eastAsia="宋体" w:cs="Times New Roman"/>
                      <w:color w:val="auto"/>
                      <w:spacing w:val="7"/>
                      <w:sz w:val="21"/>
                      <w:szCs w:val="21"/>
                    </w:rPr>
                    <w:t>噪声</w:t>
                  </w:r>
                </w:p>
              </w:tc>
              <w:tc>
                <w:tcPr>
                  <w:tcW w:w="6341"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7"/>
                      <w:sz w:val="21"/>
                      <w:szCs w:val="21"/>
                      <w:lang w:eastAsia="zh-CN"/>
                    </w:rPr>
                  </w:pPr>
                  <w:r>
                    <w:rPr>
                      <w:rFonts w:hint="default" w:ascii="Times New Roman" w:hAnsi="Times New Roman" w:eastAsia="宋体" w:cs="Times New Roman"/>
                      <w:color w:val="auto"/>
                      <w:spacing w:val="7"/>
                      <w:sz w:val="21"/>
                      <w:szCs w:val="21"/>
                      <w:lang w:eastAsia="zh-CN"/>
                    </w:rPr>
                    <w:t>边导线地面投影外两侧各</w:t>
                  </w:r>
                  <w:r>
                    <w:rPr>
                      <w:rFonts w:hint="eastAsia" w:ascii="Times New Roman" w:hAnsi="Times New Roman" w:eastAsia="宋体" w:cs="Times New Roman"/>
                      <w:color w:val="auto"/>
                      <w:spacing w:val="7"/>
                      <w:sz w:val="21"/>
                      <w:szCs w:val="21"/>
                      <w:lang w:val="en-US" w:eastAsia="zh-CN"/>
                    </w:rPr>
                    <w:t>4</w:t>
                  </w:r>
                  <w:r>
                    <w:rPr>
                      <w:rFonts w:hint="default" w:ascii="Times New Roman" w:hAnsi="Times New Roman" w:eastAsia="宋体" w:cs="Times New Roman"/>
                      <w:color w:val="auto"/>
                      <w:spacing w:val="7"/>
                      <w:sz w:val="21"/>
                      <w:szCs w:val="21"/>
                      <w:lang w:eastAsia="zh-CN"/>
                    </w:rPr>
                    <w:t>0m</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9" w:hRule="atLeast"/>
                <w:jc w:val="center"/>
              </w:trPr>
              <w:tc>
                <w:tcPr>
                  <w:tcW w:w="1546"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7"/>
                      <w:sz w:val="21"/>
                      <w:szCs w:val="21"/>
                    </w:rPr>
                  </w:pPr>
                  <w:r>
                    <w:rPr>
                      <w:rFonts w:hint="default" w:ascii="Times New Roman" w:hAnsi="Times New Roman" w:eastAsia="宋体" w:cs="Times New Roman"/>
                      <w:color w:val="auto"/>
                      <w:spacing w:val="7"/>
                      <w:sz w:val="21"/>
                      <w:szCs w:val="21"/>
                    </w:rPr>
                    <w:t>生态环境</w:t>
                  </w:r>
                </w:p>
              </w:tc>
              <w:tc>
                <w:tcPr>
                  <w:tcW w:w="6341" w:type="dxa"/>
                  <w:vAlign w:val="center"/>
                </w:tcPr>
                <w:p>
                  <w:pPr>
                    <w:keepNext w:val="0"/>
                    <w:keepLines w:val="0"/>
                    <w:widowControl/>
                    <w:suppressLineNumbers w:val="0"/>
                    <w:jc w:val="left"/>
                    <w:rPr>
                      <w:rFonts w:hint="eastAsia" w:ascii="Times New Roman" w:hAnsi="Times New Roman" w:eastAsia="宋体" w:cs="Times New Roman"/>
                      <w:color w:val="auto"/>
                      <w:spacing w:val="7"/>
                      <w:sz w:val="21"/>
                      <w:szCs w:val="21"/>
                      <w:lang w:eastAsia="zh-CN"/>
                    </w:rPr>
                  </w:pPr>
                  <w:r>
                    <w:rPr>
                      <w:rFonts w:hint="eastAsia" w:ascii="宋体" w:hAnsi="宋体" w:eastAsia="宋体" w:cs="宋体"/>
                      <w:color w:val="000000"/>
                      <w:kern w:val="0"/>
                      <w:sz w:val="20"/>
                      <w:szCs w:val="20"/>
                      <w:lang w:val="en-US" w:eastAsia="zh-CN" w:bidi="ar"/>
                    </w:rPr>
                    <w:t>不涉及生态敏感区</w:t>
                  </w:r>
                  <w:r>
                    <w:rPr>
                      <w:rFonts w:hint="default" w:ascii="Times New Roman" w:hAnsi="Times New Roman" w:eastAsia="宋体" w:cs="Times New Roman"/>
                      <w:color w:val="auto"/>
                      <w:spacing w:val="7"/>
                      <w:sz w:val="21"/>
                      <w:szCs w:val="21"/>
                      <w:lang w:eastAsia="zh-CN"/>
                    </w:rPr>
                    <w:t>导线地面投影外两侧各300m内的带状区域</w:t>
                  </w:r>
                  <w:r>
                    <w:rPr>
                      <w:rFonts w:hint="eastAsia" w:ascii="Times New Roman" w:hAnsi="Times New Roman" w:eastAsia="宋体" w:cs="Times New Roman"/>
                      <w:color w:val="auto"/>
                      <w:spacing w:val="7"/>
                      <w:sz w:val="21"/>
                      <w:szCs w:val="21"/>
                      <w:lang w:eastAsia="zh-CN"/>
                    </w:rPr>
                    <w:t>；</w:t>
                  </w:r>
                </w:p>
                <w:p>
                  <w:pPr>
                    <w:keepNext w:val="0"/>
                    <w:keepLines w:val="0"/>
                    <w:widowControl/>
                    <w:suppressLineNumbers w:val="0"/>
                    <w:jc w:val="left"/>
                    <w:rPr>
                      <w:rFonts w:hint="default" w:ascii="Times New Roman" w:hAnsi="Times New Roman" w:eastAsia="宋体" w:cs="Times New Roman"/>
                      <w:color w:val="auto"/>
                      <w:spacing w:val="7"/>
                      <w:sz w:val="21"/>
                      <w:szCs w:val="21"/>
                      <w:lang w:eastAsia="zh-CN"/>
                    </w:rPr>
                  </w:pPr>
                  <w:r>
                    <w:rPr>
                      <w:rFonts w:hint="eastAsia" w:ascii="Times New Roman" w:hAnsi="Times New Roman" w:eastAsia="宋体" w:cs="Times New Roman"/>
                      <w:color w:val="auto"/>
                      <w:spacing w:val="7"/>
                      <w:sz w:val="21"/>
                      <w:szCs w:val="21"/>
                      <w:lang w:eastAsia="zh-CN"/>
                    </w:rPr>
                    <w:t>涉及生态敏感区：</w:t>
                  </w:r>
                  <w:r>
                    <w:rPr>
                      <w:rFonts w:hint="default" w:ascii="Times New Roman" w:hAnsi="Times New Roman" w:eastAsia="宋体" w:cs="Times New Roman"/>
                      <w:color w:val="auto"/>
                      <w:spacing w:val="7"/>
                      <w:sz w:val="21"/>
                      <w:szCs w:val="21"/>
                      <w:lang w:eastAsia="zh-CN"/>
                    </w:rPr>
                    <w:t>导线地面投影</w:t>
                  </w:r>
                  <w:r>
                    <w:rPr>
                      <w:rFonts w:hint="eastAsia" w:ascii="Times New Roman" w:hAnsi="Times New Roman" w:eastAsia="宋体" w:cs="Times New Roman"/>
                      <w:color w:val="auto"/>
                      <w:spacing w:val="7"/>
                      <w:sz w:val="21"/>
                      <w:szCs w:val="21"/>
                      <w:lang w:eastAsia="zh-CN"/>
                    </w:rPr>
                    <w:t>外两侧各1000m内的带状区域</w:t>
                  </w:r>
                </w:p>
              </w:tc>
            </w:tr>
          </w:tbl>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pPr>
            <w:r>
              <w:drawing>
                <wp:inline distT="0" distB="0" distL="114300" distR="114300">
                  <wp:extent cx="3024505" cy="3244215"/>
                  <wp:effectExtent l="0" t="0" r="4445" b="13335"/>
                  <wp:docPr id="10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5"/>
                          <pic:cNvPicPr>
                            <a:picLocks noChangeAspect="1"/>
                          </pic:cNvPicPr>
                        </pic:nvPicPr>
                        <pic:blipFill>
                          <a:blip r:embed="rId42"/>
                          <a:stretch>
                            <a:fillRect/>
                          </a:stretch>
                        </pic:blipFill>
                        <pic:spPr>
                          <a:xfrm>
                            <a:off x="0" y="0"/>
                            <a:ext cx="3024505" cy="32442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left="0" w:right="0" w:firstLine="446" w:firstLineChars="200"/>
              <w:jc w:val="center"/>
              <w:textAlignment w:val="auto"/>
              <w:rPr>
                <w:rFonts w:hint="eastAsia" w:ascii="Times New Roman" w:hAnsi="Times New Roman" w:cs="Times New Roman"/>
                <w:b/>
                <w:bCs/>
                <w:color w:val="auto"/>
                <w:spacing w:val="6"/>
                <w:sz w:val="21"/>
                <w:szCs w:val="21"/>
                <w:lang w:val="en-US" w:eastAsia="zh-CN"/>
              </w:rPr>
            </w:pPr>
            <w:r>
              <w:rPr>
                <w:rFonts w:hint="eastAsia" w:ascii="Times New Roman" w:hAnsi="Times New Roman" w:cs="Times New Roman"/>
                <w:b/>
                <w:bCs/>
                <w:color w:val="auto"/>
                <w:spacing w:val="6"/>
                <w:sz w:val="21"/>
                <w:szCs w:val="21"/>
                <w:lang w:val="en-US" w:eastAsia="zh-CN"/>
              </w:rPr>
              <w:t xml:space="preserve">图 </w:t>
            </w:r>
            <w:r>
              <w:rPr>
                <w:rFonts w:hint="default" w:ascii="Times New Roman" w:hAnsi="Times New Roman" w:cs="Times New Roman"/>
                <w:b/>
                <w:bCs/>
                <w:color w:val="auto"/>
                <w:spacing w:val="6"/>
                <w:sz w:val="21"/>
                <w:szCs w:val="21"/>
                <w:lang w:val="en-US" w:eastAsia="zh-CN"/>
              </w:rPr>
              <w:t>3-</w:t>
            </w:r>
            <w:r>
              <w:rPr>
                <w:rFonts w:hint="eastAsia" w:ascii="Times New Roman" w:hAnsi="Times New Roman" w:cs="Times New Roman"/>
                <w:b/>
                <w:bCs/>
                <w:color w:val="auto"/>
                <w:spacing w:val="6"/>
                <w:sz w:val="21"/>
                <w:szCs w:val="21"/>
                <w:lang w:val="en-US" w:eastAsia="zh-CN"/>
              </w:rPr>
              <w:t>2</w:t>
            </w:r>
            <w:r>
              <w:rPr>
                <w:rFonts w:hint="default" w:ascii="Times New Roman" w:hAnsi="Times New Roman" w:cs="Times New Roman"/>
                <w:b/>
                <w:bCs/>
                <w:color w:val="auto"/>
                <w:spacing w:val="6"/>
                <w:sz w:val="21"/>
                <w:szCs w:val="21"/>
                <w:lang w:val="en-US" w:eastAsia="zh-CN"/>
              </w:rPr>
              <w:t xml:space="preserve"> </w:t>
            </w:r>
            <w:r>
              <w:rPr>
                <w:rFonts w:hint="eastAsia" w:ascii="Times New Roman" w:hAnsi="Times New Roman" w:cs="Times New Roman"/>
                <w:b/>
                <w:bCs/>
                <w:color w:val="auto"/>
                <w:spacing w:val="6"/>
                <w:sz w:val="21"/>
                <w:szCs w:val="21"/>
                <w:lang w:val="en-US" w:eastAsia="zh-CN"/>
              </w:rPr>
              <w:t>本项目评价范围示意图</w:t>
            </w:r>
          </w:p>
          <w:p>
            <w:pPr>
              <w:pStyle w:val="5"/>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left="0" w:right="0" w:firstLine="446" w:firstLineChars="200"/>
              <w:jc w:val="center"/>
              <w:textAlignment w:val="auto"/>
              <w:rPr>
                <w:rFonts w:hint="default" w:ascii="Times New Roman" w:hAnsi="Times New Roman" w:cs="Times New Roman"/>
                <w:b/>
                <w:bCs/>
                <w:color w:val="auto"/>
                <w:spacing w:val="6"/>
                <w:sz w:val="21"/>
                <w:szCs w:val="21"/>
              </w:rPr>
            </w:pPr>
            <w:r>
              <w:rPr>
                <w:rFonts w:hint="default" w:ascii="Times New Roman" w:hAnsi="Times New Roman" w:cs="Times New Roman"/>
                <w:b/>
                <w:bCs/>
                <w:color w:val="auto"/>
                <w:spacing w:val="6"/>
                <w:sz w:val="21"/>
                <w:szCs w:val="21"/>
              </w:rPr>
              <w:t>表 3-</w:t>
            </w:r>
            <w:r>
              <w:rPr>
                <w:rFonts w:hint="eastAsia" w:ascii="Times New Roman" w:hAnsi="Times New Roman" w:cs="Times New Roman"/>
                <w:b/>
                <w:bCs/>
                <w:color w:val="auto"/>
                <w:spacing w:val="6"/>
                <w:sz w:val="21"/>
                <w:szCs w:val="21"/>
                <w:lang w:val="en-US" w:eastAsia="zh-CN"/>
              </w:rPr>
              <w:t>6</w:t>
            </w:r>
            <w:r>
              <w:rPr>
                <w:rFonts w:hint="default" w:ascii="Times New Roman" w:hAnsi="Times New Roman" w:cs="Times New Roman"/>
                <w:b/>
                <w:bCs/>
                <w:color w:val="auto"/>
                <w:spacing w:val="6"/>
                <w:sz w:val="21"/>
                <w:szCs w:val="21"/>
              </w:rPr>
              <w:t xml:space="preserve"> </w:t>
            </w:r>
            <w:r>
              <w:rPr>
                <w:rFonts w:hint="eastAsia" w:ascii="Times New Roman" w:hAnsi="Times New Roman" w:cs="Times New Roman"/>
                <w:b/>
                <w:bCs/>
                <w:color w:val="auto"/>
                <w:spacing w:val="6"/>
                <w:sz w:val="21"/>
                <w:szCs w:val="21"/>
                <w:lang w:val="en-US" w:eastAsia="zh-CN"/>
              </w:rPr>
              <w:t xml:space="preserve">         </w:t>
            </w:r>
            <w:r>
              <w:rPr>
                <w:rFonts w:hint="default" w:ascii="Times New Roman" w:hAnsi="Times New Roman" w:cs="Times New Roman"/>
                <w:b/>
                <w:bCs/>
                <w:color w:val="auto"/>
                <w:spacing w:val="6"/>
                <w:sz w:val="21"/>
                <w:szCs w:val="21"/>
              </w:rPr>
              <w:t>本项目周围环境状况一览表</w:t>
            </w:r>
          </w:p>
          <w:tbl>
            <w:tblPr>
              <w:tblStyle w:val="31"/>
              <w:tblW w:w="80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12"/>
              <w:gridCol w:w="717"/>
              <w:gridCol w:w="1191"/>
              <w:gridCol w:w="1031"/>
              <w:gridCol w:w="1616"/>
              <w:gridCol w:w="692"/>
              <w:gridCol w:w="695"/>
              <w:gridCol w:w="777"/>
              <w:gridCol w:w="8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6" w:hRule="atLeast"/>
                <w:jc w:val="center"/>
              </w:trPr>
              <w:tc>
                <w:tcPr>
                  <w:tcW w:w="512" w:type="dxa"/>
                  <w:vMerge w:val="restart"/>
                  <w:textDirection w:val="tbRlV"/>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9"/>
                      <w:sz w:val="21"/>
                      <w:szCs w:val="21"/>
                    </w:rPr>
                    <w:t>序</w:t>
                  </w:r>
                  <w:r>
                    <w:rPr>
                      <w:rFonts w:hint="default" w:ascii="Times New Roman" w:hAnsi="Times New Roman" w:eastAsia="宋体" w:cs="Times New Roman"/>
                      <w:color w:val="auto"/>
                      <w:spacing w:val="-39"/>
                      <w:sz w:val="21"/>
                      <w:szCs w:val="21"/>
                    </w:rPr>
                    <w:t xml:space="preserve"> </w:t>
                  </w:r>
                  <w:r>
                    <w:rPr>
                      <w:rFonts w:hint="default" w:ascii="Times New Roman" w:hAnsi="Times New Roman" w:eastAsia="宋体" w:cs="Times New Roman"/>
                      <w:color w:val="auto"/>
                      <w:spacing w:val="9"/>
                      <w:sz w:val="21"/>
                      <w:szCs w:val="21"/>
                    </w:rPr>
                    <w:t>号</w:t>
                  </w:r>
                </w:p>
              </w:tc>
              <w:tc>
                <w:tcPr>
                  <w:tcW w:w="717" w:type="dxa"/>
                  <w:vMerge w:val="restar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工程</w:t>
                  </w:r>
                  <w:r>
                    <w:rPr>
                      <w:rFonts w:hint="default" w:ascii="Times New Roman" w:hAnsi="Times New Roman" w:eastAsia="宋体" w:cs="Times New Roman"/>
                      <w:color w:val="auto"/>
                      <w:spacing w:val="-8"/>
                      <w:sz w:val="21"/>
                      <w:szCs w:val="21"/>
                    </w:rPr>
                    <w:t>内容</w:t>
                  </w:r>
                </w:p>
              </w:tc>
              <w:tc>
                <w:tcPr>
                  <w:tcW w:w="1191" w:type="dxa"/>
                  <w:vMerge w:val="restar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保护目标</w:t>
                  </w:r>
                  <w:r>
                    <w:rPr>
                      <w:rFonts w:hint="default" w:ascii="Times New Roman" w:hAnsi="Times New Roman" w:eastAsia="宋体" w:cs="Times New Roman"/>
                      <w:color w:val="auto"/>
                      <w:spacing w:val="3"/>
                      <w:sz w:val="21"/>
                      <w:szCs w:val="21"/>
                    </w:rPr>
                    <w:t>名称</w:t>
                  </w:r>
                </w:p>
              </w:tc>
              <w:tc>
                <w:tcPr>
                  <w:tcW w:w="1031" w:type="dxa"/>
                  <w:vMerge w:val="restar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方位</w:t>
                  </w:r>
                </w:p>
              </w:tc>
              <w:tc>
                <w:tcPr>
                  <w:tcW w:w="1616" w:type="dxa"/>
                  <w:vMerge w:val="restar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7"/>
                      <w:sz w:val="21"/>
                      <w:szCs w:val="21"/>
                    </w:rPr>
                    <w:t>距站界</w:t>
                  </w:r>
                  <w:r>
                    <w:rPr>
                      <w:rFonts w:hint="default" w:ascii="Times New Roman" w:hAnsi="Times New Roman" w:eastAsia="宋体" w:cs="Times New Roman"/>
                      <w:color w:val="auto"/>
                      <w:spacing w:val="7"/>
                      <w:sz w:val="21"/>
                      <w:szCs w:val="21"/>
                      <w:lang w:val="en-US" w:eastAsia="zh-CN"/>
                    </w:rPr>
                    <w:t>/线路</w:t>
                  </w:r>
                </w:p>
              </w:tc>
              <w:tc>
                <w:tcPr>
                  <w:tcW w:w="1387"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建筑物特征</w:t>
                  </w:r>
                </w:p>
              </w:tc>
              <w:tc>
                <w:tcPr>
                  <w:tcW w:w="777" w:type="dxa"/>
                  <w:vMerge w:val="restar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规模</w:t>
                  </w:r>
                </w:p>
              </w:tc>
              <w:tc>
                <w:tcPr>
                  <w:tcW w:w="806" w:type="dxa"/>
                  <w:vMerge w:val="restar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8" w:hRule="atLeast"/>
                <w:jc w:val="center"/>
              </w:trPr>
              <w:tc>
                <w:tcPr>
                  <w:tcW w:w="512" w:type="dxa"/>
                  <w:vMerge w:val="continue"/>
                  <w:textDirection w:val="tbRlV"/>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717"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119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103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1616"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692"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楼层</w:t>
                  </w:r>
                </w:p>
              </w:tc>
              <w:tc>
                <w:tcPr>
                  <w:tcW w:w="69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高度</w:t>
                  </w:r>
                </w:p>
              </w:tc>
              <w:tc>
                <w:tcPr>
                  <w:tcW w:w="777"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806"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51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position w:val="1"/>
                      <w:sz w:val="21"/>
                      <w:szCs w:val="21"/>
                      <w:lang w:val="en-US" w:eastAsia="zh-CN"/>
                    </w:rPr>
                  </w:pPr>
                  <w:r>
                    <w:rPr>
                      <w:rFonts w:hint="default" w:ascii="Times New Roman" w:hAnsi="Times New Roman" w:eastAsia="宋体" w:cs="Times New Roman"/>
                      <w:color w:val="auto"/>
                      <w:position w:val="1"/>
                      <w:sz w:val="21"/>
                      <w:szCs w:val="21"/>
                      <w:lang w:val="en-US" w:eastAsia="zh-CN"/>
                    </w:rPr>
                    <w:t>1</w:t>
                  </w:r>
                </w:p>
              </w:tc>
              <w:tc>
                <w:tcPr>
                  <w:tcW w:w="717"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线路工程</w:t>
                  </w:r>
                </w:p>
              </w:tc>
              <w:tc>
                <w:tcPr>
                  <w:tcW w:w="1191"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 w:val="21"/>
                      <w:szCs w:val="21"/>
                      <w:lang w:val="en-US" w:eastAsia="zh-CN"/>
                    </w:rPr>
                    <w:t>小东山民房</w:t>
                  </w:r>
                </w:p>
              </w:tc>
              <w:tc>
                <w:tcPr>
                  <w:tcW w:w="1031"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b w:val="0"/>
                      <w:bCs/>
                      <w:color w:val="auto"/>
                      <w:sz w:val="21"/>
                      <w:szCs w:val="21"/>
                      <w:lang w:val="en-US" w:eastAsia="zh-CN"/>
                    </w:rPr>
                    <w:t>西北侧</w:t>
                  </w:r>
                </w:p>
              </w:tc>
              <w:tc>
                <w:tcPr>
                  <w:tcW w:w="161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position w:val="2"/>
                      <w:sz w:val="21"/>
                      <w:szCs w:val="21"/>
                      <w:lang w:val="en-US" w:eastAsia="zh-CN"/>
                    </w:rPr>
                  </w:pPr>
                  <w:r>
                    <w:rPr>
                      <w:rFonts w:hint="default" w:ascii="Times New Roman" w:hAnsi="Times New Roman" w:eastAsia="宋体" w:cs="Times New Roman"/>
                      <w:color w:val="auto"/>
                      <w:spacing w:val="-1"/>
                      <w:position w:val="2"/>
                      <w:sz w:val="21"/>
                      <w:szCs w:val="21"/>
                      <w:lang w:val="en-US" w:eastAsia="zh-CN"/>
                    </w:rPr>
                    <w:t>120m</w:t>
                  </w:r>
                </w:p>
              </w:tc>
              <w:tc>
                <w:tcPr>
                  <w:tcW w:w="692"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0"/>
                      <w:position w:val="1"/>
                      <w:sz w:val="21"/>
                      <w:szCs w:val="21"/>
                    </w:rPr>
                  </w:pPr>
                  <w:r>
                    <w:rPr>
                      <w:rFonts w:hint="default" w:ascii="Times New Roman" w:hAnsi="Times New Roman" w:eastAsia="宋体" w:cs="Times New Roman"/>
                      <w:color w:val="auto"/>
                      <w:spacing w:val="-10"/>
                      <w:position w:val="1"/>
                      <w:sz w:val="21"/>
                      <w:szCs w:val="21"/>
                    </w:rPr>
                    <w:t>1层</w:t>
                  </w:r>
                </w:p>
              </w:tc>
              <w:tc>
                <w:tcPr>
                  <w:tcW w:w="69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4"/>
                      <w:position w:val="1"/>
                      <w:sz w:val="21"/>
                      <w:szCs w:val="21"/>
                    </w:rPr>
                  </w:pPr>
                  <w:r>
                    <w:rPr>
                      <w:rFonts w:hint="default" w:ascii="Times New Roman" w:hAnsi="Times New Roman" w:eastAsia="宋体" w:cs="Times New Roman"/>
                      <w:color w:val="auto"/>
                      <w:spacing w:val="4"/>
                      <w:position w:val="1"/>
                      <w:sz w:val="21"/>
                      <w:szCs w:val="21"/>
                    </w:rPr>
                    <w:t>4m</w:t>
                  </w:r>
                </w:p>
              </w:tc>
              <w:tc>
                <w:tcPr>
                  <w:tcW w:w="777"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0"/>
                      <w:position w:val="1"/>
                      <w:sz w:val="21"/>
                      <w:szCs w:val="21"/>
                    </w:rPr>
                  </w:pPr>
                  <w:r>
                    <w:rPr>
                      <w:rFonts w:hint="default" w:ascii="Times New Roman" w:hAnsi="Times New Roman" w:eastAsia="宋体" w:cs="Times New Roman"/>
                      <w:color w:val="auto"/>
                      <w:spacing w:val="-10"/>
                      <w:position w:val="1"/>
                      <w:sz w:val="21"/>
                      <w:szCs w:val="21"/>
                    </w:rPr>
                    <w:t>1栋</w:t>
                  </w:r>
                </w:p>
              </w:tc>
              <w:tc>
                <w:tcPr>
                  <w:tcW w:w="806"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住宅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6" w:hRule="atLeast"/>
                <w:jc w:val="center"/>
              </w:trPr>
              <w:tc>
                <w:tcPr>
                  <w:tcW w:w="51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position w:val="1"/>
                      <w:sz w:val="21"/>
                      <w:szCs w:val="21"/>
                      <w:lang w:val="en-US" w:eastAsia="zh-CN"/>
                    </w:rPr>
                  </w:pPr>
                  <w:r>
                    <w:rPr>
                      <w:rFonts w:hint="default" w:ascii="Times New Roman" w:hAnsi="Times New Roman" w:eastAsia="宋体" w:cs="Times New Roman"/>
                      <w:color w:val="auto"/>
                      <w:position w:val="1"/>
                      <w:sz w:val="21"/>
                      <w:szCs w:val="21"/>
                      <w:lang w:val="en-US" w:eastAsia="zh-CN"/>
                    </w:rPr>
                    <w:t>2</w:t>
                  </w:r>
                </w:p>
              </w:tc>
              <w:tc>
                <w:tcPr>
                  <w:tcW w:w="717"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1191"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 w:val="21"/>
                      <w:szCs w:val="21"/>
                      <w:lang w:val="en-US" w:eastAsia="zh-CN"/>
                    </w:rPr>
                    <w:t>卧马线民房</w:t>
                  </w:r>
                </w:p>
              </w:tc>
              <w:tc>
                <w:tcPr>
                  <w:tcW w:w="1031"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5"/>
                      <w:sz w:val="21"/>
                      <w:szCs w:val="21"/>
                      <w:lang w:val="en-US" w:eastAsia="zh-CN"/>
                    </w:rPr>
                  </w:pPr>
                  <w:r>
                    <w:rPr>
                      <w:rFonts w:hint="default" w:ascii="Times New Roman" w:hAnsi="Times New Roman" w:eastAsia="宋体" w:cs="Times New Roman"/>
                      <w:color w:val="auto"/>
                      <w:spacing w:val="5"/>
                      <w:sz w:val="21"/>
                      <w:szCs w:val="21"/>
                      <w:lang w:val="en-US" w:eastAsia="zh-CN"/>
                    </w:rPr>
                    <w:t>西侧</w:t>
                  </w:r>
                </w:p>
              </w:tc>
              <w:tc>
                <w:tcPr>
                  <w:tcW w:w="161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position w:val="2"/>
                      <w:sz w:val="21"/>
                      <w:szCs w:val="21"/>
                      <w:lang w:val="en-US" w:eastAsia="zh-CN"/>
                    </w:rPr>
                  </w:pPr>
                  <w:r>
                    <w:rPr>
                      <w:rFonts w:hint="default" w:ascii="Times New Roman" w:hAnsi="Times New Roman" w:eastAsia="宋体" w:cs="Times New Roman"/>
                      <w:color w:val="auto"/>
                      <w:spacing w:val="-1"/>
                      <w:position w:val="2"/>
                      <w:sz w:val="21"/>
                      <w:szCs w:val="21"/>
                      <w:lang w:val="en-US" w:eastAsia="zh-CN"/>
                    </w:rPr>
                    <w:t>40m</w:t>
                  </w:r>
                </w:p>
              </w:tc>
              <w:tc>
                <w:tcPr>
                  <w:tcW w:w="692"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0"/>
                      <w:position w:val="1"/>
                      <w:sz w:val="21"/>
                      <w:szCs w:val="21"/>
                    </w:rPr>
                  </w:pPr>
                  <w:r>
                    <w:rPr>
                      <w:rFonts w:hint="default" w:ascii="Times New Roman" w:hAnsi="Times New Roman" w:eastAsia="宋体" w:cs="Times New Roman"/>
                      <w:color w:val="auto"/>
                      <w:spacing w:val="-10"/>
                      <w:position w:val="1"/>
                      <w:sz w:val="21"/>
                      <w:szCs w:val="21"/>
                    </w:rPr>
                    <w:t>1层</w:t>
                  </w:r>
                </w:p>
              </w:tc>
              <w:tc>
                <w:tcPr>
                  <w:tcW w:w="69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4"/>
                      <w:position w:val="1"/>
                      <w:sz w:val="21"/>
                      <w:szCs w:val="21"/>
                    </w:rPr>
                  </w:pPr>
                  <w:r>
                    <w:rPr>
                      <w:rFonts w:hint="default" w:ascii="Times New Roman" w:hAnsi="Times New Roman" w:eastAsia="宋体" w:cs="Times New Roman"/>
                      <w:color w:val="auto"/>
                      <w:spacing w:val="4"/>
                      <w:position w:val="1"/>
                      <w:sz w:val="21"/>
                      <w:szCs w:val="21"/>
                    </w:rPr>
                    <w:t>4m</w:t>
                  </w:r>
                </w:p>
              </w:tc>
              <w:tc>
                <w:tcPr>
                  <w:tcW w:w="777"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0"/>
                      <w:position w:val="1"/>
                      <w:sz w:val="21"/>
                      <w:szCs w:val="21"/>
                    </w:rPr>
                  </w:pPr>
                  <w:r>
                    <w:rPr>
                      <w:rFonts w:hint="default" w:ascii="Times New Roman" w:hAnsi="Times New Roman" w:eastAsia="宋体" w:cs="Times New Roman"/>
                      <w:color w:val="auto"/>
                      <w:spacing w:val="-10"/>
                      <w:position w:val="1"/>
                      <w:sz w:val="21"/>
                      <w:szCs w:val="21"/>
                    </w:rPr>
                    <w:t>1栋</w:t>
                  </w:r>
                </w:p>
              </w:tc>
              <w:tc>
                <w:tcPr>
                  <w:tcW w:w="806"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住宅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5" w:hRule="atLeast"/>
                <w:jc w:val="center"/>
              </w:trPr>
              <w:tc>
                <w:tcPr>
                  <w:tcW w:w="51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position w:val="1"/>
                      <w:sz w:val="21"/>
                      <w:szCs w:val="21"/>
                      <w:lang w:val="en-US" w:eastAsia="zh-CN"/>
                    </w:rPr>
                  </w:pPr>
                  <w:r>
                    <w:rPr>
                      <w:rFonts w:hint="default" w:ascii="Times New Roman" w:hAnsi="Times New Roman" w:eastAsia="宋体" w:cs="Times New Roman"/>
                      <w:color w:val="auto"/>
                      <w:position w:val="1"/>
                      <w:sz w:val="21"/>
                      <w:szCs w:val="21"/>
                      <w:lang w:val="en-US" w:eastAsia="zh-CN"/>
                    </w:rPr>
                    <w:t>3</w:t>
                  </w:r>
                </w:p>
              </w:tc>
              <w:tc>
                <w:tcPr>
                  <w:tcW w:w="717"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1191"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sz w:val="21"/>
                      <w:szCs w:val="21"/>
                      <w:lang w:val="en-US" w:eastAsia="zh-CN"/>
                    </w:rPr>
                    <w:t>卧马线民房</w:t>
                  </w:r>
                </w:p>
              </w:tc>
              <w:tc>
                <w:tcPr>
                  <w:tcW w:w="1031"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5"/>
                      <w:sz w:val="21"/>
                      <w:szCs w:val="21"/>
                      <w:lang w:val="en-US" w:eastAsia="zh-CN"/>
                    </w:rPr>
                  </w:pPr>
                  <w:r>
                    <w:rPr>
                      <w:rFonts w:hint="default" w:ascii="Times New Roman" w:hAnsi="Times New Roman" w:eastAsia="宋体" w:cs="Times New Roman"/>
                      <w:color w:val="auto"/>
                      <w:spacing w:val="5"/>
                      <w:sz w:val="21"/>
                      <w:szCs w:val="21"/>
                      <w:lang w:val="en-US" w:eastAsia="zh-CN"/>
                    </w:rPr>
                    <w:t>东侧</w:t>
                  </w:r>
                </w:p>
              </w:tc>
              <w:tc>
                <w:tcPr>
                  <w:tcW w:w="161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1"/>
                      <w:position w:val="2"/>
                      <w:sz w:val="21"/>
                      <w:szCs w:val="21"/>
                      <w:lang w:val="en-US" w:eastAsia="zh-CN"/>
                    </w:rPr>
                  </w:pPr>
                  <w:r>
                    <w:rPr>
                      <w:rFonts w:hint="default" w:ascii="Times New Roman" w:hAnsi="Times New Roman" w:eastAsia="宋体" w:cs="Times New Roman"/>
                      <w:color w:val="auto"/>
                      <w:spacing w:val="-1"/>
                      <w:position w:val="2"/>
                      <w:sz w:val="21"/>
                      <w:szCs w:val="21"/>
                      <w:lang w:val="en-US" w:eastAsia="zh-CN"/>
                    </w:rPr>
                    <w:t>102m</w:t>
                  </w:r>
                </w:p>
              </w:tc>
              <w:tc>
                <w:tcPr>
                  <w:tcW w:w="692"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0"/>
                      <w:position w:val="1"/>
                      <w:sz w:val="21"/>
                      <w:szCs w:val="21"/>
                    </w:rPr>
                  </w:pPr>
                  <w:r>
                    <w:rPr>
                      <w:rFonts w:hint="default" w:ascii="Times New Roman" w:hAnsi="Times New Roman" w:eastAsia="宋体" w:cs="Times New Roman"/>
                      <w:color w:val="auto"/>
                      <w:spacing w:val="-10"/>
                      <w:position w:val="1"/>
                      <w:sz w:val="21"/>
                      <w:szCs w:val="21"/>
                    </w:rPr>
                    <w:t>1层</w:t>
                  </w:r>
                </w:p>
              </w:tc>
              <w:tc>
                <w:tcPr>
                  <w:tcW w:w="69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4"/>
                      <w:position w:val="1"/>
                      <w:sz w:val="21"/>
                      <w:szCs w:val="21"/>
                    </w:rPr>
                  </w:pPr>
                  <w:r>
                    <w:rPr>
                      <w:rFonts w:hint="default" w:ascii="Times New Roman" w:hAnsi="Times New Roman" w:eastAsia="宋体" w:cs="Times New Roman"/>
                      <w:color w:val="auto"/>
                      <w:spacing w:val="4"/>
                      <w:position w:val="1"/>
                      <w:sz w:val="21"/>
                      <w:szCs w:val="21"/>
                    </w:rPr>
                    <w:t>4m</w:t>
                  </w:r>
                </w:p>
              </w:tc>
              <w:tc>
                <w:tcPr>
                  <w:tcW w:w="777"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0"/>
                      <w:position w:val="1"/>
                      <w:sz w:val="21"/>
                      <w:szCs w:val="21"/>
                    </w:rPr>
                  </w:pPr>
                  <w:r>
                    <w:rPr>
                      <w:rFonts w:hint="default" w:ascii="Times New Roman" w:hAnsi="Times New Roman" w:eastAsia="宋体" w:cs="Times New Roman"/>
                      <w:color w:val="auto"/>
                      <w:spacing w:val="-10"/>
                      <w:position w:val="1"/>
                      <w:sz w:val="21"/>
                      <w:szCs w:val="21"/>
                    </w:rPr>
                    <w:t>1栋</w:t>
                  </w:r>
                </w:p>
              </w:tc>
              <w:tc>
                <w:tcPr>
                  <w:tcW w:w="806"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住宅</w:t>
                  </w:r>
                </w:p>
              </w:tc>
            </w:tr>
          </w:tbl>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b/>
                <w:bCs/>
                <w:color w:val="auto"/>
                <w:spacing w:val="-3"/>
                <w:sz w:val="24"/>
                <w:szCs w:val="24"/>
                <w:lang w:eastAsia="zh-CN"/>
              </w:rPr>
            </w:pPr>
          </w:p>
          <w:p>
            <w:pPr>
              <w:keepNext w:val="0"/>
              <w:keepLines w:val="0"/>
              <w:pageBreakBefore w:val="0"/>
              <w:widowControl w:val="0"/>
              <w:kinsoku/>
              <w:wordWrap/>
              <w:overflowPunct/>
              <w:topLinePunct w:val="0"/>
              <w:autoSpaceDE/>
              <w:autoSpaceDN/>
              <w:bidi w:val="0"/>
              <w:adjustRightInd/>
              <w:snapToGrid/>
              <w:spacing w:line="360" w:lineRule="auto"/>
              <w:ind w:left="0" w:right="0" w:firstLine="470" w:firstLineChars="200"/>
              <w:jc w:val="both"/>
              <w:textAlignment w:val="auto"/>
              <w:rPr>
                <w:rFonts w:hint="default" w:ascii="Times New Roman" w:hAnsi="Times New Roman" w:eastAsia="宋体" w:cs="Times New Roman"/>
                <w:b/>
                <w:bCs/>
                <w:color w:val="auto"/>
                <w:spacing w:val="-3"/>
                <w:sz w:val="24"/>
                <w:szCs w:val="24"/>
              </w:rPr>
            </w:pPr>
            <w:r>
              <w:rPr>
                <w:rFonts w:hint="default" w:ascii="Times New Roman" w:hAnsi="Times New Roman" w:eastAsia="宋体" w:cs="Times New Roman"/>
                <w:b/>
                <w:bCs/>
                <w:color w:val="auto"/>
                <w:spacing w:val="-3"/>
                <w:sz w:val="24"/>
                <w:szCs w:val="24"/>
              </w:rPr>
              <w:t>2</w:t>
            </w:r>
            <w:r>
              <w:rPr>
                <w:rFonts w:hint="eastAsia" w:ascii="Times New Roman" w:hAnsi="Times New Roman" w:eastAsia="宋体" w:cs="Times New Roman"/>
                <w:b/>
                <w:bCs/>
                <w:color w:val="auto"/>
                <w:spacing w:val="-3"/>
                <w:sz w:val="24"/>
                <w:szCs w:val="24"/>
                <w:lang w:eastAsia="zh-CN"/>
              </w:rPr>
              <w:t>、</w:t>
            </w:r>
            <w:r>
              <w:rPr>
                <w:rFonts w:hint="default" w:ascii="Times New Roman" w:hAnsi="Times New Roman" w:eastAsia="宋体" w:cs="Times New Roman"/>
                <w:b/>
                <w:bCs/>
                <w:color w:val="auto"/>
                <w:spacing w:val="-3"/>
                <w:sz w:val="24"/>
                <w:szCs w:val="24"/>
              </w:rPr>
              <w:t>环境敏感目标</w:t>
            </w:r>
          </w:p>
          <w:p>
            <w:pPr>
              <w:keepNext w:val="0"/>
              <w:keepLines w:val="0"/>
              <w:pageBreakBefore w:val="0"/>
              <w:widowControl w:val="0"/>
              <w:kinsoku/>
              <w:wordWrap/>
              <w:overflowPunct/>
              <w:topLinePunct w:val="0"/>
              <w:autoSpaceDE/>
              <w:autoSpaceDN/>
              <w:bidi w:val="0"/>
              <w:adjustRightInd/>
              <w:snapToGrid/>
              <w:spacing w:line="360" w:lineRule="auto"/>
              <w:ind w:left="0" w:right="0" w:firstLine="468" w:firstLineChars="200"/>
              <w:jc w:val="both"/>
              <w:textAlignment w:val="auto"/>
              <w:rPr>
                <w:rFonts w:hint="default" w:ascii="Times New Roman" w:hAnsi="Times New Roman" w:eastAsia="宋体" w:cs="Times New Roman"/>
                <w:b w:val="0"/>
                <w:bCs w:val="0"/>
                <w:color w:val="auto"/>
                <w:spacing w:val="-3"/>
                <w:sz w:val="24"/>
                <w:szCs w:val="24"/>
              </w:rPr>
            </w:pPr>
            <w:r>
              <w:rPr>
                <w:rFonts w:hint="default" w:ascii="Times New Roman" w:hAnsi="Times New Roman" w:eastAsia="宋体" w:cs="Times New Roman"/>
                <w:b w:val="0"/>
                <w:bCs w:val="0"/>
                <w:color w:val="auto"/>
                <w:spacing w:val="-3"/>
                <w:sz w:val="24"/>
                <w:szCs w:val="24"/>
              </w:rPr>
              <w:t>（1） 电磁环境</w:t>
            </w:r>
          </w:p>
          <w:p>
            <w:pPr>
              <w:keepNext w:val="0"/>
              <w:keepLines w:val="0"/>
              <w:pageBreakBefore w:val="0"/>
              <w:widowControl w:val="0"/>
              <w:kinsoku/>
              <w:wordWrap/>
              <w:overflowPunct/>
              <w:topLinePunct w:val="0"/>
              <w:autoSpaceDE/>
              <w:autoSpaceDN/>
              <w:bidi w:val="0"/>
              <w:adjustRightInd/>
              <w:snapToGrid/>
              <w:spacing w:line="240" w:lineRule="auto"/>
              <w:ind w:left="0" w:right="0" w:firstLine="446" w:firstLineChars="200"/>
              <w:jc w:val="center"/>
              <w:textAlignment w:val="auto"/>
              <w:rPr>
                <w:rFonts w:hint="default" w:ascii="Times New Roman" w:hAnsi="Times New Roman" w:cs="Times New Roman"/>
                <w:b/>
                <w:bCs/>
                <w:color w:val="auto"/>
                <w:spacing w:val="6"/>
                <w:sz w:val="21"/>
                <w:szCs w:val="21"/>
              </w:rPr>
            </w:pPr>
            <w:r>
              <w:rPr>
                <w:rFonts w:hint="default" w:ascii="Times New Roman" w:hAnsi="Times New Roman" w:cs="Times New Roman"/>
                <w:b/>
                <w:bCs/>
                <w:color w:val="auto"/>
                <w:spacing w:val="6"/>
                <w:sz w:val="21"/>
                <w:szCs w:val="21"/>
              </w:rPr>
              <w:t>表 3-</w:t>
            </w:r>
            <w:r>
              <w:rPr>
                <w:rFonts w:hint="eastAsia" w:ascii="Times New Roman" w:hAnsi="Times New Roman" w:cs="Times New Roman"/>
                <w:b/>
                <w:bCs/>
                <w:color w:val="auto"/>
                <w:spacing w:val="6"/>
                <w:sz w:val="21"/>
                <w:szCs w:val="21"/>
                <w:lang w:val="en-US" w:eastAsia="zh-CN"/>
              </w:rPr>
              <w:t>7</w:t>
            </w:r>
            <w:r>
              <w:rPr>
                <w:rFonts w:hint="default" w:ascii="Times New Roman" w:hAnsi="Times New Roman" w:cs="Times New Roman"/>
                <w:b/>
                <w:bCs/>
                <w:color w:val="auto"/>
                <w:spacing w:val="6"/>
                <w:sz w:val="21"/>
                <w:szCs w:val="21"/>
              </w:rPr>
              <w:t>本项目电磁环境保护目标（施工期和运营期）一览表</w:t>
            </w:r>
          </w:p>
          <w:tbl>
            <w:tblPr>
              <w:tblStyle w:val="31"/>
              <w:tblW w:w="4999"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29"/>
              <w:gridCol w:w="906"/>
              <w:gridCol w:w="1350"/>
              <w:gridCol w:w="613"/>
              <w:gridCol w:w="817"/>
              <w:gridCol w:w="772"/>
              <w:gridCol w:w="847"/>
              <w:gridCol w:w="691"/>
              <w:gridCol w:w="600"/>
              <w:gridCol w:w="697"/>
              <w:gridCol w:w="59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jc w:val="center"/>
              </w:trPr>
              <w:tc>
                <w:tcPr>
                  <w:tcW w:w="314" w:type="pct"/>
                  <w:vMerge w:val="restart"/>
                  <w:tcBorders>
                    <w:bottom w:val="nil"/>
                  </w:tcBorders>
                  <w:textDirection w:val="tbRlV"/>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9"/>
                      <w:sz w:val="21"/>
                      <w:szCs w:val="21"/>
                    </w:rPr>
                    <w:t>序</w:t>
                  </w:r>
                  <w:r>
                    <w:rPr>
                      <w:rFonts w:hint="default" w:ascii="Times New Roman" w:hAnsi="Times New Roman" w:eastAsia="宋体" w:cs="Times New Roman"/>
                      <w:color w:val="auto"/>
                      <w:spacing w:val="-36"/>
                      <w:sz w:val="21"/>
                      <w:szCs w:val="21"/>
                    </w:rPr>
                    <w:t xml:space="preserve"> </w:t>
                  </w:r>
                  <w:r>
                    <w:rPr>
                      <w:rFonts w:hint="default" w:ascii="Times New Roman" w:hAnsi="Times New Roman" w:eastAsia="宋体" w:cs="Times New Roman"/>
                      <w:color w:val="auto"/>
                      <w:spacing w:val="9"/>
                      <w:sz w:val="21"/>
                      <w:szCs w:val="21"/>
                    </w:rPr>
                    <w:t>号</w:t>
                  </w:r>
                </w:p>
              </w:tc>
              <w:tc>
                <w:tcPr>
                  <w:tcW w:w="538" w:type="pct"/>
                  <w:vMerge w:val="restart"/>
                  <w:tcBorders>
                    <w:bottom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工程</w:t>
                  </w:r>
                  <w:r>
                    <w:rPr>
                      <w:rFonts w:hint="default" w:ascii="Times New Roman" w:hAnsi="Times New Roman" w:eastAsia="宋体" w:cs="Times New Roman"/>
                      <w:color w:val="auto"/>
                      <w:spacing w:val="-8"/>
                      <w:sz w:val="21"/>
                      <w:szCs w:val="21"/>
                    </w:rPr>
                    <w:t>内容</w:t>
                  </w:r>
                </w:p>
              </w:tc>
              <w:tc>
                <w:tcPr>
                  <w:tcW w:w="802" w:type="pct"/>
                  <w:vMerge w:val="restart"/>
                  <w:tcBorders>
                    <w:bottom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保护目标</w:t>
                  </w:r>
                  <w:r>
                    <w:rPr>
                      <w:rFonts w:hint="default" w:ascii="Times New Roman" w:hAnsi="Times New Roman" w:eastAsia="宋体" w:cs="Times New Roman"/>
                      <w:color w:val="auto"/>
                      <w:spacing w:val="3"/>
                      <w:sz w:val="21"/>
                      <w:szCs w:val="21"/>
                    </w:rPr>
                    <w:t>名称</w:t>
                  </w:r>
                </w:p>
              </w:tc>
              <w:tc>
                <w:tcPr>
                  <w:tcW w:w="364" w:type="pct"/>
                  <w:vMerge w:val="restart"/>
                  <w:tcBorders>
                    <w:bottom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方位</w:t>
                  </w:r>
                </w:p>
              </w:tc>
              <w:tc>
                <w:tcPr>
                  <w:tcW w:w="485" w:type="pct"/>
                  <w:vMerge w:val="restart"/>
                  <w:tcBorders>
                    <w:bottom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7"/>
                      <w:sz w:val="21"/>
                      <w:szCs w:val="21"/>
                    </w:rPr>
                    <w:t>距站界</w:t>
                  </w:r>
                  <w:r>
                    <w:rPr>
                      <w:rFonts w:hint="default" w:ascii="Times New Roman" w:hAnsi="Times New Roman" w:eastAsia="宋体" w:cs="Times New Roman"/>
                      <w:color w:val="auto"/>
                      <w:spacing w:val="7"/>
                      <w:sz w:val="21"/>
                      <w:szCs w:val="21"/>
                      <w:lang w:val="en-US" w:eastAsia="zh-CN"/>
                    </w:rPr>
                    <w:t>/线路</w:t>
                  </w:r>
                </w:p>
              </w:tc>
              <w:tc>
                <w:tcPr>
                  <w:tcW w:w="961" w:type="pct"/>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建筑物特征</w:t>
                  </w:r>
                </w:p>
              </w:tc>
              <w:tc>
                <w:tcPr>
                  <w:tcW w:w="410" w:type="pct"/>
                  <w:vMerge w:val="restart"/>
                  <w:tcBorders>
                    <w:bottom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规模</w:t>
                  </w:r>
                </w:p>
              </w:tc>
              <w:tc>
                <w:tcPr>
                  <w:tcW w:w="356" w:type="pct"/>
                  <w:vMerge w:val="restart"/>
                  <w:tcBorders>
                    <w:bottom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功能</w:t>
                  </w:r>
                </w:p>
              </w:tc>
              <w:tc>
                <w:tcPr>
                  <w:tcW w:w="414" w:type="pct"/>
                  <w:vMerge w:val="restart"/>
                  <w:vAlign w:val="center"/>
                </w:tcPr>
                <w:p>
                  <w:pPr>
                    <w:pStyle w:val="28"/>
                    <w:ind w:firstLine="0" w:firstLineChars="0"/>
                    <w:rPr>
                      <w:rFonts w:hint="default" w:ascii="Times New Roman" w:hAnsi="Times New Roman" w:eastAsia="宋体" w:cs="Times New Roman"/>
                      <w:b w:val="0"/>
                      <w:bCs w:val="0"/>
                      <w:color w:val="auto"/>
                      <w:spacing w:val="3"/>
                      <w:sz w:val="21"/>
                      <w:szCs w:val="21"/>
                    </w:rPr>
                  </w:pPr>
                  <w:r>
                    <w:rPr>
                      <w:b w:val="0"/>
                      <w:bCs w:val="0"/>
                      <w:color w:val="auto"/>
                      <w:lang w:eastAsia="zh-CN"/>
                    </w:rPr>
                    <w:t>环境影响因子</w:t>
                  </w:r>
                </w:p>
              </w:tc>
              <w:tc>
                <w:tcPr>
                  <w:tcW w:w="352" w:type="pct"/>
                  <w:vMerge w:val="restart"/>
                  <w:vAlign w:val="center"/>
                </w:tcPr>
                <w:p>
                  <w:pPr>
                    <w:pStyle w:val="28"/>
                    <w:ind w:firstLine="0" w:firstLineChars="0"/>
                    <w:rPr>
                      <w:rFonts w:hint="default" w:ascii="Times New Roman" w:hAnsi="Times New Roman" w:eastAsia="宋体" w:cs="Times New Roman"/>
                      <w:b w:val="0"/>
                      <w:bCs w:val="0"/>
                      <w:color w:val="auto"/>
                      <w:spacing w:val="3"/>
                      <w:sz w:val="21"/>
                      <w:szCs w:val="21"/>
                    </w:rPr>
                  </w:pPr>
                  <w:r>
                    <w:rPr>
                      <w:b w:val="0"/>
                      <w:bCs w:val="0"/>
                      <w:color w:val="auto"/>
                      <w:spacing w:val="-7"/>
                      <w:lang w:eastAsia="zh-CN"/>
                    </w:rPr>
                    <w:t>导线</w:t>
                  </w:r>
                  <w:r>
                    <w:rPr>
                      <w:b w:val="0"/>
                      <w:bCs w:val="0"/>
                      <w:color w:val="auto"/>
                      <w:lang w:eastAsia="zh-CN"/>
                    </w:rPr>
                    <w:t>对地高度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0" w:hRule="atLeast"/>
                <w:jc w:val="center"/>
              </w:trPr>
              <w:tc>
                <w:tcPr>
                  <w:tcW w:w="314" w:type="pct"/>
                  <w:vMerge w:val="continue"/>
                  <w:tcBorders>
                    <w:top w:val="nil"/>
                  </w:tcBorders>
                  <w:textDirection w:val="tbRlV"/>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538" w:type="pct"/>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802" w:type="pct"/>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364" w:type="pct"/>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485" w:type="pct"/>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458"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楼层</w:t>
                  </w:r>
                </w:p>
              </w:tc>
              <w:tc>
                <w:tcPr>
                  <w:tcW w:w="503"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高度</w:t>
                  </w:r>
                </w:p>
              </w:tc>
              <w:tc>
                <w:tcPr>
                  <w:tcW w:w="410" w:type="pct"/>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356" w:type="pct"/>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414" w:type="pct"/>
                  <w:vMerge w:val="continue"/>
                  <w:vAlign w:val="center"/>
                </w:tcPr>
                <w:p>
                  <w:pPr>
                    <w:pStyle w:val="28"/>
                    <w:ind w:firstLine="0" w:firstLineChars="0"/>
                    <w:rPr>
                      <w:rFonts w:hint="default" w:ascii="Times New Roman" w:hAnsi="Times New Roman" w:eastAsia="宋体" w:cs="Times New Roman"/>
                      <w:color w:val="auto"/>
                      <w:sz w:val="21"/>
                      <w:szCs w:val="21"/>
                    </w:rPr>
                  </w:pPr>
                </w:p>
              </w:tc>
              <w:tc>
                <w:tcPr>
                  <w:tcW w:w="352" w:type="pct"/>
                  <w:vMerge w:val="continue"/>
                  <w:vAlign w:val="center"/>
                </w:tcPr>
                <w:p>
                  <w:pPr>
                    <w:pStyle w:val="28"/>
                    <w:ind w:firstLine="0" w:firstLineChars="0"/>
                    <w:rPr>
                      <w:rFonts w:hint="default" w:ascii="Times New Roman" w:hAnsi="Times New Roman" w:eastAsia="宋体" w:cs="Times New Roman"/>
                      <w:b w:val="0"/>
                      <w:bCs w:val="0"/>
                      <w:color w:val="auto"/>
                      <w:sz w:val="21"/>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2" w:hRule="atLeast"/>
                <w:jc w:val="center"/>
              </w:trPr>
              <w:tc>
                <w:tcPr>
                  <w:tcW w:w="314"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position w:val="1"/>
                      <w:sz w:val="21"/>
                      <w:szCs w:val="21"/>
                      <w:lang w:val="en-US" w:eastAsia="zh-CN"/>
                    </w:rPr>
                  </w:pPr>
                  <w:r>
                    <w:rPr>
                      <w:rFonts w:hint="default" w:ascii="Times New Roman" w:hAnsi="Times New Roman" w:eastAsia="宋体" w:cs="Times New Roman"/>
                      <w:color w:val="auto"/>
                      <w:position w:val="1"/>
                      <w:sz w:val="21"/>
                      <w:szCs w:val="21"/>
                      <w:lang w:val="en-US" w:eastAsia="zh-CN"/>
                    </w:rPr>
                    <w:t>1</w:t>
                  </w:r>
                </w:p>
              </w:tc>
              <w:tc>
                <w:tcPr>
                  <w:tcW w:w="53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z w:val="21"/>
                      <w:szCs w:val="21"/>
                      <w:lang w:val="en-US" w:eastAsia="zh-CN"/>
                    </w:rPr>
                    <w:t>线路工程</w:t>
                  </w:r>
                </w:p>
              </w:tc>
              <w:tc>
                <w:tcPr>
                  <w:tcW w:w="802"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cs="Times New Roman" w:eastAsiaTheme="minorEastAsia"/>
                      <w:b w:val="0"/>
                      <w:bCs/>
                      <w:color w:val="auto"/>
                      <w:kern w:val="2"/>
                      <w:sz w:val="21"/>
                      <w:szCs w:val="21"/>
                      <w:lang w:val="en-US" w:eastAsia="zh-CN" w:bidi="ar-SA"/>
                    </w:rPr>
                  </w:pPr>
                  <w:r>
                    <w:rPr>
                      <w:rFonts w:hint="default" w:ascii="Times New Roman" w:hAnsi="Times New Roman" w:eastAsia="宋体" w:cs="Times New Roman"/>
                      <w:b w:val="0"/>
                      <w:bCs/>
                      <w:color w:val="auto"/>
                      <w:sz w:val="21"/>
                      <w:szCs w:val="21"/>
                      <w:lang w:val="en-US" w:eastAsia="zh-CN"/>
                    </w:rPr>
                    <w:t>卧马线民房</w:t>
                  </w:r>
                </w:p>
              </w:tc>
              <w:tc>
                <w:tcPr>
                  <w:tcW w:w="364"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position w:val="1"/>
                      <w:sz w:val="21"/>
                      <w:szCs w:val="21"/>
                      <w:lang w:val="en-US" w:eastAsia="en-US" w:bidi="ar-SA"/>
                    </w:rPr>
                  </w:pPr>
                  <w:r>
                    <w:rPr>
                      <w:rFonts w:hint="default" w:ascii="Times New Roman" w:hAnsi="Times New Roman" w:eastAsia="宋体" w:cs="Times New Roman"/>
                      <w:color w:val="auto"/>
                      <w:spacing w:val="5"/>
                      <w:sz w:val="21"/>
                      <w:szCs w:val="21"/>
                      <w:lang w:val="en-US" w:eastAsia="zh-CN"/>
                    </w:rPr>
                    <w:t>西侧</w:t>
                  </w:r>
                </w:p>
              </w:tc>
              <w:tc>
                <w:tcPr>
                  <w:tcW w:w="485"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position w:val="1"/>
                      <w:sz w:val="21"/>
                      <w:szCs w:val="21"/>
                      <w:lang w:val="en-US" w:eastAsia="zh-CN" w:bidi="ar-SA"/>
                    </w:rPr>
                  </w:pPr>
                  <w:r>
                    <w:rPr>
                      <w:rFonts w:hint="default" w:ascii="Times New Roman" w:hAnsi="Times New Roman" w:eastAsia="宋体" w:cs="Times New Roman"/>
                      <w:color w:val="auto"/>
                      <w:spacing w:val="-1"/>
                      <w:position w:val="2"/>
                      <w:sz w:val="21"/>
                      <w:szCs w:val="21"/>
                      <w:lang w:val="en-US" w:eastAsia="zh-CN"/>
                    </w:rPr>
                    <w:t>40m</w:t>
                  </w:r>
                </w:p>
              </w:tc>
              <w:tc>
                <w:tcPr>
                  <w:tcW w:w="458"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position w:val="1"/>
                      <w:sz w:val="21"/>
                      <w:szCs w:val="21"/>
                      <w:lang w:val="en-US" w:eastAsia="en-US" w:bidi="ar-SA"/>
                    </w:rPr>
                  </w:pPr>
                  <w:r>
                    <w:rPr>
                      <w:rFonts w:hint="default" w:ascii="Times New Roman" w:hAnsi="Times New Roman" w:eastAsia="宋体" w:cs="Times New Roman"/>
                      <w:color w:val="auto"/>
                      <w:spacing w:val="-10"/>
                      <w:position w:val="1"/>
                      <w:sz w:val="21"/>
                      <w:szCs w:val="21"/>
                    </w:rPr>
                    <w:t>1</w:t>
                  </w:r>
                  <w:r>
                    <w:rPr>
                      <w:rFonts w:hint="default" w:ascii="Times New Roman" w:hAnsi="Times New Roman" w:eastAsia="宋体" w:cs="Times New Roman"/>
                      <w:color w:val="auto"/>
                      <w:spacing w:val="12"/>
                      <w:position w:val="1"/>
                      <w:sz w:val="21"/>
                      <w:szCs w:val="21"/>
                    </w:rPr>
                    <w:t xml:space="preserve"> </w:t>
                  </w:r>
                  <w:r>
                    <w:rPr>
                      <w:rFonts w:hint="default" w:ascii="Times New Roman" w:hAnsi="Times New Roman" w:eastAsia="宋体" w:cs="Times New Roman"/>
                      <w:color w:val="auto"/>
                      <w:spacing w:val="-10"/>
                      <w:position w:val="1"/>
                      <w:sz w:val="21"/>
                      <w:szCs w:val="21"/>
                    </w:rPr>
                    <w:t>层</w:t>
                  </w:r>
                </w:p>
              </w:tc>
              <w:tc>
                <w:tcPr>
                  <w:tcW w:w="503"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position w:val="1"/>
                      <w:sz w:val="21"/>
                      <w:szCs w:val="21"/>
                      <w:lang w:val="en-US" w:eastAsia="zh-CN" w:bidi="ar-SA"/>
                    </w:rPr>
                  </w:pPr>
                  <w:r>
                    <w:rPr>
                      <w:rFonts w:hint="default" w:ascii="Times New Roman" w:hAnsi="Times New Roman" w:eastAsia="宋体" w:cs="Times New Roman"/>
                      <w:color w:val="auto"/>
                      <w:spacing w:val="4"/>
                      <w:position w:val="1"/>
                      <w:sz w:val="21"/>
                      <w:szCs w:val="21"/>
                    </w:rPr>
                    <w:t>4m</w:t>
                  </w:r>
                </w:p>
              </w:tc>
              <w:tc>
                <w:tcPr>
                  <w:tcW w:w="410"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position w:val="1"/>
                      <w:sz w:val="21"/>
                      <w:szCs w:val="21"/>
                      <w:lang w:val="en-US" w:eastAsia="en-US" w:bidi="ar-SA"/>
                    </w:rPr>
                  </w:pPr>
                  <w:r>
                    <w:rPr>
                      <w:rFonts w:hint="default" w:ascii="Times New Roman" w:hAnsi="Times New Roman" w:eastAsia="宋体" w:cs="Times New Roman"/>
                      <w:color w:val="auto"/>
                      <w:spacing w:val="-10"/>
                      <w:position w:val="1"/>
                      <w:sz w:val="21"/>
                      <w:szCs w:val="21"/>
                    </w:rPr>
                    <w:t>1栋</w:t>
                  </w:r>
                </w:p>
              </w:tc>
              <w:tc>
                <w:tcPr>
                  <w:tcW w:w="356"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position w:val="1"/>
                      <w:sz w:val="21"/>
                      <w:szCs w:val="21"/>
                      <w:lang w:val="en-US" w:eastAsia="en-US" w:bidi="ar-SA"/>
                    </w:rPr>
                  </w:pPr>
                  <w:r>
                    <w:rPr>
                      <w:rFonts w:hint="default" w:ascii="Times New Roman" w:hAnsi="Times New Roman" w:eastAsia="宋体" w:cs="Times New Roman"/>
                      <w:color w:val="auto"/>
                      <w:spacing w:val="5"/>
                      <w:sz w:val="21"/>
                      <w:szCs w:val="21"/>
                    </w:rPr>
                    <w:t>住宅</w:t>
                  </w:r>
                </w:p>
              </w:tc>
              <w:tc>
                <w:tcPr>
                  <w:tcW w:w="414"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①②③</w:t>
                  </w:r>
                </w:p>
              </w:tc>
              <w:tc>
                <w:tcPr>
                  <w:tcW w:w="352" w:type="pct"/>
                  <w:shd w:val="clear" w:color="auto" w:fill="auto"/>
                  <w:vAlign w:val="center"/>
                </w:tcPr>
                <w:p>
                  <w:pPr>
                    <w:pStyle w:val="28"/>
                    <w:ind w:firstLine="0" w:firstLineChars="0"/>
                    <w:rPr>
                      <w:rFonts w:hint="default" w:ascii="Times New Roman" w:hAnsi="Times New Roman" w:eastAsia="宋体" w:cs="Times New Roman"/>
                      <w:b w:val="0"/>
                      <w:bCs w:val="0"/>
                      <w:color w:val="auto"/>
                      <w:spacing w:val="3"/>
                      <w:kern w:val="0"/>
                      <w:sz w:val="21"/>
                      <w:szCs w:val="21"/>
                      <w:lang w:val="en-US" w:eastAsia="zh-CN" w:bidi="ar-SA"/>
                    </w:rPr>
                  </w:pPr>
                  <w:r>
                    <w:rPr>
                      <w:rFonts w:hint="default" w:ascii="Times New Roman" w:hAnsi="Times New Roman" w:eastAsia="宋体" w:cs="Times New Roman"/>
                      <w:b w:val="0"/>
                      <w:bCs w:val="0"/>
                      <w:color w:val="auto"/>
                      <w:spacing w:val="3"/>
                      <w:kern w:val="0"/>
                      <w:sz w:val="21"/>
                      <w:szCs w:val="21"/>
                      <w:lang w:val="en-US" w:eastAsia="zh-CN" w:bidi="ar-SA"/>
                    </w:rPr>
                    <w:t>大于7.5m</w:t>
                  </w:r>
                </w:p>
              </w:tc>
            </w:tr>
          </w:tbl>
          <w:p>
            <w:pPr>
              <w:pStyle w:val="51"/>
              <w:spacing w:line="240" w:lineRule="auto"/>
              <w:ind w:left="42" w:right="42" w:firstLine="0" w:firstLineChars="0"/>
              <w:rPr>
                <w:rFonts w:cs="Times New Roman"/>
                <w:b/>
                <w:bCs/>
                <w:color w:val="auto"/>
              </w:rPr>
            </w:pPr>
            <w:r>
              <w:rPr>
                <w:rFonts w:cs="Times New Roman"/>
                <w:b/>
                <w:bCs/>
                <w:color w:val="auto"/>
              </w:rPr>
              <w:t>注：</w:t>
            </w:r>
            <w:r>
              <w:rPr>
                <w:rFonts w:hint="eastAsia" w:ascii="宋体" w:hAnsi="宋体" w:eastAsia="宋体" w:cs="宋体"/>
                <w:b/>
                <w:bCs/>
                <w:color w:val="auto"/>
              </w:rPr>
              <w:t>①</w:t>
            </w:r>
            <w:r>
              <w:rPr>
                <w:rFonts w:cs="Times New Roman"/>
                <w:b/>
                <w:bCs/>
                <w:color w:val="auto"/>
              </w:rPr>
              <w:t>工频电场</w:t>
            </w:r>
            <w:r>
              <w:rPr>
                <w:rFonts w:hint="eastAsia" w:ascii="宋体" w:hAnsi="宋体" w:eastAsia="宋体" w:cs="宋体"/>
                <w:b/>
                <w:bCs/>
                <w:color w:val="auto"/>
              </w:rPr>
              <w:t>②</w:t>
            </w:r>
            <w:r>
              <w:rPr>
                <w:rFonts w:cs="Times New Roman"/>
                <w:b/>
                <w:bCs/>
                <w:color w:val="auto"/>
              </w:rPr>
              <w:t>工频磁场</w:t>
            </w:r>
            <w:r>
              <w:rPr>
                <w:rFonts w:hint="eastAsia" w:ascii="宋体" w:hAnsi="宋体" w:eastAsia="宋体" w:cs="宋体"/>
                <w:b/>
                <w:bCs/>
                <w:color w:val="auto"/>
              </w:rPr>
              <w:t>③</w:t>
            </w:r>
            <w:r>
              <w:rPr>
                <w:rFonts w:cs="Times New Roman"/>
                <w:b/>
                <w:bCs/>
                <w:color w:val="auto"/>
              </w:rPr>
              <w:t>噪声</w:t>
            </w:r>
          </w:p>
          <w:p>
            <w:pPr>
              <w:pStyle w:val="38"/>
              <w:keepNext w:val="0"/>
              <w:keepLines w:val="0"/>
              <w:pageBreakBefore w:val="0"/>
              <w:widowControl w:val="0"/>
              <w:kinsoku/>
              <w:wordWrap/>
              <w:overflowPunct/>
              <w:topLinePunct w:val="0"/>
              <w:autoSpaceDE/>
              <w:autoSpaceDN/>
              <w:bidi w:val="0"/>
              <w:adjustRightInd/>
              <w:snapToGrid/>
              <w:spacing w:before="1" w:line="240" w:lineRule="auto"/>
              <w:ind w:left="0"/>
              <w:textAlignment w:val="auto"/>
              <w:rPr>
                <w:rFonts w:hint="eastAsia" w:ascii="Times New Roman" w:hAnsi="Times New Roman" w:eastAsia="宋体" w:cs="Times New Roman"/>
                <w:color w:val="auto"/>
                <w:spacing w:val="7"/>
                <w:position w:val="1"/>
                <w:sz w:val="24"/>
                <w:szCs w:val="24"/>
                <w:lang w:eastAsia="zh-CN"/>
              </w:rPr>
            </w:pPr>
          </w:p>
          <w:p>
            <w:pPr>
              <w:pStyle w:val="38"/>
              <w:keepNext w:val="0"/>
              <w:keepLines w:val="0"/>
              <w:pageBreakBefore w:val="0"/>
              <w:widowControl w:val="0"/>
              <w:kinsoku/>
              <w:wordWrap/>
              <w:overflowPunct/>
              <w:topLinePunct w:val="0"/>
              <w:autoSpaceDE/>
              <w:autoSpaceDN/>
              <w:bidi w:val="0"/>
              <w:adjustRightInd/>
              <w:snapToGrid/>
              <w:spacing w:before="1" w:line="240" w:lineRule="auto"/>
              <w:ind w:left="0"/>
              <w:textAlignment w:val="auto"/>
              <w:rPr>
                <w:rFonts w:hint="eastAsia" w:ascii="Times New Roman" w:hAnsi="Times New Roman" w:eastAsia="宋体" w:cs="Times New Roman"/>
                <w:color w:val="auto"/>
                <w:spacing w:val="7"/>
                <w:position w:val="1"/>
                <w:sz w:val="24"/>
                <w:szCs w:val="24"/>
                <w:lang w:eastAsia="zh-CN"/>
              </w:rPr>
            </w:pPr>
            <w:r>
              <w:rPr>
                <w:rFonts w:hint="eastAsia" w:ascii="Times New Roman" w:hAnsi="Times New Roman" w:eastAsia="宋体" w:cs="Times New Roman"/>
                <w:color w:val="auto"/>
                <w:spacing w:val="7"/>
                <w:position w:val="1"/>
                <w:sz w:val="24"/>
                <w:szCs w:val="24"/>
                <w:lang w:eastAsia="zh-CN"/>
              </w:rPr>
              <w:drawing>
                <wp:inline distT="0" distB="0" distL="114300" distR="114300">
                  <wp:extent cx="5338445" cy="4003675"/>
                  <wp:effectExtent l="0" t="0" r="14605" b="15875"/>
                  <wp:docPr id="107" name="图片 107"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28"/>
                          <pic:cNvPicPr>
                            <a:picLocks noChangeAspect="1"/>
                          </pic:cNvPicPr>
                        </pic:nvPicPr>
                        <pic:blipFill>
                          <a:blip r:embed="rId43"/>
                          <a:stretch>
                            <a:fillRect/>
                          </a:stretch>
                        </pic:blipFill>
                        <pic:spPr>
                          <a:xfrm>
                            <a:off x="0" y="0"/>
                            <a:ext cx="5338445" cy="4003675"/>
                          </a:xfrm>
                          <a:prstGeom prst="rect">
                            <a:avLst/>
                          </a:prstGeom>
                        </pic:spPr>
                      </pic:pic>
                    </a:graphicData>
                  </a:graphic>
                </wp:inline>
              </w:drawing>
            </w:r>
          </w:p>
          <w:p>
            <w:pPr>
              <w:pStyle w:val="38"/>
              <w:spacing w:before="1" w:line="274" w:lineRule="exact"/>
              <w:ind w:left="432"/>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7"/>
                <w:position w:val="1"/>
                <w:sz w:val="24"/>
                <w:szCs w:val="24"/>
              </w:rPr>
              <w:t>（</w:t>
            </w:r>
            <w:r>
              <w:rPr>
                <w:rFonts w:hint="eastAsia" w:ascii="Times New Roman" w:hAnsi="Times New Roman" w:eastAsia="宋体" w:cs="Times New Roman"/>
                <w:color w:val="auto"/>
                <w:spacing w:val="7"/>
                <w:position w:val="1"/>
                <w:sz w:val="24"/>
                <w:szCs w:val="24"/>
                <w:lang w:val="en-US" w:eastAsia="zh-CN"/>
              </w:rPr>
              <w:t>2</w:t>
            </w:r>
            <w:r>
              <w:rPr>
                <w:rFonts w:hint="default" w:ascii="Times New Roman" w:hAnsi="Times New Roman" w:eastAsia="宋体" w:cs="Times New Roman"/>
                <w:color w:val="auto"/>
                <w:spacing w:val="7"/>
                <w:position w:val="1"/>
                <w:sz w:val="24"/>
                <w:szCs w:val="24"/>
              </w:rPr>
              <w:t>）地表水环境</w:t>
            </w:r>
          </w:p>
          <w:p>
            <w:pPr>
              <w:keepNext w:val="0"/>
              <w:keepLines w:val="0"/>
              <w:pageBreakBefore w:val="0"/>
              <w:widowControl w:val="0"/>
              <w:kinsoku/>
              <w:wordWrap/>
              <w:overflowPunct/>
              <w:topLinePunct w:val="0"/>
              <w:autoSpaceDE/>
              <w:autoSpaceDN/>
              <w:bidi w:val="0"/>
              <w:adjustRightInd/>
              <w:snapToGrid/>
              <w:spacing w:line="240" w:lineRule="auto"/>
              <w:ind w:left="0" w:right="0" w:firstLine="446" w:firstLineChars="200"/>
              <w:jc w:val="center"/>
              <w:textAlignment w:val="auto"/>
              <w:rPr>
                <w:rFonts w:hint="default" w:ascii="Times New Roman" w:hAnsi="Times New Roman" w:cs="Times New Roman"/>
                <w:b/>
                <w:bCs/>
                <w:color w:val="auto"/>
                <w:spacing w:val="6"/>
                <w:sz w:val="21"/>
                <w:szCs w:val="21"/>
              </w:rPr>
            </w:pPr>
            <w:r>
              <w:rPr>
                <w:rFonts w:hint="default" w:ascii="Times New Roman" w:hAnsi="Times New Roman" w:cs="Times New Roman"/>
                <w:b/>
                <w:bCs/>
                <w:color w:val="auto"/>
                <w:spacing w:val="6"/>
                <w:sz w:val="21"/>
                <w:szCs w:val="21"/>
              </w:rPr>
              <w:t>表3-</w:t>
            </w:r>
            <w:r>
              <w:rPr>
                <w:rFonts w:hint="eastAsia" w:ascii="Times New Roman" w:hAnsi="Times New Roman" w:cs="Times New Roman"/>
                <w:b/>
                <w:bCs/>
                <w:color w:val="auto"/>
                <w:spacing w:val="6"/>
                <w:sz w:val="21"/>
                <w:szCs w:val="21"/>
                <w:lang w:val="en-US" w:eastAsia="zh-CN"/>
              </w:rPr>
              <w:t>8</w:t>
            </w:r>
            <w:r>
              <w:rPr>
                <w:rFonts w:hint="default" w:ascii="Times New Roman" w:hAnsi="Times New Roman" w:cs="Times New Roman"/>
                <w:b/>
                <w:bCs/>
                <w:color w:val="auto"/>
                <w:spacing w:val="6"/>
                <w:sz w:val="21"/>
                <w:szCs w:val="21"/>
              </w:rPr>
              <w:t xml:space="preserve">    </w:t>
            </w:r>
            <w:r>
              <w:rPr>
                <w:rFonts w:hint="eastAsia" w:ascii="Times New Roman" w:hAnsi="Times New Roman" w:cs="Times New Roman"/>
                <w:b/>
                <w:bCs/>
                <w:color w:val="auto"/>
                <w:spacing w:val="6"/>
                <w:sz w:val="21"/>
                <w:szCs w:val="21"/>
              </w:rPr>
              <w:t>地表水</w:t>
            </w:r>
            <w:r>
              <w:rPr>
                <w:rFonts w:hint="default" w:ascii="Times New Roman" w:hAnsi="Times New Roman" w:cs="Times New Roman"/>
                <w:b/>
                <w:bCs/>
                <w:color w:val="auto"/>
                <w:spacing w:val="6"/>
                <w:sz w:val="21"/>
                <w:szCs w:val="21"/>
              </w:rPr>
              <w:t>环境敏感目标一览表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3"/>
              <w:gridCol w:w="1419"/>
              <w:gridCol w:w="1295"/>
              <w:gridCol w:w="1195"/>
              <w:gridCol w:w="2686"/>
              <w:gridCol w:w="10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52" w:type="dxa"/>
                  <w:vMerge w:val="restart"/>
                  <w:vAlign w:val="center"/>
                </w:tcPr>
                <w:p>
                  <w:pPr>
                    <w:pStyle w:val="55"/>
                    <w:spacing w:before="31" w:beforeLines="10" w:beforeAutospacing="0" w:after="0" w:line="264" w:lineRule="auto"/>
                    <w:ind w:firstLine="0" w:firstLineChars="0"/>
                    <w:jc w:val="center"/>
                    <w:rPr>
                      <w:rFonts w:ascii="Times New Roman" w:hAnsi="Times New Roman" w:eastAsia="宋体"/>
                      <w:color w:val="auto"/>
                      <w:sz w:val="21"/>
                      <w:szCs w:val="21"/>
                    </w:rPr>
                  </w:pPr>
                  <w:bookmarkStart w:id="45" w:name="_Toc11860"/>
                  <w:r>
                    <w:rPr>
                      <w:rFonts w:eastAsia="宋体"/>
                      <w:color w:val="auto"/>
                      <w:sz w:val="21"/>
                      <w:szCs w:val="21"/>
                    </w:rPr>
                    <w:t>序号</w:t>
                  </w:r>
                  <w:bookmarkEnd w:id="45"/>
                </w:p>
              </w:tc>
              <w:tc>
                <w:tcPr>
                  <w:tcW w:w="1246" w:type="dxa"/>
                  <w:vMerge w:val="restart"/>
                  <w:vAlign w:val="center"/>
                </w:tcPr>
                <w:p>
                  <w:pPr>
                    <w:pStyle w:val="55"/>
                    <w:spacing w:before="31" w:beforeLines="10" w:beforeAutospacing="0" w:after="0" w:line="264" w:lineRule="auto"/>
                    <w:ind w:firstLine="0" w:firstLineChars="0"/>
                    <w:jc w:val="center"/>
                    <w:rPr>
                      <w:rFonts w:ascii="Times New Roman" w:hAnsi="Times New Roman" w:eastAsia="宋体"/>
                      <w:color w:val="auto"/>
                      <w:sz w:val="21"/>
                      <w:szCs w:val="21"/>
                    </w:rPr>
                  </w:pPr>
                  <w:bookmarkStart w:id="46" w:name="_Toc7997"/>
                  <w:r>
                    <w:rPr>
                      <w:rFonts w:hint="eastAsia" w:eastAsia="宋体"/>
                      <w:color w:val="auto"/>
                      <w:sz w:val="21"/>
                      <w:szCs w:val="21"/>
                    </w:rPr>
                    <w:t>保护对象</w:t>
                  </w:r>
                  <w:r>
                    <w:rPr>
                      <w:rFonts w:eastAsia="宋体"/>
                      <w:color w:val="auto"/>
                      <w:sz w:val="21"/>
                      <w:szCs w:val="21"/>
                    </w:rPr>
                    <w:t>名称</w:t>
                  </w:r>
                  <w:bookmarkEnd w:id="46"/>
                </w:p>
              </w:tc>
              <w:tc>
                <w:tcPr>
                  <w:tcW w:w="1137" w:type="dxa"/>
                  <w:vMerge w:val="restart"/>
                  <w:vAlign w:val="center"/>
                </w:tcPr>
                <w:p>
                  <w:pPr>
                    <w:pStyle w:val="55"/>
                    <w:spacing w:before="31" w:beforeLines="10" w:beforeAutospacing="0" w:after="0" w:line="264" w:lineRule="auto"/>
                    <w:ind w:firstLine="0" w:firstLineChars="0"/>
                    <w:jc w:val="center"/>
                    <w:rPr>
                      <w:rFonts w:ascii="Times New Roman" w:hAnsi="Times New Roman" w:eastAsia="宋体"/>
                      <w:color w:val="auto"/>
                      <w:sz w:val="21"/>
                      <w:szCs w:val="21"/>
                    </w:rPr>
                  </w:pPr>
                  <w:bookmarkStart w:id="47" w:name="_Toc15254"/>
                  <w:r>
                    <w:rPr>
                      <w:rFonts w:hint="eastAsia" w:eastAsia="宋体"/>
                      <w:color w:val="auto"/>
                      <w:sz w:val="21"/>
                      <w:szCs w:val="21"/>
                    </w:rPr>
                    <w:t>保护</w:t>
                  </w:r>
                  <w:r>
                    <w:rPr>
                      <w:rFonts w:eastAsia="宋体"/>
                      <w:color w:val="auto"/>
                      <w:sz w:val="21"/>
                      <w:szCs w:val="21"/>
                    </w:rPr>
                    <w:t>对象属性</w:t>
                  </w:r>
                  <w:bookmarkEnd w:id="47"/>
                </w:p>
              </w:tc>
              <w:tc>
                <w:tcPr>
                  <w:tcW w:w="1049" w:type="dxa"/>
                  <w:vMerge w:val="restart"/>
                  <w:vAlign w:val="center"/>
                </w:tcPr>
                <w:p>
                  <w:pPr>
                    <w:pStyle w:val="55"/>
                    <w:spacing w:before="31" w:beforeLines="10" w:beforeAutospacing="0" w:after="0" w:line="264" w:lineRule="auto"/>
                    <w:ind w:firstLine="0" w:firstLineChars="0"/>
                    <w:jc w:val="center"/>
                    <w:rPr>
                      <w:rFonts w:ascii="Times New Roman" w:hAnsi="Times New Roman" w:eastAsia="宋体"/>
                      <w:color w:val="auto"/>
                      <w:sz w:val="21"/>
                      <w:szCs w:val="21"/>
                    </w:rPr>
                  </w:pPr>
                  <w:bookmarkStart w:id="48" w:name="_Toc14476"/>
                  <w:r>
                    <w:rPr>
                      <w:rFonts w:eastAsia="宋体"/>
                      <w:color w:val="auto"/>
                      <w:sz w:val="21"/>
                      <w:szCs w:val="21"/>
                    </w:rPr>
                    <w:t>距离（</w:t>
                  </w:r>
                  <w:r>
                    <w:rPr>
                      <w:rFonts w:ascii="Times New Roman" w:hAnsi="Times New Roman" w:eastAsia="宋体"/>
                      <w:color w:val="auto"/>
                      <w:sz w:val="21"/>
                      <w:szCs w:val="21"/>
                    </w:rPr>
                    <w:t>m</w:t>
                  </w:r>
                  <w:r>
                    <w:rPr>
                      <w:rFonts w:eastAsia="宋体"/>
                      <w:color w:val="auto"/>
                      <w:sz w:val="21"/>
                      <w:szCs w:val="21"/>
                    </w:rPr>
                    <w:t>）</w:t>
                  </w:r>
                  <w:bookmarkEnd w:id="48"/>
                </w:p>
              </w:tc>
              <w:tc>
                <w:tcPr>
                  <w:tcW w:w="2358" w:type="dxa"/>
                  <w:vMerge w:val="restart"/>
                  <w:vAlign w:val="center"/>
                </w:tcPr>
                <w:p>
                  <w:pPr>
                    <w:pStyle w:val="55"/>
                    <w:spacing w:before="31" w:beforeLines="10" w:beforeAutospacing="0" w:after="0" w:line="264" w:lineRule="auto"/>
                    <w:ind w:firstLine="0" w:firstLineChars="0"/>
                    <w:jc w:val="center"/>
                    <w:rPr>
                      <w:rFonts w:ascii="Times New Roman" w:hAnsi="Times New Roman" w:eastAsia="宋体"/>
                      <w:color w:val="auto"/>
                      <w:sz w:val="21"/>
                      <w:szCs w:val="21"/>
                    </w:rPr>
                  </w:pPr>
                  <w:r>
                    <w:rPr>
                      <w:rFonts w:hint="eastAsia" w:eastAsia="宋体"/>
                      <w:color w:val="auto"/>
                      <w:sz w:val="21"/>
                      <w:szCs w:val="21"/>
                    </w:rPr>
                    <w:t>类别</w:t>
                  </w:r>
                  <w:r>
                    <w:rPr>
                      <w:rFonts w:eastAsia="宋体"/>
                      <w:color w:val="auto"/>
                      <w:sz w:val="21"/>
                      <w:szCs w:val="21"/>
                    </w:rPr>
                    <w:t>执行标准</w:t>
                  </w:r>
                </w:p>
              </w:tc>
              <w:tc>
                <w:tcPr>
                  <w:tcW w:w="941" w:type="dxa"/>
                  <w:vMerge w:val="restart"/>
                  <w:vAlign w:val="center"/>
                </w:tcPr>
                <w:p>
                  <w:pPr>
                    <w:pStyle w:val="55"/>
                    <w:spacing w:before="31" w:beforeLines="10" w:beforeAutospacing="0" w:after="0" w:line="264" w:lineRule="auto"/>
                    <w:ind w:firstLine="0" w:firstLineChars="0"/>
                    <w:jc w:val="center"/>
                    <w:rPr>
                      <w:rFonts w:ascii="Times New Roman" w:hAnsi="Times New Roman" w:eastAsia="宋体"/>
                      <w:color w:val="auto"/>
                      <w:sz w:val="21"/>
                      <w:szCs w:val="21"/>
                    </w:rPr>
                  </w:pPr>
                  <w:r>
                    <w:rPr>
                      <w:rFonts w:hint="eastAsia" w:eastAsia="宋体"/>
                      <w:color w:val="auto"/>
                      <w:sz w:val="21"/>
                      <w:szCs w:val="21"/>
                    </w:rPr>
                    <w:t>环境影响</w:t>
                  </w:r>
                  <w:r>
                    <w:rPr>
                      <w:rFonts w:eastAsia="宋体"/>
                      <w:color w:val="auto"/>
                      <w:sz w:val="21"/>
                      <w:szCs w:val="21"/>
                    </w:rPr>
                    <w:t>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52" w:type="dxa"/>
                  <w:vMerge w:val="continue"/>
                  <w:vAlign w:val="center"/>
                </w:tcPr>
                <w:p>
                  <w:pPr>
                    <w:adjustRightInd/>
                    <w:snapToGrid/>
                    <w:spacing w:beforeAutospacing="1" w:line="240" w:lineRule="auto"/>
                    <w:ind w:firstLine="0" w:firstLineChars="0"/>
                    <w:rPr>
                      <w:rFonts w:ascii="Times New Roman" w:hAnsi="Times New Roman" w:eastAsia="宋体"/>
                      <w:color w:val="auto"/>
                    </w:rPr>
                  </w:pPr>
                </w:p>
              </w:tc>
              <w:tc>
                <w:tcPr>
                  <w:tcW w:w="1246" w:type="dxa"/>
                  <w:vMerge w:val="continue"/>
                  <w:vAlign w:val="center"/>
                </w:tcPr>
                <w:p>
                  <w:pPr>
                    <w:adjustRightInd/>
                    <w:snapToGrid/>
                    <w:spacing w:beforeAutospacing="1" w:line="240" w:lineRule="auto"/>
                    <w:ind w:firstLine="0" w:firstLineChars="0"/>
                    <w:rPr>
                      <w:rFonts w:ascii="Times New Roman" w:hAnsi="Times New Roman" w:eastAsia="宋体"/>
                      <w:color w:val="auto"/>
                    </w:rPr>
                  </w:pPr>
                </w:p>
              </w:tc>
              <w:tc>
                <w:tcPr>
                  <w:tcW w:w="1137" w:type="dxa"/>
                  <w:vMerge w:val="continue"/>
                  <w:vAlign w:val="center"/>
                </w:tcPr>
                <w:p>
                  <w:pPr>
                    <w:adjustRightInd/>
                    <w:snapToGrid/>
                    <w:spacing w:beforeAutospacing="1" w:line="240" w:lineRule="auto"/>
                    <w:ind w:firstLine="0" w:firstLineChars="0"/>
                    <w:rPr>
                      <w:rFonts w:ascii="Times New Roman" w:hAnsi="Times New Roman" w:eastAsia="宋体"/>
                      <w:color w:val="auto"/>
                    </w:rPr>
                  </w:pPr>
                </w:p>
              </w:tc>
              <w:tc>
                <w:tcPr>
                  <w:tcW w:w="1049" w:type="dxa"/>
                  <w:vMerge w:val="continue"/>
                  <w:vAlign w:val="center"/>
                </w:tcPr>
                <w:p>
                  <w:pPr>
                    <w:adjustRightInd/>
                    <w:snapToGrid/>
                    <w:spacing w:beforeAutospacing="1" w:line="240" w:lineRule="auto"/>
                    <w:ind w:firstLine="0" w:firstLineChars="0"/>
                    <w:rPr>
                      <w:rFonts w:ascii="Times New Roman" w:hAnsi="Times New Roman" w:eastAsia="宋体"/>
                      <w:color w:val="auto"/>
                    </w:rPr>
                  </w:pPr>
                </w:p>
              </w:tc>
              <w:tc>
                <w:tcPr>
                  <w:tcW w:w="2358" w:type="dxa"/>
                  <w:vMerge w:val="continue"/>
                  <w:vAlign w:val="center"/>
                </w:tcPr>
                <w:p>
                  <w:pPr>
                    <w:adjustRightInd/>
                    <w:snapToGrid/>
                    <w:spacing w:beforeAutospacing="1" w:line="240" w:lineRule="auto"/>
                    <w:ind w:firstLine="0" w:firstLineChars="0"/>
                    <w:rPr>
                      <w:rFonts w:ascii="Times New Roman" w:hAnsi="Times New Roman" w:eastAsia="宋体"/>
                      <w:color w:val="auto"/>
                    </w:rPr>
                  </w:pPr>
                </w:p>
              </w:tc>
              <w:tc>
                <w:tcPr>
                  <w:tcW w:w="941" w:type="dxa"/>
                  <w:vMerge w:val="continue"/>
                  <w:vAlign w:val="center"/>
                </w:tcPr>
                <w:p>
                  <w:pPr>
                    <w:adjustRightInd/>
                    <w:snapToGrid/>
                    <w:spacing w:beforeAutospacing="1" w:line="240" w:lineRule="auto"/>
                    <w:ind w:firstLine="0" w:firstLineChars="0"/>
                    <w:rPr>
                      <w:rFonts w:ascii="Times New Roman" w:hAnsi="Times New Roman" w:eastAsia="宋体"/>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2" w:type="dxa"/>
                  <w:vAlign w:val="center"/>
                </w:tcPr>
                <w:p>
                  <w:pPr>
                    <w:pStyle w:val="55"/>
                    <w:spacing w:before="31" w:beforeLines="10" w:beforeAutospacing="0" w:after="0" w:line="264" w:lineRule="auto"/>
                    <w:ind w:firstLine="0" w:firstLineChars="0"/>
                    <w:jc w:val="center"/>
                    <w:rPr>
                      <w:rFonts w:ascii="Times New Roman" w:hAnsi="Times New Roman" w:eastAsia="宋体"/>
                      <w:color w:val="auto"/>
                      <w:sz w:val="21"/>
                      <w:szCs w:val="21"/>
                    </w:rPr>
                  </w:pPr>
                  <w:r>
                    <w:rPr>
                      <w:rFonts w:ascii="Times New Roman" w:hAnsi="Times New Roman" w:eastAsia="宋体"/>
                      <w:color w:val="auto"/>
                      <w:sz w:val="21"/>
                      <w:szCs w:val="21"/>
                    </w:rPr>
                    <w:t>1</w:t>
                  </w:r>
                </w:p>
              </w:tc>
              <w:tc>
                <w:tcPr>
                  <w:tcW w:w="1246" w:type="dxa"/>
                  <w:vAlign w:val="center"/>
                </w:tcPr>
                <w:p>
                  <w:pPr>
                    <w:pStyle w:val="55"/>
                    <w:spacing w:before="31" w:beforeLines="10" w:beforeAutospacing="0" w:after="0" w:line="264" w:lineRule="auto"/>
                    <w:ind w:firstLine="0" w:firstLineChars="0"/>
                    <w:jc w:val="center"/>
                    <w:rPr>
                      <w:rFonts w:ascii="Times New Roman" w:hAnsi="Times New Roman" w:eastAsia="宋体"/>
                      <w:color w:val="auto"/>
                      <w:sz w:val="21"/>
                      <w:szCs w:val="21"/>
                    </w:rPr>
                  </w:pPr>
                  <w:r>
                    <w:rPr>
                      <w:rFonts w:hint="eastAsia" w:eastAsia="宋体"/>
                      <w:color w:val="auto"/>
                      <w:sz w:val="21"/>
                      <w:szCs w:val="21"/>
                    </w:rPr>
                    <w:t>西大营子河</w:t>
                  </w:r>
                </w:p>
              </w:tc>
              <w:tc>
                <w:tcPr>
                  <w:tcW w:w="1137" w:type="dxa"/>
                  <w:vAlign w:val="center"/>
                </w:tcPr>
                <w:p>
                  <w:pPr>
                    <w:pStyle w:val="55"/>
                    <w:spacing w:before="31" w:beforeLines="10" w:beforeAutospacing="0" w:after="0" w:line="264" w:lineRule="auto"/>
                    <w:ind w:firstLine="0" w:firstLineChars="0"/>
                    <w:jc w:val="center"/>
                    <w:rPr>
                      <w:rFonts w:ascii="Times New Roman" w:hAnsi="Times New Roman" w:eastAsia="宋体"/>
                      <w:color w:val="auto"/>
                      <w:sz w:val="21"/>
                      <w:szCs w:val="21"/>
                    </w:rPr>
                  </w:pPr>
                  <w:r>
                    <w:rPr>
                      <w:rFonts w:eastAsia="宋体"/>
                      <w:color w:val="auto"/>
                      <w:sz w:val="21"/>
                      <w:szCs w:val="21"/>
                    </w:rPr>
                    <w:t>河流</w:t>
                  </w:r>
                </w:p>
              </w:tc>
              <w:tc>
                <w:tcPr>
                  <w:tcW w:w="1049" w:type="dxa"/>
                  <w:vAlign w:val="center"/>
                </w:tcPr>
                <w:p>
                  <w:pPr>
                    <w:pStyle w:val="55"/>
                    <w:spacing w:before="31" w:beforeLines="10" w:beforeAutospacing="0" w:after="0" w:line="264" w:lineRule="auto"/>
                    <w:ind w:firstLine="0" w:firstLineChars="0"/>
                    <w:jc w:val="center"/>
                    <w:rPr>
                      <w:rFonts w:ascii="Times New Roman" w:hAnsi="Times New Roman" w:eastAsia="宋体"/>
                      <w:color w:val="auto"/>
                      <w:sz w:val="21"/>
                      <w:szCs w:val="21"/>
                    </w:rPr>
                  </w:pPr>
                  <w:r>
                    <w:rPr>
                      <w:rFonts w:hint="eastAsia" w:ascii="Times New Roman" w:hAnsi="Times New Roman" w:eastAsia="宋体"/>
                      <w:color w:val="auto"/>
                      <w:sz w:val="21"/>
                      <w:szCs w:val="21"/>
                    </w:rPr>
                    <w:t>跨越</w:t>
                  </w:r>
                </w:p>
              </w:tc>
              <w:tc>
                <w:tcPr>
                  <w:tcW w:w="2358" w:type="dxa"/>
                  <w:vAlign w:val="center"/>
                </w:tcPr>
                <w:p>
                  <w:pPr>
                    <w:pStyle w:val="55"/>
                    <w:spacing w:before="31" w:beforeLines="10" w:beforeAutospacing="0" w:after="0" w:line="264" w:lineRule="auto"/>
                    <w:ind w:firstLine="0" w:firstLineChars="0"/>
                    <w:jc w:val="center"/>
                    <w:rPr>
                      <w:rFonts w:ascii="Times New Roman" w:hAnsi="Times New Roman" w:eastAsia="宋体"/>
                      <w:color w:val="auto"/>
                      <w:sz w:val="21"/>
                      <w:szCs w:val="21"/>
                    </w:rPr>
                  </w:pPr>
                  <w:r>
                    <w:rPr>
                      <w:rFonts w:eastAsia="宋体"/>
                      <w:color w:val="auto"/>
                      <w:sz w:val="21"/>
                      <w:szCs w:val="21"/>
                    </w:rPr>
                    <w:t>《地表水环境质量标准》（</w:t>
                  </w:r>
                  <w:r>
                    <w:rPr>
                      <w:rFonts w:ascii="Times New Roman" w:hAnsi="Times New Roman" w:eastAsia="宋体"/>
                      <w:color w:val="auto"/>
                      <w:sz w:val="21"/>
                      <w:szCs w:val="21"/>
                    </w:rPr>
                    <w:t>GB3838-2002</w:t>
                  </w:r>
                  <w:r>
                    <w:rPr>
                      <w:rFonts w:eastAsia="宋体"/>
                      <w:color w:val="auto"/>
                      <w:sz w:val="21"/>
                      <w:szCs w:val="21"/>
                    </w:rPr>
                    <w:t>）中的</w:t>
                  </w:r>
                  <w:r>
                    <w:rPr>
                      <w:rFonts w:hint="eastAsia" w:eastAsia="宋体"/>
                      <w:color w:val="auto"/>
                      <w:sz w:val="21"/>
                      <w:szCs w:val="21"/>
                    </w:rPr>
                    <w:t>Ⅲ</w:t>
                  </w:r>
                  <w:r>
                    <w:rPr>
                      <w:rFonts w:eastAsia="宋体"/>
                      <w:color w:val="auto"/>
                      <w:sz w:val="21"/>
                      <w:szCs w:val="21"/>
                    </w:rPr>
                    <w:t>类</w:t>
                  </w:r>
                </w:p>
              </w:tc>
              <w:tc>
                <w:tcPr>
                  <w:tcW w:w="941" w:type="dxa"/>
                  <w:vAlign w:val="center"/>
                </w:tcPr>
                <w:p>
                  <w:pPr>
                    <w:pStyle w:val="55"/>
                    <w:spacing w:before="31" w:beforeLines="10" w:beforeAutospacing="0" w:after="0" w:line="264" w:lineRule="auto"/>
                    <w:ind w:firstLine="0" w:firstLineChars="0"/>
                    <w:jc w:val="center"/>
                    <w:rPr>
                      <w:rFonts w:ascii="Times New Roman" w:hAnsi="Times New Roman" w:eastAsia="宋体"/>
                      <w:color w:val="auto"/>
                      <w:sz w:val="21"/>
                      <w:szCs w:val="21"/>
                    </w:rPr>
                  </w:pPr>
                  <w:r>
                    <w:rPr>
                      <w:rFonts w:eastAsia="宋体"/>
                      <w:color w:val="auto"/>
                      <w:sz w:val="21"/>
                      <w:szCs w:val="21"/>
                    </w:rPr>
                    <w:t>地表水环境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2" w:type="dxa"/>
                  <w:vAlign w:val="center"/>
                </w:tcPr>
                <w:p>
                  <w:pPr>
                    <w:pStyle w:val="55"/>
                    <w:spacing w:before="31" w:beforeLines="10" w:beforeAutospacing="0" w:after="0" w:line="264" w:lineRule="auto"/>
                    <w:ind w:firstLine="0" w:firstLineChars="0"/>
                    <w:jc w:val="center"/>
                    <w:rPr>
                      <w:rFonts w:ascii="Times New Roman" w:hAnsi="Times New Roman" w:eastAsia="宋体"/>
                      <w:color w:val="auto"/>
                      <w:sz w:val="21"/>
                      <w:szCs w:val="21"/>
                    </w:rPr>
                  </w:pPr>
                  <w:r>
                    <w:rPr>
                      <w:rFonts w:ascii="Times New Roman" w:hAnsi="Times New Roman" w:eastAsia="宋体"/>
                      <w:color w:val="auto"/>
                      <w:sz w:val="21"/>
                      <w:szCs w:val="21"/>
                    </w:rPr>
                    <w:t>2</w:t>
                  </w:r>
                </w:p>
              </w:tc>
              <w:tc>
                <w:tcPr>
                  <w:tcW w:w="1246" w:type="dxa"/>
                  <w:vAlign w:val="center"/>
                </w:tcPr>
                <w:p>
                  <w:pPr>
                    <w:pStyle w:val="55"/>
                    <w:spacing w:before="31" w:beforeLines="10" w:beforeAutospacing="0" w:after="0" w:line="264" w:lineRule="auto"/>
                    <w:ind w:firstLine="0" w:firstLineChars="0"/>
                    <w:jc w:val="center"/>
                    <w:rPr>
                      <w:rFonts w:hint="eastAsia" w:ascii="Times New Roman" w:hAnsi="Times New Roman" w:eastAsia="宋体"/>
                      <w:color w:val="auto"/>
                      <w:sz w:val="21"/>
                      <w:szCs w:val="21"/>
                      <w:lang w:eastAsia="zh-CN"/>
                    </w:rPr>
                  </w:pPr>
                  <w:r>
                    <w:rPr>
                      <w:rFonts w:hint="eastAsia" w:eastAsia="宋体"/>
                      <w:color w:val="auto"/>
                      <w:sz w:val="21"/>
                      <w:szCs w:val="21"/>
                      <w:lang w:val="en-US" w:eastAsia="zh-CN"/>
                    </w:rPr>
                    <w:t>季节河流</w:t>
                  </w:r>
                </w:p>
              </w:tc>
              <w:tc>
                <w:tcPr>
                  <w:tcW w:w="1137" w:type="dxa"/>
                  <w:vAlign w:val="center"/>
                </w:tcPr>
                <w:p>
                  <w:pPr>
                    <w:pStyle w:val="55"/>
                    <w:spacing w:before="31" w:beforeLines="10" w:beforeAutospacing="0" w:after="0" w:line="264" w:lineRule="auto"/>
                    <w:ind w:firstLine="0" w:firstLineChars="0"/>
                    <w:jc w:val="center"/>
                    <w:rPr>
                      <w:rFonts w:ascii="Times New Roman" w:hAnsi="Times New Roman" w:eastAsia="宋体"/>
                      <w:color w:val="auto"/>
                      <w:sz w:val="21"/>
                      <w:szCs w:val="21"/>
                    </w:rPr>
                  </w:pPr>
                  <w:r>
                    <w:rPr>
                      <w:rFonts w:eastAsia="宋体"/>
                      <w:color w:val="auto"/>
                      <w:sz w:val="21"/>
                      <w:szCs w:val="21"/>
                    </w:rPr>
                    <w:t>河流</w:t>
                  </w:r>
                </w:p>
              </w:tc>
              <w:tc>
                <w:tcPr>
                  <w:tcW w:w="1049" w:type="dxa"/>
                  <w:vAlign w:val="center"/>
                </w:tcPr>
                <w:p>
                  <w:pPr>
                    <w:pStyle w:val="55"/>
                    <w:spacing w:before="31" w:beforeLines="10" w:beforeAutospacing="0" w:after="0" w:line="264" w:lineRule="auto"/>
                    <w:ind w:firstLine="0" w:firstLineChars="0"/>
                    <w:jc w:val="center"/>
                    <w:rPr>
                      <w:rFonts w:ascii="Times New Roman" w:hAnsi="Times New Roman" w:eastAsia="宋体"/>
                      <w:color w:val="auto"/>
                      <w:sz w:val="21"/>
                      <w:szCs w:val="21"/>
                    </w:rPr>
                  </w:pPr>
                  <w:r>
                    <w:rPr>
                      <w:rFonts w:hint="eastAsia" w:ascii="Times New Roman" w:hAnsi="Times New Roman" w:eastAsia="宋体"/>
                      <w:color w:val="auto"/>
                      <w:sz w:val="21"/>
                      <w:szCs w:val="21"/>
                    </w:rPr>
                    <w:t>跨越</w:t>
                  </w:r>
                </w:p>
              </w:tc>
              <w:tc>
                <w:tcPr>
                  <w:tcW w:w="2358" w:type="dxa"/>
                  <w:vAlign w:val="center"/>
                </w:tcPr>
                <w:p>
                  <w:pPr>
                    <w:pStyle w:val="55"/>
                    <w:spacing w:before="31" w:beforeLines="10" w:beforeAutospacing="0" w:after="0" w:line="264" w:lineRule="auto"/>
                    <w:ind w:firstLine="0" w:firstLineChars="0"/>
                    <w:jc w:val="center"/>
                    <w:rPr>
                      <w:rFonts w:ascii="Times New Roman" w:hAnsi="Times New Roman" w:eastAsia="宋体"/>
                      <w:color w:val="auto"/>
                      <w:sz w:val="21"/>
                      <w:szCs w:val="21"/>
                    </w:rPr>
                  </w:pPr>
                  <w:r>
                    <w:rPr>
                      <w:rFonts w:eastAsia="宋体"/>
                      <w:color w:val="auto"/>
                      <w:sz w:val="21"/>
                      <w:szCs w:val="21"/>
                    </w:rPr>
                    <w:t>《地表水环境质量标准》（</w:t>
                  </w:r>
                  <w:r>
                    <w:rPr>
                      <w:rFonts w:ascii="Times New Roman" w:hAnsi="Times New Roman" w:eastAsia="宋体"/>
                      <w:color w:val="auto"/>
                      <w:sz w:val="21"/>
                      <w:szCs w:val="21"/>
                    </w:rPr>
                    <w:t>GB3838-2002</w:t>
                  </w:r>
                  <w:r>
                    <w:rPr>
                      <w:rFonts w:eastAsia="宋体"/>
                      <w:color w:val="auto"/>
                      <w:sz w:val="21"/>
                      <w:szCs w:val="21"/>
                    </w:rPr>
                    <w:t>）中</w:t>
                  </w:r>
                  <w:r>
                    <w:rPr>
                      <w:rFonts w:hint="eastAsia" w:eastAsia="宋体"/>
                      <w:color w:val="auto"/>
                      <w:sz w:val="21"/>
                      <w:szCs w:val="21"/>
                      <w:lang w:eastAsia="zh-CN"/>
                    </w:rPr>
                    <w:t>Ⅲ类</w:t>
                  </w:r>
                </w:p>
              </w:tc>
              <w:tc>
                <w:tcPr>
                  <w:tcW w:w="941" w:type="dxa"/>
                  <w:vAlign w:val="center"/>
                </w:tcPr>
                <w:p>
                  <w:pPr>
                    <w:pStyle w:val="55"/>
                    <w:spacing w:before="31" w:beforeLines="10" w:beforeAutospacing="0" w:after="0" w:line="264" w:lineRule="auto"/>
                    <w:ind w:firstLine="0" w:firstLineChars="0"/>
                    <w:jc w:val="center"/>
                    <w:rPr>
                      <w:rFonts w:ascii="Times New Roman" w:hAnsi="Times New Roman" w:eastAsia="宋体"/>
                      <w:color w:val="auto"/>
                      <w:sz w:val="21"/>
                      <w:szCs w:val="21"/>
                    </w:rPr>
                  </w:pPr>
                  <w:r>
                    <w:rPr>
                      <w:rFonts w:eastAsia="宋体"/>
                      <w:color w:val="auto"/>
                      <w:sz w:val="21"/>
                      <w:szCs w:val="21"/>
                    </w:rPr>
                    <w:t>地表水环境</w:t>
                  </w:r>
                </w:p>
              </w:tc>
            </w:tr>
          </w:tbl>
          <w:p>
            <w:pPr>
              <w:pStyle w:val="38"/>
              <w:spacing w:before="131" w:line="274" w:lineRule="exact"/>
              <w:ind w:left="432"/>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6"/>
                <w:position w:val="1"/>
                <w:sz w:val="24"/>
                <w:szCs w:val="24"/>
              </w:rPr>
              <w:t>（</w:t>
            </w:r>
            <w:r>
              <w:rPr>
                <w:rFonts w:hint="eastAsia" w:ascii="Times New Roman" w:hAnsi="Times New Roman" w:eastAsia="宋体" w:cs="Times New Roman"/>
                <w:color w:val="auto"/>
                <w:spacing w:val="6"/>
                <w:position w:val="1"/>
                <w:sz w:val="24"/>
                <w:szCs w:val="24"/>
                <w:lang w:val="en-US" w:eastAsia="zh-CN"/>
              </w:rPr>
              <w:t>3</w:t>
            </w:r>
            <w:r>
              <w:rPr>
                <w:rFonts w:hint="default" w:ascii="Times New Roman" w:hAnsi="Times New Roman" w:eastAsia="宋体" w:cs="Times New Roman"/>
                <w:color w:val="auto"/>
                <w:spacing w:val="6"/>
                <w:position w:val="1"/>
                <w:sz w:val="24"/>
                <w:szCs w:val="24"/>
              </w:rPr>
              <w:t>）生态环境</w:t>
            </w:r>
          </w:p>
          <w:p>
            <w:pPr>
              <w:keepNext w:val="0"/>
              <w:keepLines w:val="0"/>
              <w:pageBreakBefore w:val="0"/>
              <w:widowControl w:val="0"/>
              <w:kinsoku/>
              <w:wordWrap/>
              <w:overflowPunct/>
              <w:topLinePunct w:val="0"/>
              <w:autoSpaceDE/>
              <w:autoSpaceDN/>
              <w:bidi w:val="0"/>
              <w:adjustRightInd/>
              <w:snapToGrid/>
              <w:spacing w:line="360" w:lineRule="auto"/>
              <w:ind w:right="0" w:firstLine="516" w:firstLineChars="200"/>
              <w:jc w:val="both"/>
              <w:textAlignment w:val="auto"/>
              <w:rPr>
                <w:rFonts w:hint="default" w:ascii="Times New Roman" w:hAnsi="Times New Roman" w:eastAsia="宋体" w:cs="Times New Roman"/>
                <w:color w:val="auto"/>
                <w:spacing w:val="8"/>
                <w:sz w:val="24"/>
                <w:szCs w:val="24"/>
              </w:rPr>
            </w:pPr>
            <w:r>
              <w:rPr>
                <w:rFonts w:hint="default" w:ascii="Times New Roman" w:hAnsi="Times New Roman" w:eastAsia="宋体" w:cs="Times New Roman"/>
                <w:color w:val="auto"/>
                <w:spacing w:val="9"/>
                <w:sz w:val="24"/>
                <w:szCs w:val="24"/>
              </w:rPr>
              <w:t>根据《环境影响评价技术导则生态影响》（</w:t>
            </w:r>
            <w:r>
              <w:rPr>
                <w:rFonts w:hint="default" w:ascii="Times New Roman" w:hAnsi="Times New Roman" w:eastAsia="宋体" w:cs="Times New Roman"/>
                <w:color w:val="auto"/>
                <w:sz w:val="24"/>
                <w:szCs w:val="24"/>
              </w:rPr>
              <w:t>HJ</w:t>
            </w:r>
            <w:r>
              <w:rPr>
                <w:rFonts w:hint="default" w:ascii="Times New Roman" w:hAnsi="Times New Roman" w:eastAsia="宋体" w:cs="Times New Roman"/>
                <w:color w:val="auto"/>
                <w:spacing w:val="9"/>
                <w:sz w:val="24"/>
                <w:szCs w:val="24"/>
              </w:rPr>
              <w:t>19-2022</w:t>
            </w:r>
            <w:r>
              <w:rPr>
                <w:rFonts w:hint="default" w:ascii="Times New Roman" w:hAnsi="Times New Roman" w:eastAsia="宋体" w:cs="Times New Roman"/>
                <w:color w:val="auto"/>
                <w:spacing w:val="20"/>
                <w:sz w:val="24"/>
                <w:szCs w:val="24"/>
              </w:rPr>
              <w:t>），</w:t>
            </w:r>
            <w:r>
              <w:rPr>
                <w:rFonts w:hint="default" w:ascii="Times New Roman" w:hAnsi="Times New Roman" w:eastAsia="宋体" w:cs="Times New Roman"/>
                <w:color w:val="auto"/>
                <w:spacing w:val="9"/>
                <w:sz w:val="24"/>
                <w:szCs w:val="24"/>
              </w:rPr>
              <w:t>生态环境敏感区包括特殊生</w:t>
            </w:r>
            <w:r>
              <w:rPr>
                <w:rFonts w:hint="default" w:ascii="Times New Roman" w:hAnsi="Times New Roman" w:eastAsia="宋体" w:cs="Times New Roman"/>
                <w:color w:val="auto"/>
                <w:spacing w:val="7"/>
                <w:sz w:val="24"/>
                <w:szCs w:val="24"/>
              </w:rPr>
              <w:t>态敏感区（自然保护区、世界文化和自然遗产地等）和重要生态敏感区（风景名胜区、森林公园、地质公园、重要湿地、原始天然林、珍稀濒危野生动植物天然集中分布区、重要水生生物的自然产卵场及索饵场、越冬场和洄游通道、天然渔场等）。</w:t>
            </w:r>
            <w:r>
              <w:rPr>
                <w:rFonts w:hint="eastAsia" w:ascii="Times New Roman" w:hAnsi="Times New Roman" w:eastAsia="宋体" w:cs="Times New Roman"/>
                <w:color w:val="auto"/>
                <w:spacing w:val="7"/>
                <w:sz w:val="24"/>
                <w:szCs w:val="24"/>
                <w:lang w:val="en-US" w:eastAsia="zh-CN"/>
              </w:rPr>
              <w:t>经</w:t>
            </w:r>
            <w:r>
              <w:rPr>
                <w:rFonts w:hint="default" w:ascii="Times New Roman" w:hAnsi="Times New Roman" w:eastAsia="宋体" w:cs="Times New Roman"/>
                <w:color w:val="auto"/>
                <w:spacing w:val="7"/>
                <w:sz w:val="24"/>
                <w:szCs w:val="24"/>
              </w:rPr>
              <w:t>现场踏勘，本项目生态环</w:t>
            </w:r>
            <w:r>
              <w:rPr>
                <w:rFonts w:hint="default" w:ascii="Times New Roman" w:hAnsi="Times New Roman" w:eastAsia="宋体" w:cs="Times New Roman"/>
                <w:color w:val="auto"/>
                <w:spacing w:val="8"/>
                <w:sz w:val="24"/>
                <w:szCs w:val="24"/>
              </w:rPr>
              <w:t>境评价范围内无生态环境敏感目标。</w:t>
            </w:r>
          </w:p>
          <w:p>
            <w:pPr>
              <w:keepNext w:val="0"/>
              <w:keepLines w:val="0"/>
              <w:pageBreakBefore w:val="0"/>
              <w:widowControl w:val="0"/>
              <w:kinsoku/>
              <w:wordWrap/>
              <w:overflowPunct/>
              <w:topLinePunct w:val="0"/>
              <w:autoSpaceDE/>
              <w:autoSpaceDN/>
              <w:bidi w:val="0"/>
              <w:adjustRightInd/>
              <w:snapToGrid/>
              <w:spacing w:line="360" w:lineRule="auto"/>
              <w:ind w:right="0" w:firstLine="512" w:firstLineChars="200"/>
              <w:jc w:val="both"/>
              <w:textAlignment w:val="auto"/>
              <w:rPr>
                <w:rFonts w:hint="default" w:ascii="Times New Roman" w:hAnsi="Times New Roman" w:eastAsia="宋体" w:cs="Times New Roman"/>
                <w:color w:val="auto"/>
                <w:spacing w:val="8"/>
                <w:sz w:val="24"/>
                <w:szCs w:val="24"/>
              </w:rPr>
            </w:pPr>
            <w:r>
              <w:rPr>
                <w:rFonts w:hint="default" w:ascii="Times New Roman" w:hAnsi="Times New Roman" w:eastAsia="宋体" w:cs="Times New Roman"/>
                <w:color w:val="auto"/>
                <w:spacing w:val="8"/>
                <w:sz w:val="24"/>
                <w:szCs w:val="24"/>
              </w:rPr>
              <w:t>架空线路边导线地面投影外两侧各</w:t>
            </w:r>
            <w:r>
              <w:rPr>
                <w:rFonts w:hint="eastAsia" w:ascii="Times New Roman" w:hAnsi="Times New Roman" w:eastAsia="宋体" w:cs="Times New Roman"/>
                <w:color w:val="auto"/>
                <w:spacing w:val="8"/>
                <w:sz w:val="24"/>
                <w:szCs w:val="24"/>
                <w:lang w:val="en-US" w:eastAsia="zh-CN"/>
              </w:rPr>
              <w:t>3</w:t>
            </w:r>
            <w:r>
              <w:rPr>
                <w:rFonts w:hint="default" w:ascii="Times New Roman" w:hAnsi="Times New Roman" w:eastAsia="宋体" w:cs="Times New Roman"/>
                <w:color w:val="auto"/>
                <w:spacing w:val="8"/>
                <w:sz w:val="24"/>
                <w:szCs w:val="24"/>
              </w:rPr>
              <w:t>00m范围的动物、植物和生态系统，生态保护目标见下表。</w:t>
            </w:r>
          </w:p>
          <w:p>
            <w:pPr>
              <w:keepNext w:val="0"/>
              <w:keepLines w:val="0"/>
              <w:pageBreakBefore w:val="0"/>
              <w:widowControl w:val="0"/>
              <w:kinsoku/>
              <w:wordWrap/>
              <w:overflowPunct/>
              <w:topLinePunct w:val="0"/>
              <w:autoSpaceDE/>
              <w:autoSpaceDN/>
              <w:bidi w:val="0"/>
              <w:adjustRightInd/>
              <w:snapToGrid/>
              <w:spacing w:line="240" w:lineRule="auto"/>
              <w:ind w:left="0" w:right="0" w:firstLine="446" w:firstLineChars="200"/>
              <w:jc w:val="center"/>
              <w:textAlignment w:val="auto"/>
              <w:rPr>
                <w:rFonts w:hint="eastAsia" w:ascii="Times New Roman" w:hAnsi="Times New Roman" w:cs="Times New Roman"/>
                <w:b/>
                <w:bCs/>
                <w:color w:val="auto"/>
                <w:spacing w:val="6"/>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left="0" w:right="0" w:firstLine="1560" w:firstLineChars="700"/>
              <w:jc w:val="both"/>
              <w:textAlignment w:val="auto"/>
              <w:rPr>
                <w:rFonts w:hint="default" w:ascii="Times New Roman" w:hAnsi="Times New Roman" w:cs="Times New Roman"/>
                <w:b/>
                <w:bCs/>
                <w:color w:val="auto"/>
                <w:spacing w:val="6"/>
                <w:sz w:val="21"/>
                <w:szCs w:val="21"/>
              </w:rPr>
            </w:pPr>
            <w:r>
              <w:rPr>
                <w:rFonts w:hint="eastAsia" w:ascii="Times New Roman" w:hAnsi="Times New Roman" w:cs="Times New Roman"/>
                <w:b/>
                <w:bCs/>
                <w:color w:val="auto"/>
                <w:spacing w:val="6"/>
                <w:sz w:val="21"/>
                <w:szCs w:val="21"/>
                <w:lang w:val="en-US" w:eastAsia="zh-CN"/>
              </w:rPr>
              <w:t>表</w:t>
            </w:r>
            <w:r>
              <w:rPr>
                <w:rFonts w:hint="default" w:ascii="Times New Roman" w:hAnsi="Times New Roman" w:cs="Times New Roman"/>
                <w:b/>
                <w:bCs/>
                <w:color w:val="auto"/>
                <w:spacing w:val="6"/>
                <w:sz w:val="21"/>
                <w:szCs w:val="21"/>
              </w:rPr>
              <w:t>3-</w:t>
            </w:r>
            <w:r>
              <w:rPr>
                <w:rFonts w:hint="eastAsia" w:ascii="Times New Roman" w:hAnsi="Times New Roman" w:cs="Times New Roman"/>
                <w:b/>
                <w:bCs/>
                <w:color w:val="auto"/>
                <w:spacing w:val="6"/>
                <w:sz w:val="21"/>
                <w:szCs w:val="21"/>
                <w:lang w:val="en-US" w:eastAsia="zh-CN"/>
              </w:rPr>
              <w:t>9</w:t>
            </w:r>
            <w:r>
              <w:rPr>
                <w:rFonts w:hint="default" w:ascii="Times New Roman" w:hAnsi="Times New Roman" w:cs="Times New Roman"/>
                <w:b/>
                <w:bCs/>
                <w:color w:val="auto"/>
                <w:spacing w:val="6"/>
                <w:sz w:val="21"/>
                <w:szCs w:val="21"/>
              </w:rPr>
              <w:t xml:space="preserve">  </w:t>
            </w:r>
            <w:r>
              <w:rPr>
                <w:rFonts w:hint="eastAsia" w:ascii="Times New Roman" w:hAnsi="Times New Roman" w:cs="Times New Roman"/>
                <w:b/>
                <w:bCs/>
                <w:color w:val="auto"/>
                <w:spacing w:val="6"/>
                <w:sz w:val="21"/>
                <w:szCs w:val="21"/>
                <w:lang w:val="en-US" w:eastAsia="zh-CN"/>
              </w:rPr>
              <w:t xml:space="preserve">    </w:t>
            </w:r>
            <w:r>
              <w:rPr>
                <w:rFonts w:hint="default" w:ascii="Times New Roman" w:hAnsi="Times New Roman" w:cs="Times New Roman"/>
                <w:b/>
                <w:bCs/>
                <w:color w:val="auto"/>
                <w:spacing w:val="6"/>
                <w:sz w:val="21"/>
                <w:szCs w:val="21"/>
              </w:rPr>
              <w:t xml:space="preserve">  态环境保护目标一览表</w:t>
            </w:r>
          </w:p>
          <w:tbl>
            <w:tblPr>
              <w:tblStyle w:val="31"/>
              <w:tblW w:w="8238" w:type="dxa"/>
              <w:tblInd w:w="9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66"/>
              <w:gridCol w:w="750"/>
              <w:gridCol w:w="5393"/>
              <w:gridCol w:w="132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4" w:hRule="atLeast"/>
              </w:trPr>
              <w:tc>
                <w:tcPr>
                  <w:tcW w:w="766" w:type="dxa"/>
                  <w:tcBorders>
                    <w:top w:val="single" w:color="000000" w:sz="2" w:space="0"/>
                    <w:left w:val="single" w:color="000000" w:sz="2" w:space="0"/>
                  </w:tcBorders>
                  <w:vAlign w:val="center"/>
                </w:tcPr>
                <w:p>
                  <w:pPr>
                    <w:pStyle w:val="55"/>
                    <w:spacing w:before="31" w:beforeLines="10" w:beforeAutospacing="0" w:after="0" w:line="264" w:lineRule="auto"/>
                    <w:ind w:firstLine="0" w:firstLineChars="0"/>
                    <w:jc w:val="center"/>
                    <w:rPr>
                      <w:rFonts w:hint="eastAsia" w:eastAsia="宋体"/>
                      <w:color w:val="auto"/>
                      <w:sz w:val="21"/>
                      <w:szCs w:val="21"/>
                      <w:lang w:val="en-US" w:eastAsia="zh-CN"/>
                    </w:rPr>
                  </w:pPr>
                  <w:r>
                    <w:rPr>
                      <w:rFonts w:hint="eastAsia" w:eastAsia="宋体"/>
                      <w:color w:val="auto"/>
                      <w:sz w:val="21"/>
                      <w:szCs w:val="21"/>
                      <w:lang w:val="en-US" w:eastAsia="zh-CN"/>
                    </w:rPr>
                    <w:t>类型</w:t>
                  </w:r>
                </w:p>
              </w:tc>
              <w:tc>
                <w:tcPr>
                  <w:tcW w:w="6143" w:type="dxa"/>
                  <w:gridSpan w:val="2"/>
                  <w:tcBorders>
                    <w:top w:val="single" w:color="000000" w:sz="2" w:space="0"/>
                  </w:tcBorders>
                  <w:vAlign w:val="center"/>
                </w:tcPr>
                <w:p>
                  <w:pPr>
                    <w:pStyle w:val="55"/>
                    <w:spacing w:before="31" w:beforeLines="10" w:beforeAutospacing="0" w:after="0" w:line="264" w:lineRule="auto"/>
                    <w:ind w:firstLine="0" w:firstLineChars="0"/>
                    <w:jc w:val="center"/>
                    <w:rPr>
                      <w:rFonts w:hint="eastAsia" w:eastAsia="宋体"/>
                      <w:color w:val="auto"/>
                      <w:sz w:val="21"/>
                      <w:szCs w:val="21"/>
                      <w:lang w:val="en-US" w:eastAsia="zh-CN"/>
                    </w:rPr>
                  </w:pPr>
                  <w:r>
                    <w:rPr>
                      <w:rFonts w:hint="eastAsia" w:eastAsia="宋体"/>
                      <w:color w:val="auto"/>
                      <w:sz w:val="21"/>
                      <w:szCs w:val="21"/>
                      <w:lang w:val="en-US" w:eastAsia="zh-CN"/>
                    </w:rPr>
                    <w:t>生态保护目标</w:t>
                  </w:r>
                </w:p>
              </w:tc>
              <w:tc>
                <w:tcPr>
                  <w:tcW w:w="1329" w:type="dxa"/>
                  <w:tcBorders>
                    <w:top w:val="single" w:color="000000" w:sz="2" w:space="0"/>
                    <w:right w:val="single" w:color="000000" w:sz="2" w:space="0"/>
                  </w:tcBorders>
                  <w:vAlign w:val="center"/>
                </w:tcPr>
                <w:p>
                  <w:pPr>
                    <w:pStyle w:val="55"/>
                    <w:spacing w:before="31" w:beforeLines="10" w:beforeAutospacing="0" w:after="0" w:line="264" w:lineRule="auto"/>
                    <w:ind w:firstLine="0" w:firstLineChars="0"/>
                    <w:jc w:val="center"/>
                    <w:rPr>
                      <w:rFonts w:hint="eastAsia" w:eastAsia="宋体"/>
                      <w:color w:val="auto"/>
                      <w:sz w:val="21"/>
                      <w:szCs w:val="21"/>
                      <w:lang w:val="en-US" w:eastAsia="zh-CN"/>
                    </w:rPr>
                  </w:pPr>
                  <w:r>
                    <w:rPr>
                      <w:rFonts w:hint="eastAsia" w:eastAsia="宋体"/>
                      <w:color w:val="auto"/>
                      <w:sz w:val="21"/>
                      <w:szCs w:val="21"/>
                      <w:lang w:val="en-US" w:eastAsia="zh-CN"/>
                    </w:rPr>
                    <w:t>保护对象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94" w:hRule="atLeast"/>
              </w:trPr>
              <w:tc>
                <w:tcPr>
                  <w:tcW w:w="766" w:type="dxa"/>
                  <w:vMerge w:val="restart"/>
                  <w:tcBorders>
                    <w:left w:val="single" w:color="000000" w:sz="2" w:space="0"/>
                    <w:bottom w:val="nil"/>
                  </w:tcBorders>
                  <w:vAlign w:val="center"/>
                </w:tcPr>
                <w:p>
                  <w:pPr>
                    <w:pStyle w:val="55"/>
                    <w:spacing w:before="31" w:beforeLines="10" w:beforeAutospacing="0" w:after="0" w:line="264" w:lineRule="auto"/>
                    <w:ind w:firstLine="0" w:firstLineChars="0"/>
                    <w:jc w:val="center"/>
                    <w:rPr>
                      <w:rFonts w:hint="eastAsia" w:eastAsia="宋体"/>
                      <w:color w:val="auto"/>
                      <w:sz w:val="21"/>
                      <w:szCs w:val="21"/>
                      <w:lang w:val="en-US" w:eastAsia="zh-CN"/>
                    </w:rPr>
                  </w:pPr>
                  <w:r>
                    <w:rPr>
                      <w:rFonts w:hint="eastAsia" w:eastAsia="宋体"/>
                      <w:color w:val="auto"/>
                      <w:sz w:val="21"/>
                      <w:szCs w:val="21"/>
                      <w:lang w:val="en-US" w:eastAsia="zh-CN"/>
                    </w:rPr>
                    <w:t>生境</w:t>
                  </w:r>
                </w:p>
              </w:tc>
              <w:tc>
                <w:tcPr>
                  <w:tcW w:w="750" w:type="dxa"/>
                  <w:vAlign w:val="center"/>
                </w:tcPr>
                <w:p>
                  <w:pPr>
                    <w:pStyle w:val="55"/>
                    <w:spacing w:before="31" w:beforeLines="10" w:beforeAutospacing="0" w:after="0" w:line="264" w:lineRule="auto"/>
                    <w:ind w:firstLine="0" w:firstLineChars="0"/>
                    <w:jc w:val="center"/>
                    <w:rPr>
                      <w:rFonts w:hint="eastAsia" w:eastAsia="宋体"/>
                      <w:color w:val="auto"/>
                      <w:sz w:val="21"/>
                      <w:szCs w:val="21"/>
                      <w:lang w:val="en-US" w:eastAsia="zh-CN"/>
                    </w:rPr>
                  </w:pPr>
                  <w:r>
                    <w:rPr>
                      <w:rFonts w:hint="eastAsia" w:eastAsia="宋体"/>
                      <w:color w:val="auto"/>
                      <w:sz w:val="21"/>
                      <w:szCs w:val="21"/>
                      <w:lang w:val="en-US" w:eastAsia="zh-CN"/>
                    </w:rPr>
                    <w:t>森林</w:t>
                  </w:r>
                </w:p>
              </w:tc>
              <w:tc>
                <w:tcPr>
                  <w:tcW w:w="5393" w:type="dxa"/>
                  <w:vAlign w:val="center"/>
                </w:tcPr>
                <w:p>
                  <w:pPr>
                    <w:pStyle w:val="55"/>
                    <w:spacing w:before="31" w:beforeLines="10" w:beforeAutospacing="0" w:after="0" w:line="264" w:lineRule="auto"/>
                    <w:ind w:firstLine="0" w:firstLineChars="0"/>
                    <w:jc w:val="both"/>
                    <w:rPr>
                      <w:rFonts w:hint="eastAsia" w:eastAsia="宋体"/>
                      <w:color w:val="auto"/>
                      <w:sz w:val="21"/>
                      <w:szCs w:val="21"/>
                      <w:lang w:val="en-US" w:eastAsia="zh-CN"/>
                    </w:rPr>
                  </w:pPr>
                  <w:r>
                    <w:rPr>
                      <w:rFonts w:hint="eastAsia" w:eastAsia="宋体"/>
                      <w:color w:val="auto"/>
                      <w:sz w:val="21"/>
                      <w:szCs w:val="21"/>
                      <w:lang w:val="en-US" w:eastAsia="zh-CN"/>
                    </w:rPr>
                    <w:t>区内原始次生林单一，该地域的植被区划属辽西山地西（北）部暖温带半湿润的小叶朴、山杏矮林、油松栎林。物种主要有油松林、刺槐林、杨树林、山杏林等。</w:t>
                  </w:r>
                </w:p>
              </w:tc>
              <w:tc>
                <w:tcPr>
                  <w:tcW w:w="1329" w:type="dxa"/>
                  <w:tcBorders>
                    <w:right w:val="single" w:color="000000" w:sz="2" w:space="0"/>
                  </w:tcBorders>
                  <w:vAlign w:val="center"/>
                </w:tcPr>
                <w:p>
                  <w:pPr>
                    <w:pStyle w:val="55"/>
                    <w:spacing w:before="31" w:beforeLines="10" w:beforeAutospacing="0" w:after="0" w:line="264" w:lineRule="auto"/>
                    <w:ind w:firstLine="0" w:firstLineChars="0"/>
                    <w:jc w:val="center"/>
                    <w:rPr>
                      <w:rFonts w:hint="eastAsia" w:eastAsia="宋体"/>
                      <w:color w:val="auto"/>
                      <w:sz w:val="21"/>
                      <w:szCs w:val="21"/>
                      <w:lang w:val="en-US" w:eastAsia="zh-CN"/>
                    </w:rPr>
                  </w:pPr>
                  <w:r>
                    <w:rPr>
                      <w:rFonts w:hint="eastAsia" w:eastAsia="宋体"/>
                      <w:color w:val="auto"/>
                      <w:sz w:val="21"/>
                      <w:szCs w:val="21"/>
                      <w:lang w:val="en-US" w:eastAsia="zh-CN"/>
                    </w:rPr>
                    <w:t>森林生态系统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93" w:hRule="atLeast"/>
              </w:trPr>
              <w:tc>
                <w:tcPr>
                  <w:tcW w:w="766" w:type="dxa"/>
                  <w:vMerge w:val="continue"/>
                  <w:tcBorders>
                    <w:top w:val="nil"/>
                    <w:left w:val="single" w:color="000000" w:sz="2" w:space="0"/>
                  </w:tcBorders>
                  <w:vAlign w:val="center"/>
                </w:tcPr>
                <w:p>
                  <w:pPr>
                    <w:pStyle w:val="55"/>
                    <w:spacing w:before="31" w:beforeLines="10" w:beforeAutospacing="0" w:after="0" w:line="264" w:lineRule="auto"/>
                    <w:ind w:firstLine="0" w:firstLineChars="0"/>
                    <w:jc w:val="center"/>
                    <w:rPr>
                      <w:rFonts w:hint="eastAsia" w:eastAsia="宋体"/>
                      <w:color w:val="auto"/>
                      <w:sz w:val="21"/>
                      <w:szCs w:val="21"/>
                      <w:lang w:val="en-US" w:eastAsia="zh-CN"/>
                    </w:rPr>
                  </w:pPr>
                </w:p>
              </w:tc>
              <w:tc>
                <w:tcPr>
                  <w:tcW w:w="750" w:type="dxa"/>
                  <w:vAlign w:val="center"/>
                </w:tcPr>
                <w:p>
                  <w:pPr>
                    <w:pStyle w:val="55"/>
                    <w:spacing w:before="31" w:beforeLines="10" w:beforeAutospacing="0" w:after="0" w:line="264" w:lineRule="auto"/>
                    <w:ind w:firstLine="0" w:firstLineChars="0"/>
                    <w:jc w:val="center"/>
                    <w:rPr>
                      <w:rFonts w:hint="eastAsia" w:eastAsia="宋体"/>
                      <w:color w:val="auto"/>
                      <w:sz w:val="21"/>
                      <w:szCs w:val="21"/>
                      <w:lang w:val="en-US" w:eastAsia="zh-CN"/>
                    </w:rPr>
                  </w:pPr>
                  <w:r>
                    <w:rPr>
                      <w:rFonts w:hint="eastAsia" w:eastAsia="宋体"/>
                      <w:color w:val="auto"/>
                      <w:sz w:val="21"/>
                      <w:szCs w:val="21"/>
                      <w:lang w:val="en-US" w:eastAsia="zh-CN"/>
                    </w:rPr>
                    <w:t>灌丛草地</w:t>
                  </w:r>
                </w:p>
              </w:tc>
              <w:tc>
                <w:tcPr>
                  <w:tcW w:w="5393" w:type="dxa"/>
                  <w:vAlign w:val="center"/>
                </w:tcPr>
                <w:p>
                  <w:pPr>
                    <w:pStyle w:val="55"/>
                    <w:spacing w:before="31" w:beforeLines="10" w:beforeAutospacing="0" w:after="0" w:line="264" w:lineRule="auto"/>
                    <w:ind w:firstLine="0" w:firstLineChars="0"/>
                    <w:jc w:val="both"/>
                    <w:rPr>
                      <w:rFonts w:hint="eastAsia" w:eastAsia="宋体"/>
                      <w:color w:val="auto"/>
                      <w:sz w:val="21"/>
                      <w:szCs w:val="21"/>
                      <w:lang w:val="en-US" w:eastAsia="zh-CN"/>
                    </w:rPr>
                  </w:pPr>
                  <w:r>
                    <w:rPr>
                      <w:rFonts w:hint="eastAsia" w:eastAsia="宋体"/>
                      <w:color w:val="auto"/>
                      <w:sz w:val="21"/>
                      <w:szCs w:val="21"/>
                      <w:lang w:val="en-US" w:eastAsia="zh-CN"/>
                    </w:rPr>
                    <w:t>分布于阳坡、半阳坡及缓坡地段，包含草原化灌丛区，中低山地油松人工林及山杏矮林、虎榛子灌丛地区。物种主要有荆条、虎榛子灌丛、糙隐子草灌草丛，以及粮菜群落等。</w:t>
                  </w:r>
                </w:p>
              </w:tc>
              <w:tc>
                <w:tcPr>
                  <w:tcW w:w="1329" w:type="dxa"/>
                  <w:tcBorders>
                    <w:right w:val="single" w:color="000000" w:sz="2" w:space="0"/>
                  </w:tcBorders>
                  <w:vAlign w:val="center"/>
                </w:tcPr>
                <w:p>
                  <w:pPr>
                    <w:pStyle w:val="55"/>
                    <w:spacing w:before="31" w:beforeLines="10" w:beforeAutospacing="0" w:after="0" w:line="264" w:lineRule="auto"/>
                    <w:ind w:firstLine="0" w:firstLineChars="0"/>
                    <w:jc w:val="center"/>
                    <w:rPr>
                      <w:rFonts w:hint="eastAsia" w:eastAsia="宋体"/>
                      <w:color w:val="auto"/>
                      <w:sz w:val="21"/>
                      <w:szCs w:val="21"/>
                      <w:lang w:val="en-US" w:eastAsia="zh-CN"/>
                    </w:rPr>
                  </w:pPr>
                  <w:r>
                    <w:rPr>
                      <w:rFonts w:hint="eastAsia" w:eastAsia="宋体"/>
                      <w:color w:val="auto"/>
                      <w:sz w:val="21"/>
                      <w:szCs w:val="21"/>
                      <w:lang w:val="en-US" w:eastAsia="zh-CN"/>
                    </w:rPr>
                    <w:t>灌草生态系统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92" w:hRule="atLeast"/>
              </w:trPr>
              <w:tc>
                <w:tcPr>
                  <w:tcW w:w="766" w:type="dxa"/>
                  <w:tcBorders>
                    <w:left w:val="single" w:color="000000" w:sz="2" w:space="0"/>
                  </w:tcBorders>
                  <w:vAlign w:val="center"/>
                </w:tcPr>
                <w:p>
                  <w:pPr>
                    <w:pStyle w:val="55"/>
                    <w:spacing w:before="31" w:beforeLines="10" w:beforeAutospacing="0" w:after="0" w:line="264" w:lineRule="auto"/>
                    <w:ind w:firstLine="0" w:firstLineChars="0"/>
                    <w:jc w:val="center"/>
                    <w:rPr>
                      <w:rFonts w:hint="eastAsia" w:eastAsia="宋体"/>
                      <w:color w:val="auto"/>
                      <w:sz w:val="21"/>
                      <w:szCs w:val="21"/>
                      <w:lang w:val="en-US" w:eastAsia="zh-CN"/>
                    </w:rPr>
                  </w:pPr>
                  <w:r>
                    <w:rPr>
                      <w:rFonts w:hint="eastAsia" w:eastAsia="宋体"/>
                      <w:color w:val="auto"/>
                      <w:sz w:val="21"/>
                      <w:szCs w:val="21"/>
                      <w:lang w:val="en-US" w:eastAsia="zh-CN"/>
                    </w:rPr>
                    <w:t>动植物资源</w:t>
                  </w:r>
                </w:p>
              </w:tc>
              <w:tc>
                <w:tcPr>
                  <w:tcW w:w="750" w:type="dxa"/>
                  <w:vAlign w:val="center"/>
                </w:tcPr>
                <w:p>
                  <w:pPr>
                    <w:pStyle w:val="55"/>
                    <w:spacing w:before="31" w:beforeLines="10" w:beforeAutospacing="0" w:after="0" w:line="264" w:lineRule="auto"/>
                    <w:ind w:firstLine="0" w:firstLineChars="0"/>
                    <w:jc w:val="center"/>
                    <w:rPr>
                      <w:rFonts w:hint="eastAsia" w:eastAsia="宋体"/>
                      <w:color w:val="auto"/>
                      <w:sz w:val="21"/>
                      <w:szCs w:val="21"/>
                      <w:lang w:val="en-US" w:eastAsia="zh-CN"/>
                    </w:rPr>
                  </w:pPr>
                  <w:r>
                    <w:rPr>
                      <w:rFonts w:hint="eastAsia" w:eastAsia="宋体"/>
                      <w:color w:val="auto"/>
                      <w:sz w:val="21"/>
                      <w:szCs w:val="21"/>
                      <w:lang w:val="en-US" w:eastAsia="zh-CN"/>
                    </w:rPr>
                    <w:t>动物</w:t>
                  </w:r>
                </w:p>
              </w:tc>
              <w:tc>
                <w:tcPr>
                  <w:tcW w:w="5393" w:type="dxa"/>
                  <w:vAlign w:val="center"/>
                </w:tcPr>
                <w:p>
                  <w:pPr>
                    <w:pStyle w:val="55"/>
                    <w:spacing w:before="31" w:beforeLines="10" w:beforeAutospacing="0" w:after="0" w:line="264" w:lineRule="auto"/>
                    <w:ind w:firstLine="0" w:firstLineChars="0"/>
                    <w:jc w:val="both"/>
                    <w:rPr>
                      <w:rFonts w:hint="eastAsia" w:eastAsia="宋体"/>
                      <w:color w:val="auto"/>
                      <w:sz w:val="21"/>
                      <w:szCs w:val="21"/>
                      <w:lang w:val="en-US" w:eastAsia="zh-CN"/>
                    </w:rPr>
                  </w:pPr>
                  <w:r>
                    <w:rPr>
                      <w:rFonts w:hint="eastAsia" w:eastAsia="宋体"/>
                      <w:color w:val="auto"/>
                      <w:sz w:val="21"/>
                      <w:szCs w:val="21"/>
                      <w:lang w:val="en-US" w:eastAsia="zh-CN"/>
                    </w:rPr>
                    <w:t>本工程输电线路沿线经过地区的野生动物除鸟类以外，其他类群分布的种类和数量均很少。省重点保护动物有黄鼬。还有辽宁省有益和有重要经济、科研价值的野生动物松鼠。</w:t>
                  </w:r>
                </w:p>
              </w:tc>
              <w:tc>
                <w:tcPr>
                  <w:tcW w:w="1329" w:type="dxa"/>
                  <w:tcBorders>
                    <w:right w:val="single" w:color="000000" w:sz="2" w:space="0"/>
                  </w:tcBorders>
                  <w:vAlign w:val="center"/>
                </w:tcPr>
                <w:p>
                  <w:pPr>
                    <w:pStyle w:val="55"/>
                    <w:spacing w:before="31" w:beforeLines="10" w:beforeAutospacing="0" w:after="0" w:line="264" w:lineRule="auto"/>
                    <w:ind w:firstLine="0" w:firstLineChars="0"/>
                    <w:jc w:val="center"/>
                    <w:rPr>
                      <w:rFonts w:hint="eastAsia" w:eastAsia="宋体"/>
                      <w:color w:val="auto"/>
                      <w:sz w:val="21"/>
                      <w:szCs w:val="21"/>
                      <w:lang w:val="en-US" w:eastAsia="zh-CN"/>
                    </w:rPr>
                  </w:pPr>
                  <w:r>
                    <w:rPr>
                      <w:rFonts w:hint="eastAsia" w:eastAsia="宋体"/>
                      <w:color w:val="auto"/>
                      <w:sz w:val="21"/>
                      <w:szCs w:val="21"/>
                      <w:lang w:val="en-US" w:eastAsia="zh-CN"/>
                    </w:rPr>
                    <w:t>动物种群</w:t>
                  </w:r>
                </w:p>
              </w:tc>
            </w:tr>
          </w:tbl>
          <w:p>
            <w:pPr>
              <w:pStyle w:val="5"/>
              <w:rPr>
                <w:rFonts w:hint="default"/>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43" w:hRule="atLeast"/>
          <w:jc w:val="center"/>
        </w:trPr>
        <w:tc>
          <w:tcPr>
            <w:tcW w:w="717" w:type="dxa"/>
            <w:vAlign w:val="center"/>
          </w:tcPr>
          <w:p>
            <w:pPr>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b/>
                <w:bCs/>
                <w:caps w:val="0"/>
                <w:color w:val="auto"/>
                <w:sz w:val="24"/>
                <w:szCs w:val="24"/>
                <w:lang w:val="en-US" w:eastAsia="zh-CN"/>
              </w:rPr>
              <w:t>评价标准</w:t>
            </w:r>
          </w:p>
        </w:tc>
        <w:tc>
          <w:tcPr>
            <w:tcW w:w="8637" w:type="dxa"/>
            <w:vAlign w:val="center"/>
          </w:tcPr>
          <w:p>
            <w:pPr>
              <w:keepNext w:val="0"/>
              <w:keepLines w:val="0"/>
              <w:pageBreakBefore w:val="0"/>
              <w:widowControl w:val="0"/>
              <w:kinsoku/>
              <w:wordWrap/>
              <w:overflowPunct/>
              <w:topLinePunct w:val="0"/>
              <w:autoSpaceDE/>
              <w:autoSpaceDN/>
              <w:bidi w:val="0"/>
              <w:adjustRightInd/>
              <w:snapToGrid w:val="0"/>
              <w:spacing w:line="360" w:lineRule="auto"/>
              <w:ind w:firstLine="482" w:firstLineChars="200"/>
              <w:jc w:val="both"/>
              <w:textAlignment w:val="auto"/>
              <w:rPr>
                <w:rFonts w:hint="eastAsia" w:ascii="Times New Roman" w:hAnsi="Times New Roman" w:eastAsia="宋体" w:cs="Times New Roman"/>
                <w:b/>
                <w:bCs/>
                <w:color w:val="auto"/>
                <w:kern w:val="0"/>
                <w:sz w:val="24"/>
                <w:szCs w:val="24"/>
                <w:lang w:val="en-US" w:eastAsia="zh-CN" w:bidi="ar"/>
              </w:rPr>
            </w:pPr>
            <w:r>
              <w:rPr>
                <w:rFonts w:hint="eastAsia" w:ascii="Times New Roman" w:hAnsi="Times New Roman" w:eastAsia="宋体" w:cs="Times New Roman"/>
                <w:b/>
                <w:bCs/>
                <w:color w:val="auto"/>
                <w:kern w:val="0"/>
                <w:sz w:val="24"/>
                <w:szCs w:val="24"/>
                <w:lang w:val="en-US" w:eastAsia="zh-CN" w:bidi="ar"/>
              </w:rPr>
              <w:t xml:space="preserve">1、环境质量标准 </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ascii="宋体" w:hAnsi="宋体" w:eastAsia="宋体" w:cs="宋体"/>
                <w:color w:val="auto"/>
                <w:sz w:val="24"/>
                <w:szCs w:val="24"/>
              </w:rPr>
            </w:pPr>
            <w:r>
              <w:rPr>
                <w:rFonts w:hint="eastAsia" w:ascii="Times New Roman" w:hAnsi="Times New Roman" w:eastAsia="宋体" w:cs="Times New Roman"/>
                <w:color w:val="auto"/>
                <w:kern w:val="0"/>
                <w:sz w:val="24"/>
                <w:szCs w:val="24"/>
                <w:lang w:val="en-US" w:eastAsia="zh-CN" w:bidi="ar"/>
              </w:rPr>
              <w:t>（1）环境空气：本项目所在区域属环境空气功能区二类区，执行《环境空气质量标准》（GB 3095—2026）二级标准，环境空气质量标准详见</w:t>
            </w:r>
            <w:r>
              <w:rPr>
                <w:rFonts w:ascii="宋体" w:hAnsi="宋体" w:eastAsia="宋体" w:cs="宋体"/>
                <w:color w:val="auto"/>
                <w:spacing w:val="-5"/>
                <w:sz w:val="24"/>
                <w:szCs w:val="24"/>
              </w:rPr>
              <w:t>下表</w:t>
            </w:r>
            <w:r>
              <w:rPr>
                <w:rFonts w:ascii="宋体" w:hAnsi="宋体" w:eastAsia="宋体" w:cs="宋体"/>
                <w:color w:val="auto"/>
                <w:spacing w:val="-49"/>
                <w:sz w:val="24"/>
                <w:szCs w:val="24"/>
              </w:rPr>
              <w:t xml:space="preserve"> </w:t>
            </w:r>
            <w:r>
              <w:rPr>
                <w:rFonts w:ascii="Times New Roman" w:hAnsi="Times New Roman" w:eastAsia="Times New Roman" w:cs="Times New Roman"/>
                <w:color w:val="auto"/>
                <w:spacing w:val="-5"/>
                <w:sz w:val="24"/>
                <w:szCs w:val="24"/>
              </w:rPr>
              <w:t>3-</w:t>
            </w:r>
            <w:r>
              <w:rPr>
                <w:rFonts w:hint="eastAsia" w:ascii="Times New Roman" w:hAnsi="Times New Roman" w:eastAsia="宋体" w:cs="Times New Roman"/>
                <w:color w:val="auto"/>
                <w:spacing w:val="-5"/>
                <w:sz w:val="24"/>
                <w:szCs w:val="24"/>
                <w:lang w:val="en-US" w:eastAsia="zh-CN"/>
              </w:rPr>
              <w:t>10</w:t>
            </w:r>
            <w:r>
              <w:rPr>
                <w:rFonts w:ascii="宋体" w:hAnsi="宋体" w:eastAsia="宋体" w:cs="宋体"/>
                <w:color w:val="auto"/>
                <w:spacing w:val="-5"/>
                <w:sz w:val="24"/>
                <w:szCs w:val="24"/>
              </w:rPr>
              <w:t>。</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
              </w:rPr>
            </w:pPr>
            <w:r>
              <w:rPr>
                <w:rFonts w:ascii="宋体" w:hAnsi="宋体" w:eastAsia="宋体" w:cs="宋体"/>
                <w:b/>
                <w:bCs/>
                <w:color w:val="auto"/>
                <w:spacing w:val="-2"/>
                <w:sz w:val="21"/>
                <w:szCs w:val="21"/>
              </w:rPr>
              <w:t>表</w:t>
            </w:r>
            <w:r>
              <w:rPr>
                <w:rFonts w:ascii="宋体" w:hAnsi="宋体" w:eastAsia="宋体" w:cs="宋体"/>
                <w:color w:val="auto"/>
                <w:spacing w:val="-55"/>
                <w:sz w:val="21"/>
                <w:szCs w:val="21"/>
              </w:rPr>
              <w:t xml:space="preserve"> </w:t>
            </w:r>
            <w:r>
              <w:rPr>
                <w:rFonts w:ascii="Times New Roman" w:hAnsi="Times New Roman" w:eastAsia="Times New Roman" w:cs="Times New Roman"/>
                <w:b/>
                <w:bCs/>
                <w:color w:val="auto"/>
                <w:spacing w:val="-2"/>
                <w:sz w:val="21"/>
                <w:szCs w:val="21"/>
              </w:rPr>
              <w:t>3-</w:t>
            </w:r>
            <w:r>
              <w:rPr>
                <w:rFonts w:hint="eastAsia" w:ascii="Times New Roman" w:hAnsi="Times New Roman" w:eastAsia="宋体" w:cs="Times New Roman"/>
                <w:b/>
                <w:bCs/>
                <w:color w:val="auto"/>
                <w:spacing w:val="-2"/>
                <w:sz w:val="21"/>
                <w:szCs w:val="21"/>
                <w:lang w:val="en-US" w:eastAsia="zh-CN"/>
              </w:rPr>
              <w:t>10</w:t>
            </w:r>
            <w:r>
              <w:rPr>
                <w:rFonts w:ascii="Times New Roman" w:hAnsi="Times New Roman" w:eastAsia="Times New Roman" w:cs="Times New Roman"/>
                <w:b/>
                <w:bCs/>
                <w:color w:val="auto"/>
                <w:spacing w:val="-2"/>
                <w:sz w:val="21"/>
                <w:szCs w:val="21"/>
              </w:rPr>
              <w:t xml:space="preserve"> </w:t>
            </w:r>
            <w:r>
              <w:rPr>
                <w:rFonts w:ascii="宋体" w:hAnsi="宋体" w:eastAsia="宋体" w:cs="宋体"/>
                <w:b/>
                <w:bCs/>
                <w:color w:val="auto"/>
                <w:spacing w:val="-2"/>
                <w:sz w:val="21"/>
                <w:szCs w:val="21"/>
              </w:rPr>
              <w:t>项目所在区域环境空气质量标准一览表</w:t>
            </w:r>
          </w:p>
          <w:tbl>
            <w:tblPr>
              <w:tblStyle w:val="31"/>
              <w:tblW w:w="4999"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93"/>
              <w:gridCol w:w="1034"/>
              <w:gridCol w:w="2136"/>
              <w:gridCol w:w="1245"/>
              <w:gridCol w:w="1256"/>
              <w:gridCol w:w="145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293"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宋体" w:hAnsi="宋体" w:eastAsia="宋体" w:cs="宋体"/>
                      <w:color w:val="auto"/>
                      <w:sz w:val="21"/>
                      <w:szCs w:val="21"/>
                    </w:rPr>
                  </w:pPr>
                  <w:r>
                    <w:rPr>
                      <w:rFonts w:ascii="宋体" w:hAnsi="宋体" w:eastAsia="宋体" w:cs="宋体"/>
                      <w:color w:val="auto"/>
                      <w:spacing w:val="7"/>
                      <w:sz w:val="21"/>
                      <w:szCs w:val="21"/>
                    </w:rPr>
                    <w:t>环境要素</w:t>
                  </w:r>
                </w:p>
              </w:tc>
              <w:tc>
                <w:tcPr>
                  <w:tcW w:w="3171"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宋体" w:hAnsi="宋体" w:eastAsia="宋体" w:cs="宋体"/>
                      <w:color w:val="auto"/>
                      <w:sz w:val="21"/>
                      <w:szCs w:val="21"/>
                    </w:rPr>
                  </w:pPr>
                  <w:r>
                    <w:rPr>
                      <w:rFonts w:ascii="宋体" w:hAnsi="宋体" w:eastAsia="宋体" w:cs="宋体"/>
                      <w:color w:val="auto"/>
                      <w:spacing w:val="7"/>
                      <w:sz w:val="21"/>
                      <w:szCs w:val="21"/>
                    </w:rPr>
                    <w:t>污染物名称</w:t>
                  </w:r>
                </w:p>
              </w:tc>
              <w:tc>
                <w:tcPr>
                  <w:tcW w:w="124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宋体" w:hAnsi="宋体" w:eastAsia="宋体" w:cs="宋体"/>
                      <w:color w:val="auto"/>
                      <w:sz w:val="21"/>
                      <w:szCs w:val="21"/>
                    </w:rPr>
                  </w:pPr>
                  <w:r>
                    <w:rPr>
                      <w:rFonts w:ascii="宋体" w:hAnsi="宋体" w:eastAsia="宋体" w:cs="宋体"/>
                      <w:color w:val="auto"/>
                      <w:spacing w:val="3"/>
                      <w:sz w:val="21"/>
                      <w:szCs w:val="21"/>
                    </w:rPr>
                    <w:t>单位</w:t>
                  </w:r>
                </w:p>
              </w:tc>
              <w:tc>
                <w:tcPr>
                  <w:tcW w:w="125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宋体" w:hAnsi="宋体" w:eastAsia="宋体" w:cs="宋体"/>
                      <w:color w:val="auto"/>
                      <w:sz w:val="21"/>
                      <w:szCs w:val="21"/>
                    </w:rPr>
                  </w:pPr>
                  <w:r>
                    <w:rPr>
                      <w:rFonts w:ascii="宋体" w:hAnsi="宋体" w:eastAsia="宋体" w:cs="宋体"/>
                      <w:color w:val="auto"/>
                      <w:spacing w:val="7"/>
                      <w:sz w:val="21"/>
                      <w:szCs w:val="21"/>
                    </w:rPr>
                    <w:t>标准限值</w:t>
                  </w:r>
                </w:p>
              </w:tc>
              <w:tc>
                <w:tcPr>
                  <w:tcW w:w="145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宋体" w:hAnsi="宋体" w:eastAsia="宋体" w:cs="宋体"/>
                      <w:color w:val="auto"/>
                      <w:spacing w:val="7"/>
                      <w:sz w:val="21"/>
                      <w:szCs w:val="21"/>
                    </w:rPr>
                  </w:pPr>
                  <w:r>
                    <w:rPr>
                      <w:rFonts w:ascii="宋体" w:hAnsi="宋体" w:eastAsia="宋体" w:cs="宋体"/>
                      <w:color w:val="auto"/>
                      <w:spacing w:val="7"/>
                      <w:sz w:val="21"/>
                      <w:szCs w:val="21"/>
                    </w:rPr>
                    <w:t>标准来源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293"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宋体" w:hAnsi="宋体" w:eastAsia="宋体" w:cs="宋体"/>
                      <w:color w:val="auto"/>
                      <w:sz w:val="21"/>
                      <w:szCs w:val="21"/>
                    </w:rPr>
                  </w:pPr>
                  <w:r>
                    <w:rPr>
                      <w:rFonts w:ascii="宋体" w:hAnsi="宋体" w:eastAsia="宋体" w:cs="宋体"/>
                      <w:color w:val="auto"/>
                      <w:spacing w:val="6"/>
                      <w:sz w:val="21"/>
                      <w:szCs w:val="21"/>
                    </w:rPr>
                    <w:t>大气环境</w:t>
                  </w:r>
                </w:p>
              </w:tc>
              <w:tc>
                <w:tcPr>
                  <w:tcW w:w="1034"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SO</w:t>
                  </w:r>
                  <w:r>
                    <w:rPr>
                      <w:rFonts w:ascii="Times New Roman" w:hAnsi="Times New Roman" w:eastAsia="Times New Roman" w:cs="Times New Roman"/>
                      <w:color w:val="auto"/>
                      <w:spacing w:val="3"/>
                      <w:position w:val="-1"/>
                      <w:sz w:val="21"/>
                      <w:szCs w:val="21"/>
                      <w:vertAlign w:val="subscript"/>
                    </w:rPr>
                    <w:t>2</w:t>
                  </w:r>
                </w:p>
              </w:tc>
              <w:tc>
                <w:tcPr>
                  <w:tcW w:w="2137"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宋体" w:hAnsi="宋体" w:eastAsia="宋体" w:cs="宋体"/>
                      <w:color w:val="auto"/>
                      <w:sz w:val="21"/>
                      <w:szCs w:val="21"/>
                    </w:rPr>
                  </w:pPr>
                  <w:r>
                    <w:rPr>
                      <w:rFonts w:ascii="宋体" w:hAnsi="宋体" w:eastAsia="宋体" w:cs="宋体"/>
                      <w:color w:val="auto"/>
                      <w:spacing w:val="6"/>
                      <w:sz w:val="21"/>
                      <w:szCs w:val="21"/>
                    </w:rPr>
                    <w:t>年平均</w:t>
                  </w:r>
                </w:p>
              </w:tc>
              <w:tc>
                <w:tcPr>
                  <w:tcW w:w="124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μg/m</w:t>
                  </w:r>
                  <w:r>
                    <w:rPr>
                      <w:rFonts w:ascii="Times New Roman" w:hAnsi="Times New Roman" w:eastAsia="Times New Roman" w:cs="Times New Roman"/>
                      <w:color w:val="auto"/>
                      <w:spacing w:val="2"/>
                      <w:position w:val="5"/>
                      <w:sz w:val="21"/>
                      <w:szCs w:val="21"/>
                    </w:rPr>
                    <w:t>3</w:t>
                  </w:r>
                </w:p>
              </w:tc>
              <w:tc>
                <w:tcPr>
                  <w:tcW w:w="125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60</w:t>
                  </w:r>
                </w:p>
              </w:tc>
              <w:tc>
                <w:tcPr>
                  <w:tcW w:w="1451"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宋体" w:hAnsi="宋体" w:eastAsia="宋体" w:cs="宋体"/>
                      <w:color w:val="auto"/>
                      <w:spacing w:val="7"/>
                      <w:sz w:val="21"/>
                      <w:szCs w:val="21"/>
                    </w:rPr>
                    <w:t>《环境空气质量标准》</w:t>
                  </w:r>
                  <w:r>
                    <w:rPr>
                      <w:rFonts w:hint="eastAsia" w:ascii="宋体" w:hAnsi="宋体" w:eastAsia="宋体" w:cs="宋体"/>
                      <w:color w:val="auto"/>
                      <w:spacing w:val="7"/>
                      <w:sz w:val="21"/>
                      <w:szCs w:val="21"/>
                      <w:lang w:eastAsia="zh-CN"/>
                    </w:rPr>
                    <w:t>（</w:t>
                  </w:r>
                  <w:r>
                    <w:rPr>
                      <w:rFonts w:hint="eastAsia" w:ascii="Times New Roman" w:hAnsi="Times New Roman" w:eastAsia="宋体" w:cs="Times New Roman"/>
                      <w:color w:val="auto"/>
                      <w:spacing w:val="3"/>
                      <w:sz w:val="21"/>
                      <w:szCs w:val="21"/>
                      <w:lang w:eastAsia="zh-CN"/>
                    </w:rPr>
                    <w:t>GB3095-2026）</w:t>
                  </w:r>
                  <w:r>
                    <w:rPr>
                      <w:rFonts w:ascii="宋体" w:hAnsi="宋体" w:eastAsia="宋体" w:cs="宋体"/>
                      <w:color w:val="auto"/>
                      <w:spacing w:val="3"/>
                      <w:sz w:val="21"/>
                      <w:szCs w:val="21"/>
                    </w:rPr>
                    <w:t>表</w:t>
                  </w:r>
                  <w:r>
                    <w:rPr>
                      <w:rFonts w:ascii="宋体" w:hAnsi="宋体" w:eastAsia="宋体" w:cs="宋体"/>
                      <w:color w:val="auto"/>
                      <w:spacing w:val="-28"/>
                      <w:sz w:val="21"/>
                      <w:szCs w:val="21"/>
                    </w:rPr>
                    <w:t xml:space="preserve"> </w:t>
                  </w:r>
                  <w:r>
                    <w:rPr>
                      <w:rFonts w:ascii="Times New Roman" w:hAnsi="Times New Roman" w:eastAsia="Times New Roman" w:cs="Times New Roman"/>
                      <w:color w:val="auto"/>
                      <w:spacing w:val="3"/>
                      <w:sz w:val="21"/>
                      <w:szCs w:val="21"/>
                    </w:rPr>
                    <w:t>2</w:t>
                  </w:r>
                  <w:r>
                    <w:rPr>
                      <w:rFonts w:ascii="宋体" w:hAnsi="宋体" w:eastAsia="宋体" w:cs="宋体"/>
                      <w:color w:val="auto"/>
                      <w:spacing w:val="3"/>
                      <w:sz w:val="21"/>
                      <w:szCs w:val="21"/>
                    </w:rPr>
                    <w:t>、二</w:t>
                  </w:r>
                  <w:r>
                    <w:rPr>
                      <w:rFonts w:ascii="宋体" w:hAnsi="宋体" w:eastAsia="宋体" w:cs="宋体"/>
                      <w:color w:val="auto"/>
                      <w:spacing w:val="5"/>
                      <w:sz w:val="21"/>
                      <w:szCs w:val="21"/>
                    </w:rPr>
                    <w:t>级标准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293"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Arial"/>
                      <w:color w:val="auto"/>
                      <w:sz w:val="21"/>
                      <w:szCs w:val="21"/>
                    </w:rPr>
                  </w:pPr>
                </w:p>
              </w:tc>
              <w:tc>
                <w:tcPr>
                  <w:tcW w:w="1034"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Arial"/>
                      <w:color w:val="auto"/>
                      <w:sz w:val="21"/>
                      <w:szCs w:val="21"/>
                    </w:rPr>
                  </w:pPr>
                </w:p>
              </w:tc>
              <w:tc>
                <w:tcPr>
                  <w:tcW w:w="2137"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4"/>
                      <w:sz w:val="21"/>
                      <w:szCs w:val="21"/>
                    </w:rPr>
                    <w:t>24</w:t>
                  </w:r>
                  <w:r>
                    <w:rPr>
                      <w:rFonts w:ascii="宋体" w:hAnsi="宋体" w:eastAsia="宋体" w:cs="宋体"/>
                      <w:color w:val="auto"/>
                      <w:spacing w:val="4"/>
                      <w:sz w:val="21"/>
                      <w:szCs w:val="21"/>
                    </w:rPr>
                    <w:t>小时平均</w:t>
                  </w:r>
                </w:p>
              </w:tc>
              <w:tc>
                <w:tcPr>
                  <w:tcW w:w="124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μg/m</w:t>
                  </w:r>
                  <w:r>
                    <w:rPr>
                      <w:rFonts w:ascii="Times New Roman" w:hAnsi="Times New Roman" w:eastAsia="Times New Roman" w:cs="Times New Roman"/>
                      <w:color w:val="auto"/>
                      <w:spacing w:val="2"/>
                      <w:position w:val="6"/>
                      <w:sz w:val="21"/>
                      <w:szCs w:val="21"/>
                    </w:rPr>
                    <w:t>3</w:t>
                  </w:r>
                </w:p>
              </w:tc>
              <w:tc>
                <w:tcPr>
                  <w:tcW w:w="125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150</w:t>
                  </w:r>
                </w:p>
              </w:tc>
              <w:tc>
                <w:tcPr>
                  <w:tcW w:w="145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pacing w:val="-3"/>
                      <w:sz w:val="21"/>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293"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Arial"/>
                      <w:color w:val="auto"/>
                      <w:sz w:val="21"/>
                      <w:szCs w:val="21"/>
                    </w:rPr>
                  </w:pPr>
                </w:p>
              </w:tc>
              <w:tc>
                <w:tcPr>
                  <w:tcW w:w="1034"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Arial"/>
                      <w:color w:val="auto"/>
                      <w:sz w:val="21"/>
                      <w:szCs w:val="21"/>
                    </w:rPr>
                  </w:pPr>
                </w:p>
              </w:tc>
              <w:tc>
                <w:tcPr>
                  <w:tcW w:w="2137"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宋体" w:hAnsi="宋体" w:eastAsia="宋体" w:cs="宋体"/>
                      <w:color w:val="auto"/>
                      <w:sz w:val="21"/>
                      <w:szCs w:val="21"/>
                    </w:rPr>
                  </w:pPr>
                  <w:r>
                    <w:rPr>
                      <w:rFonts w:ascii="Times New Roman" w:hAnsi="Times New Roman" w:eastAsia="Times New Roman" w:cs="Times New Roman"/>
                      <w:color w:val="auto"/>
                      <w:sz w:val="21"/>
                      <w:szCs w:val="21"/>
                    </w:rPr>
                    <w:t>1</w:t>
                  </w:r>
                  <w:r>
                    <w:rPr>
                      <w:rFonts w:ascii="宋体" w:hAnsi="宋体" w:eastAsia="宋体" w:cs="宋体"/>
                      <w:color w:val="auto"/>
                      <w:sz w:val="21"/>
                      <w:szCs w:val="21"/>
                    </w:rPr>
                    <w:t>小时平均</w:t>
                  </w:r>
                </w:p>
              </w:tc>
              <w:tc>
                <w:tcPr>
                  <w:tcW w:w="124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μg/m</w:t>
                  </w:r>
                  <w:r>
                    <w:rPr>
                      <w:rFonts w:ascii="Times New Roman" w:hAnsi="Times New Roman" w:eastAsia="Times New Roman" w:cs="Times New Roman"/>
                      <w:color w:val="auto"/>
                      <w:spacing w:val="2"/>
                      <w:position w:val="6"/>
                      <w:sz w:val="21"/>
                      <w:szCs w:val="21"/>
                    </w:rPr>
                    <w:t>3</w:t>
                  </w:r>
                </w:p>
              </w:tc>
              <w:tc>
                <w:tcPr>
                  <w:tcW w:w="125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500</w:t>
                  </w:r>
                </w:p>
              </w:tc>
              <w:tc>
                <w:tcPr>
                  <w:tcW w:w="145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pacing w:val="1"/>
                      <w:sz w:val="21"/>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293"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Arial"/>
                      <w:color w:val="auto"/>
                      <w:sz w:val="21"/>
                      <w:szCs w:val="21"/>
                    </w:rPr>
                  </w:pPr>
                </w:p>
              </w:tc>
              <w:tc>
                <w:tcPr>
                  <w:tcW w:w="1034"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PM</w:t>
                  </w:r>
                  <w:r>
                    <w:rPr>
                      <w:rFonts w:ascii="Times New Roman" w:hAnsi="Times New Roman" w:eastAsia="Times New Roman" w:cs="Times New Roman"/>
                      <w:color w:val="auto"/>
                      <w:spacing w:val="8"/>
                      <w:position w:val="-1"/>
                      <w:sz w:val="21"/>
                      <w:szCs w:val="21"/>
                    </w:rPr>
                    <w:t>10</w:t>
                  </w:r>
                </w:p>
              </w:tc>
              <w:tc>
                <w:tcPr>
                  <w:tcW w:w="2137"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宋体" w:hAnsi="宋体" w:eastAsia="宋体" w:cs="宋体"/>
                      <w:color w:val="auto"/>
                      <w:sz w:val="21"/>
                      <w:szCs w:val="21"/>
                    </w:rPr>
                  </w:pPr>
                  <w:r>
                    <w:rPr>
                      <w:rFonts w:ascii="宋体" w:hAnsi="宋体" w:eastAsia="宋体" w:cs="宋体"/>
                      <w:color w:val="auto"/>
                      <w:spacing w:val="6"/>
                      <w:sz w:val="21"/>
                      <w:szCs w:val="21"/>
                    </w:rPr>
                    <w:t>年平均</w:t>
                  </w:r>
                </w:p>
              </w:tc>
              <w:tc>
                <w:tcPr>
                  <w:tcW w:w="124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μg/m</w:t>
                  </w:r>
                  <w:r>
                    <w:rPr>
                      <w:rFonts w:ascii="Times New Roman" w:hAnsi="Times New Roman" w:eastAsia="Times New Roman" w:cs="Times New Roman"/>
                      <w:color w:val="auto"/>
                      <w:spacing w:val="2"/>
                      <w:position w:val="6"/>
                      <w:sz w:val="21"/>
                      <w:szCs w:val="21"/>
                    </w:rPr>
                    <w:t>3</w:t>
                  </w:r>
                </w:p>
              </w:tc>
              <w:tc>
                <w:tcPr>
                  <w:tcW w:w="125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70</w:t>
                  </w:r>
                </w:p>
              </w:tc>
              <w:tc>
                <w:tcPr>
                  <w:tcW w:w="145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pacing w:val="1"/>
                      <w:sz w:val="21"/>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293"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Arial"/>
                      <w:color w:val="auto"/>
                      <w:sz w:val="21"/>
                      <w:szCs w:val="21"/>
                    </w:rPr>
                  </w:pPr>
                </w:p>
              </w:tc>
              <w:tc>
                <w:tcPr>
                  <w:tcW w:w="1034"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Arial"/>
                      <w:color w:val="auto"/>
                      <w:sz w:val="21"/>
                      <w:szCs w:val="21"/>
                    </w:rPr>
                  </w:pPr>
                </w:p>
              </w:tc>
              <w:tc>
                <w:tcPr>
                  <w:tcW w:w="2137"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4"/>
                      <w:sz w:val="21"/>
                      <w:szCs w:val="21"/>
                    </w:rPr>
                    <w:t>24</w:t>
                  </w:r>
                  <w:r>
                    <w:rPr>
                      <w:rFonts w:ascii="宋体" w:hAnsi="宋体" w:eastAsia="宋体" w:cs="宋体"/>
                      <w:color w:val="auto"/>
                      <w:spacing w:val="4"/>
                      <w:sz w:val="21"/>
                      <w:szCs w:val="21"/>
                    </w:rPr>
                    <w:t>小时平均</w:t>
                  </w:r>
                </w:p>
              </w:tc>
              <w:tc>
                <w:tcPr>
                  <w:tcW w:w="124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μg/m</w:t>
                  </w:r>
                  <w:r>
                    <w:rPr>
                      <w:rFonts w:ascii="Times New Roman" w:hAnsi="Times New Roman" w:eastAsia="Times New Roman" w:cs="Times New Roman"/>
                      <w:color w:val="auto"/>
                      <w:spacing w:val="2"/>
                      <w:position w:val="6"/>
                      <w:sz w:val="21"/>
                      <w:szCs w:val="21"/>
                    </w:rPr>
                    <w:t>3</w:t>
                  </w:r>
                </w:p>
              </w:tc>
              <w:tc>
                <w:tcPr>
                  <w:tcW w:w="125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150</w:t>
                  </w:r>
                </w:p>
              </w:tc>
              <w:tc>
                <w:tcPr>
                  <w:tcW w:w="145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pacing w:val="-3"/>
                      <w:sz w:val="21"/>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293"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Arial"/>
                      <w:color w:val="auto"/>
                      <w:sz w:val="21"/>
                      <w:szCs w:val="21"/>
                    </w:rPr>
                  </w:pPr>
                </w:p>
              </w:tc>
              <w:tc>
                <w:tcPr>
                  <w:tcW w:w="1034"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PM</w:t>
                  </w:r>
                  <w:r>
                    <w:rPr>
                      <w:rFonts w:ascii="Times New Roman" w:hAnsi="Times New Roman" w:eastAsia="Times New Roman" w:cs="Times New Roman"/>
                      <w:color w:val="auto"/>
                      <w:spacing w:val="6"/>
                      <w:position w:val="-1"/>
                      <w:sz w:val="21"/>
                      <w:szCs w:val="21"/>
                      <w:vertAlign w:val="subscript"/>
                    </w:rPr>
                    <w:t>2.5</w:t>
                  </w:r>
                </w:p>
              </w:tc>
              <w:tc>
                <w:tcPr>
                  <w:tcW w:w="2137"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宋体" w:hAnsi="宋体" w:eastAsia="宋体" w:cs="宋体"/>
                      <w:color w:val="auto"/>
                      <w:sz w:val="21"/>
                      <w:szCs w:val="21"/>
                    </w:rPr>
                  </w:pPr>
                  <w:r>
                    <w:rPr>
                      <w:rFonts w:ascii="宋体" w:hAnsi="宋体" w:eastAsia="宋体" w:cs="宋体"/>
                      <w:color w:val="auto"/>
                      <w:spacing w:val="6"/>
                      <w:sz w:val="21"/>
                      <w:szCs w:val="21"/>
                    </w:rPr>
                    <w:t>年平均</w:t>
                  </w:r>
                </w:p>
              </w:tc>
              <w:tc>
                <w:tcPr>
                  <w:tcW w:w="124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μg/m</w:t>
                  </w:r>
                  <w:r>
                    <w:rPr>
                      <w:rFonts w:ascii="Times New Roman" w:hAnsi="Times New Roman" w:eastAsia="Times New Roman" w:cs="Times New Roman"/>
                      <w:color w:val="auto"/>
                      <w:spacing w:val="2"/>
                      <w:position w:val="6"/>
                      <w:sz w:val="21"/>
                      <w:szCs w:val="21"/>
                    </w:rPr>
                    <w:t>3</w:t>
                  </w:r>
                </w:p>
              </w:tc>
              <w:tc>
                <w:tcPr>
                  <w:tcW w:w="125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35</w:t>
                  </w:r>
                </w:p>
              </w:tc>
              <w:tc>
                <w:tcPr>
                  <w:tcW w:w="145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293"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Arial"/>
                      <w:color w:val="auto"/>
                      <w:sz w:val="21"/>
                      <w:szCs w:val="21"/>
                    </w:rPr>
                  </w:pPr>
                </w:p>
              </w:tc>
              <w:tc>
                <w:tcPr>
                  <w:tcW w:w="1034"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Arial"/>
                      <w:color w:val="auto"/>
                      <w:sz w:val="21"/>
                      <w:szCs w:val="21"/>
                    </w:rPr>
                  </w:pPr>
                </w:p>
              </w:tc>
              <w:tc>
                <w:tcPr>
                  <w:tcW w:w="2137"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4"/>
                      <w:sz w:val="21"/>
                      <w:szCs w:val="21"/>
                    </w:rPr>
                    <w:t>24</w:t>
                  </w:r>
                  <w:r>
                    <w:rPr>
                      <w:rFonts w:ascii="宋体" w:hAnsi="宋体" w:eastAsia="宋体" w:cs="宋体"/>
                      <w:color w:val="auto"/>
                      <w:spacing w:val="4"/>
                      <w:sz w:val="21"/>
                      <w:szCs w:val="21"/>
                    </w:rPr>
                    <w:t>小时平均</w:t>
                  </w:r>
                </w:p>
              </w:tc>
              <w:tc>
                <w:tcPr>
                  <w:tcW w:w="124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μg/m</w:t>
                  </w:r>
                  <w:r>
                    <w:rPr>
                      <w:rFonts w:ascii="Times New Roman" w:hAnsi="Times New Roman" w:eastAsia="Times New Roman" w:cs="Times New Roman"/>
                      <w:color w:val="auto"/>
                      <w:spacing w:val="2"/>
                      <w:position w:val="5"/>
                      <w:sz w:val="21"/>
                      <w:szCs w:val="21"/>
                    </w:rPr>
                    <w:t>3</w:t>
                  </w:r>
                </w:p>
              </w:tc>
              <w:tc>
                <w:tcPr>
                  <w:tcW w:w="125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75</w:t>
                  </w:r>
                </w:p>
              </w:tc>
              <w:tc>
                <w:tcPr>
                  <w:tcW w:w="145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pacing w:val="1"/>
                      <w:sz w:val="21"/>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293"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Arial"/>
                      <w:color w:val="auto"/>
                      <w:sz w:val="21"/>
                      <w:szCs w:val="21"/>
                    </w:rPr>
                  </w:pPr>
                </w:p>
              </w:tc>
              <w:tc>
                <w:tcPr>
                  <w:tcW w:w="1034"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6"/>
                      <w:sz w:val="21"/>
                      <w:szCs w:val="21"/>
                    </w:rPr>
                    <w:t>NO</w:t>
                  </w:r>
                  <w:r>
                    <w:rPr>
                      <w:rFonts w:ascii="Times New Roman" w:hAnsi="Times New Roman" w:eastAsia="Times New Roman" w:cs="Times New Roman"/>
                      <w:color w:val="auto"/>
                      <w:spacing w:val="6"/>
                      <w:position w:val="-1"/>
                      <w:sz w:val="21"/>
                      <w:szCs w:val="21"/>
                    </w:rPr>
                    <w:t>x</w:t>
                  </w:r>
                </w:p>
              </w:tc>
              <w:tc>
                <w:tcPr>
                  <w:tcW w:w="2137"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宋体" w:hAnsi="宋体" w:eastAsia="宋体" w:cs="宋体"/>
                      <w:color w:val="auto"/>
                      <w:sz w:val="21"/>
                      <w:szCs w:val="21"/>
                    </w:rPr>
                  </w:pPr>
                  <w:r>
                    <w:rPr>
                      <w:rFonts w:ascii="宋体" w:hAnsi="宋体" w:eastAsia="宋体" w:cs="宋体"/>
                      <w:color w:val="auto"/>
                      <w:spacing w:val="6"/>
                      <w:sz w:val="21"/>
                      <w:szCs w:val="21"/>
                    </w:rPr>
                    <w:t>年平均</w:t>
                  </w:r>
                </w:p>
              </w:tc>
              <w:tc>
                <w:tcPr>
                  <w:tcW w:w="124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μg/m</w:t>
                  </w:r>
                  <w:r>
                    <w:rPr>
                      <w:rFonts w:ascii="Times New Roman" w:hAnsi="Times New Roman" w:eastAsia="Times New Roman" w:cs="Times New Roman"/>
                      <w:color w:val="auto"/>
                      <w:spacing w:val="2"/>
                      <w:position w:val="6"/>
                      <w:sz w:val="21"/>
                      <w:szCs w:val="21"/>
                    </w:rPr>
                    <w:t>3</w:t>
                  </w:r>
                </w:p>
              </w:tc>
              <w:tc>
                <w:tcPr>
                  <w:tcW w:w="125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50</w:t>
                  </w:r>
                </w:p>
              </w:tc>
              <w:tc>
                <w:tcPr>
                  <w:tcW w:w="145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293"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Arial"/>
                      <w:color w:val="auto"/>
                      <w:sz w:val="21"/>
                      <w:szCs w:val="21"/>
                    </w:rPr>
                  </w:pPr>
                </w:p>
              </w:tc>
              <w:tc>
                <w:tcPr>
                  <w:tcW w:w="1034"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Arial"/>
                      <w:color w:val="auto"/>
                      <w:sz w:val="21"/>
                      <w:szCs w:val="21"/>
                    </w:rPr>
                  </w:pPr>
                </w:p>
              </w:tc>
              <w:tc>
                <w:tcPr>
                  <w:tcW w:w="2137"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4"/>
                      <w:sz w:val="21"/>
                      <w:szCs w:val="21"/>
                    </w:rPr>
                    <w:t>24</w:t>
                  </w:r>
                  <w:r>
                    <w:rPr>
                      <w:rFonts w:ascii="宋体" w:hAnsi="宋体" w:eastAsia="宋体" w:cs="宋体"/>
                      <w:color w:val="auto"/>
                      <w:spacing w:val="4"/>
                      <w:sz w:val="21"/>
                      <w:szCs w:val="21"/>
                    </w:rPr>
                    <w:t>小时平均</w:t>
                  </w:r>
                </w:p>
              </w:tc>
              <w:tc>
                <w:tcPr>
                  <w:tcW w:w="124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μg/m</w:t>
                  </w:r>
                  <w:r>
                    <w:rPr>
                      <w:rFonts w:ascii="Times New Roman" w:hAnsi="Times New Roman" w:eastAsia="Times New Roman" w:cs="Times New Roman"/>
                      <w:color w:val="auto"/>
                      <w:spacing w:val="2"/>
                      <w:position w:val="6"/>
                      <w:sz w:val="21"/>
                      <w:szCs w:val="21"/>
                    </w:rPr>
                    <w:t>3</w:t>
                  </w:r>
                </w:p>
              </w:tc>
              <w:tc>
                <w:tcPr>
                  <w:tcW w:w="125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100</w:t>
                  </w:r>
                </w:p>
              </w:tc>
              <w:tc>
                <w:tcPr>
                  <w:tcW w:w="145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pacing w:val="-3"/>
                      <w:sz w:val="21"/>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293"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Arial"/>
                      <w:color w:val="auto"/>
                      <w:sz w:val="21"/>
                      <w:szCs w:val="21"/>
                    </w:rPr>
                  </w:pPr>
                </w:p>
              </w:tc>
              <w:tc>
                <w:tcPr>
                  <w:tcW w:w="1034"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Arial"/>
                      <w:color w:val="auto"/>
                      <w:sz w:val="21"/>
                      <w:szCs w:val="21"/>
                    </w:rPr>
                  </w:pPr>
                </w:p>
              </w:tc>
              <w:tc>
                <w:tcPr>
                  <w:tcW w:w="2137"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宋体" w:hAnsi="宋体" w:eastAsia="宋体" w:cs="宋体"/>
                      <w:color w:val="auto"/>
                      <w:sz w:val="21"/>
                      <w:szCs w:val="21"/>
                    </w:rPr>
                  </w:pPr>
                  <w:r>
                    <w:rPr>
                      <w:rFonts w:ascii="Times New Roman" w:hAnsi="Times New Roman" w:eastAsia="Times New Roman" w:cs="Times New Roman"/>
                      <w:color w:val="auto"/>
                      <w:sz w:val="21"/>
                      <w:szCs w:val="21"/>
                    </w:rPr>
                    <w:t>1</w:t>
                  </w:r>
                  <w:r>
                    <w:rPr>
                      <w:rFonts w:ascii="宋体" w:hAnsi="宋体" w:eastAsia="宋体" w:cs="宋体"/>
                      <w:color w:val="auto"/>
                      <w:sz w:val="21"/>
                      <w:szCs w:val="21"/>
                    </w:rPr>
                    <w:t>小时平均</w:t>
                  </w:r>
                </w:p>
              </w:tc>
              <w:tc>
                <w:tcPr>
                  <w:tcW w:w="124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μg/m</w:t>
                  </w:r>
                  <w:r>
                    <w:rPr>
                      <w:rFonts w:ascii="Times New Roman" w:hAnsi="Times New Roman" w:eastAsia="Times New Roman" w:cs="Times New Roman"/>
                      <w:color w:val="auto"/>
                      <w:spacing w:val="2"/>
                      <w:position w:val="6"/>
                      <w:sz w:val="21"/>
                      <w:szCs w:val="21"/>
                    </w:rPr>
                    <w:t>3</w:t>
                  </w:r>
                </w:p>
              </w:tc>
              <w:tc>
                <w:tcPr>
                  <w:tcW w:w="125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250</w:t>
                  </w:r>
                </w:p>
              </w:tc>
              <w:tc>
                <w:tcPr>
                  <w:tcW w:w="145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pacing w:val="3"/>
                      <w:sz w:val="21"/>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293"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Arial"/>
                      <w:color w:val="auto"/>
                      <w:sz w:val="21"/>
                      <w:szCs w:val="21"/>
                    </w:rPr>
                  </w:pPr>
                </w:p>
              </w:tc>
              <w:tc>
                <w:tcPr>
                  <w:tcW w:w="1034"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O</w:t>
                  </w:r>
                  <w:r>
                    <w:rPr>
                      <w:rFonts w:ascii="Times New Roman" w:hAnsi="Times New Roman" w:eastAsia="Times New Roman" w:cs="Times New Roman"/>
                      <w:color w:val="auto"/>
                      <w:spacing w:val="1"/>
                      <w:position w:val="-1"/>
                      <w:sz w:val="21"/>
                      <w:szCs w:val="21"/>
                      <w:vertAlign w:val="subscript"/>
                    </w:rPr>
                    <w:t>3</w:t>
                  </w:r>
                </w:p>
              </w:tc>
              <w:tc>
                <w:tcPr>
                  <w:tcW w:w="2137"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宋体" w:hAnsi="宋体" w:eastAsia="宋体" w:cs="宋体"/>
                      <w:color w:val="auto"/>
                      <w:sz w:val="21"/>
                      <w:szCs w:val="21"/>
                    </w:rPr>
                  </w:pPr>
                  <w:r>
                    <w:rPr>
                      <w:rFonts w:ascii="宋体" w:hAnsi="宋体" w:eastAsia="宋体" w:cs="宋体"/>
                      <w:color w:val="auto"/>
                      <w:spacing w:val="1"/>
                      <w:sz w:val="21"/>
                      <w:szCs w:val="21"/>
                    </w:rPr>
                    <w:t>日最大</w:t>
                  </w:r>
                  <w:r>
                    <w:rPr>
                      <w:rFonts w:ascii="Times New Roman" w:hAnsi="Times New Roman" w:eastAsia="Times New Roman" w:cs="Times New Roman"/>
                      <w:color w:val="auto"/>
                      <w:spacing w:val="1"/>
                      <w:sz w:val="21"/>
                      <w:szCs w:val="21"/>
                    </w:rPr>
                    <w:t>8</w:t>
                  </w:r>
                  <w:r>
                    <w:rPr>
                      <w:rFonts w:ascii="宋体" w:hAnsi="宋体" w:eastAsia="宋体" w:cs="宋体"/>
                      <w:color w:val="auto"/>
                      <w:spacing w:val="1"/>
                      <w:sz w:val="21"/>
                      <w:szCs w:val="21"/>
                    </w:rPr>
                    <w:t>小时平均</w:t>
                  </w:r>
                </w:p>
              </w:tc>
              <w:tc>
                <w:tcPr>
                  <w:tcW w:w="124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μg/m</w:t>
                  </w:r>
                  <w:r>
                    <w:rPr>
                      <w:rFonts w:ascii="Times New Roman" w:hAnsi="Times New Roman" w:eastAsia="Times New Roman" w:cs="Times New Roman"/>
                      <w:color w:val="auto"/>
                      <w:spacing w:val="2"/>
                      <w:position w:val="6"/>
                      <w:sz w:val="21"/>
                      <w:szCs w:val="21"/>
                    </w:rPr>
                    <w:t>3</w:t>
                  </w:r>
                </w:p>
              </w:tc>
              <w:tc>
                <w:tcPr>
                  <w:tcW w:w="125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100</w:t>
                  </w:r>
                </w:p>
              </w:tc>
              <w:tc>
                <w:tcPr>
                  <w:tcW w:w="145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pacing w:val="-3"/>
                      <w:sz w:val="21"/>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293"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Arial"/>
                      <w:color w:val="auto"/>
                      <w:sz w:val="21"/>
                      <w:szCs w:val="21"/>
                    </w:rPr>
                  </w:pPr>
                </w:p>
              </w:tc>
              <w:tc>
                <w:tcPr>
                  <w:tcW w:w="1034"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Arial"/>
                      <w:color w:val="auto"/>
                      <w:sz w:val="21"/>
                      <w:szCs w:val="21"/>
                    </w:rPr>
                  </w:pPr>
                </w:p>
              </w:tc>
              <w:tc>
                <w:tcPr>
                  <w:tcW w:w="2137"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宋体" w:hAnsi="宋体" w:eastAsia="宋体" w:cs="宋体"/>
                      <w:color w:val="auto"/>
                      <w:sz w:val="21"/>
                      <w:szCs w:val="21"/>
                    </w:rPr>
                  </w:pPr>
                  <w:r>
                    <w:rPr>
                      <w:rFonts w:ascii="Times New Roman" w:hAnsi="Times New Roman" w:eastAsia="Times New Roman" w:cs="Times New Roman"/>
                      <w:color w:val="auto"/>
                      <w:sz w:val="21"/>
                      <w:szCs w:val="21"/>
                    </w:rPr>
                    <w:t>1</w:t>
                  </w:r>
                  <w:r>
                    <w:rPr>
                      <w:rFonts w:ascii="宋体" w:hAnsi="宋体" w:eastAsia="宋体" w:cs="宋体"/>
                      <w:color w:val="auto"/>
                      <w:sz w:val="21"/>
                      <w:szCs w:val="21"/>
                    </w:rPr>
                    <w:t>小时平均</w:t>
                  </w:r>
                </w:p>
              </w:tc>
              <w:tc>
                <w:tcPr>
                  <w:tcW w:w="124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μg/m</w:t>
                  </w:r>
                  <w:r>
                    <w:rPr>
                      <w:rFonts w:ascii="Times New Roman" w:hAnsi="Times New Roman" w:eastAsia="Times New Roman" w:cs="Times New Roman"/>
                      <w:color w:val="auto"/>
                      <w:spacing w:val="2"/>
                      <w:position w:val="6"/>
                      <w:sz w:val="21"/>
                      <w:szCs w:val="21"/>
                    </w:rPr>
                    <w:t>3</w:t>
                  </w:r>
                </w:p>
              </w:tc>
              <w:tc>
                <w:tcPr>
                  <w:tcW w:w="125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160</w:t>
                  </w:r>
                </w:p>
              </w:tc>
              <w:tc>
                <w:tcPr>
                  <w:tcW w:w="145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pacing w:val="-3"/>
                      <w:sz w:val="21"/>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293"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Arial"/>
                      <w:color w:val="auto"/>
                      <w:sz w:val="21"/>
                      <w:szCs w:val="21"/>
                    </w:rPr>
                  </w:pPr>
                </w:p>
              </w:tc>
              <w:tc>
                <w:tcPr>
                  <w:tcW w:w="1034"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CO</w:t>
                  </w:r>
                </w:p>
              </w:tc>
              <w:tc>
                <w:tcPr>
                  <w:tcW w:w="2137"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宋体" w:hAnsi="宋体" w:eastAsia="宋体" w:cs="宋体"/>
                      <w:color w:val="auto"/>
                      <w:sz w:val="21"/>
                      <w:szCs w:val="21"/>
                    </w:rPr>
                  </w:pPr>
                  <w:r>
                    <w:rPr>
                      <w:rFonts w:ascii="Times New Roman" w:hAnsi="Times New Roman" w:eastAsia="Times New Roman" w:cs="Times New Roman"/>
                      <w:color w:val="auto"/>
                      <w:spacing w:val="4"/>
                      <w:sz w:val="21"/>
                      <w:szCs w:val="21"/>
                    </w:rPr>
                    <w:t>24</w:t>
                  </w:r>
                  <w:r>
                    <w:rPr>
                      <w:rFonts w:ascii="宋体" w:hAnsi="宋体" w:eastAsia="宋体" w:cs="宋体"/>
                      <w:color w:val="auto"/>
                      <w:spacing w:val="4"/>
                      <w:sz w:val="21"/>
                      <w:szCs w:val="21"/>
                    </w:rPr>
                    <w:t>小时平均</w:t>
                  </w:r>
                </w:p>
              </w:tc>
              <w:tc>
                <w:tcPr>
                  <w:tcW w:w="124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mg</w:t>
                  </w:r>
                  <w:r>
                    <w:rPr>
                      <w:rFonts w:ascii="Times New Roman" w:hAnsi="Times New Roman" w:eastAsia="Times New Roman" w:cs="Times New Roman"/>
                      <w:color w:val="auto"/>
                      <w:spacing w:val="8"/>
                      <w:sz w:val="21"/>
                      <w:szCs w:val="21"/>
                    </w:rPr>
                    <w:t>/m</w:t>
                  </w:r>
                  <w:r>
                    <w:rPr>
                      <w:rFonts w:ascii="Times New Roman" w:hAnsi="Times New Roman" w:eastAsia="Times New Roman" w:cs="Times New Roman"/>
                      <w:color w:val="auto"/>
                      <w:spacing w:val="8"/>
                      <w:position w:val="5"/>
                      <w:sz w:val="21"/>
                      <w:szCs w:val="21"/>
                    </w:rPr>
                    <w:t>3</w:t>
                  </w:r>
                </w:p>
              </w:tc>
              <w:tc>
                <w:tcPr>
                  <w:tcW w:w="125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4</w:t>
                  </w:r>
                </w:p>
              </w:tc>
              <w:tc>
                <w:tcPr>
                  <w:tcW w:w="145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pacing w:val="1"/>
                      <w:sz w:val="21"/>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293"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Arial"/>
                      <w:color w:val="auto"/>
                      <w:sz w:val="21"/>
                      <w:szCs w:val="21"/>
                    </w:rPr>
                  </w:pPr>
                </w:p>
              </w:tc>
              <w:tc>
                <w:tcPr>
                  <w:tcW w:w="1034"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Arial"/>
                      <w:color w:val="auto"/>
                      <w:sz w:val="21"/>
                      <w:szCs w:val="21"/>
                    </w:rPr>
                  </w:pPr>
                </w:p>
              </w:tc>
              <w:tc>
                <w:tcPr>
                  <w:tcW w:w="2137"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宋体" w:hAnsi="宋体" w:eastAsia="宋体" w:cs="宋体"/>
                      <w:color w:val="auto"/>
                      <w:sz w:val="21"/>
                      <w:szCs w:val="21"/>
                    </w:rPr>
                  </w:pPr>
                  <w:r>
                    <w:rPr>
                      <w:rFonts w:ascii="Times New Roman" w:hAnsi="Times New Roman" w:eastAsia="Times New Roman" w:cs="Times New Roman"/>
                      <w:color w:val="auto"/>
                      <w:sz w:val="21"/>
                      <w:szCs w:val="21"/>
                    </w:rPr>
                    <w:t>1</w:t>
                  </w:r>
                  <w:r>
                    <w:rPr>
                      <w:rFonts w:ascii="宋体" w:hAnsi="宋体" w:eastAsia="宋体" w:cs="宋体"/>
                      <w:color w:val="auto"/>
                      <w:sz w:val="21"/>
                      <w:szCs w:val="21"/>
                    </w:rPr>
                    <w:t>小时平均</w:t>
                  </w:r>
                </w:p>
              </w:tc>
              <w:tc>
                <w:tcPr>
                  <w:tcW w:w="124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mg</w:t>
                  </w:r>
                  <w:r>
                    <w:rPr>
                      <w:rFonts w:ascii="Times New Roman" w:hAnsi="Times New Roman" w:eastAsia="Times New Roman" w:cs="Times New Roman"/>
                      <w:color w:val="auto"/>
                      <w:spacing w:val="8"/>
                      <w:sz w:val="21"/>
                      <w:szCs w:val="21"/>
                    </w:rPr>
                    <w:t>/m</w:t>
                  </w:r>
                  <w:r>
                    <w:rPr>
                      <w:rFonts w:ascii="Times New Roman" w:hAnsi="Times New Roman" w:eastAsia="Times New Roman" w:cs="Times New Roman"/>
                      <w:color w:val="auto"/>
                      <w:spacing w:val="8"/>
                      <w:position w:val="6"/>
                      <w:sz w:val="21"/>
                      <w:szCs w:val="21"/>
                    </w:rPr>
                    <w:t>3</w:t>
                  </w:r>
                </w:p>
              </w:tc>
              <w:tc>
                <w:tcPr>
                  <w:tcW w:w="125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8"/>
                      <w:sz w:val="21"/>
                      <w:szCs w:val="21"/>
                    </w:rPr>
                    <w:t>10</w:t>
                  </w:r>
                </w:p>
              </w:tc>
              <w:tc>
                <w:tcPr>
                  <w:tcW w:w="1451"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color w:val="auto"/>
                      <w:spacing w:val="-8"/>
                      <w:sz w:val="21"/>
                      <w:szCs w:val="21"/>
                    </w:rPr>
                  </w:pPr>
                </w:p>
              </w:tc>
            </w:tr>
          </w:tbl>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eastAsia" w:ascii="Times New Roman" w:hAnsi="Times New Roman" w:eastAsia="宋体" w:cs="Times New Roman"/>
                <w:color w:val="auto"/>
                <w:kern w:val="0"/>
                <w:sz w:val="24"/>
                <w:szCs w:val="24"/>
                <w:lang w:val="en-US" w:eastAsia="zh-CN" w:bidi="ar"/>
              </w:rPr>
            </w:pP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eastAsia"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 xml:space="preserve">（2）声环境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4"/>
                <w:lang w:eastAsia="zh-CN"/>
              </w:rPr>
            </w:pPr>
            <w:r>
              <w:rPr>
                <w:rFonts w:hint="eastAsia" w:ascii="Times New Roman" w:hAnsi="Times New Roman" w:eastAsia="宋体" w:cs="Times New Roman"/>
                <w:color w:val="auto"/>
                <w:kern w:val="0"/>
                <w:sz w:val="24"/>
                <w:szCs w:val="24"/>
                <w:lang w:val="en-US" w:eastAsia="zh-CN"/>
              </w:rPr>
              <w:t>本项目声环境执行《声环境质量标准》（GB3096-2008）中1类标准要求。</w:t>
            </w:r>
          </w:p>
          <w:p>
            <w:pPr>
              <w:autoSpaceDE w:val="0"/>
              <w:autoSpaceDN w:val="0"/>
              <w:adjustRightInd w:val="0"/>
              <w:snapToGrid w:val="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表3-11  声环境质量标准</w:t>
            </w:r>
          </w:p>
          <w:tbl>
            <w:tblPr>
              <w:tblStyle w:val="21"/>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05"/>
              <w:gridCol w:w="2352"/>
              <w:gridCol w:w="23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03" w:type="pct"/>
                  <w:vMerge w:val="restart"/>
                  <w:tcBorders>
                    <w:tl2br w:val="nil"/>
                    <w:tr2bl w:val="nil"/>
                  </w:tcBorders>
                  <w:noWrap w:val="0"/>
                  <w:vAlign w:val="center"/>
                </w:tcPr>
                <w:p>
                  <w:pPr>
                    <w:pStyle w:val="26"/>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声环境功能区</w:t>
                  </w:r>
                </w:p>
              </w:tc>
              <w:tc>
                <w:tcPr>
                  <w:tcW w:w="2796" w:type="pct"/>
                  <w:gridSpan w:val="2"/>
                  <w:tcBorders>
                    <w:tl2br w:val="nil"/>
                    <w:tr2bl w:val="nil"/>
                  </w:tcBorders>
                  <w:noWrap w:val="0"/>
                  <w:vAlign w:val="center"/>
                </w:tcPr>
                <w:p>
                  <w:pPr>
                    <w:pStyle w:val="26"/>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标准限值dB（A）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03" w:type="pct"/>
                  <w:vMerge w:val="continue"/>
                  <w:tcBorders>
                    <w:tl2br w:val="nil"/>
                    <w:tr2bl w:val="nil"/>
                  </w:tcBorders>
                  <w:noWrap w:val="0"/>
                  <w:vAlign w:val="center"/>
                </w:tcPr>
                <w:p>
                  <w:pPr>
                    <w:pStyle w:val="26"/>
                    <w:jc w:val="center"/>
                    <w:rPr>
                      <w:rFonts w:hint="default" w:ascii="Times New Roman" w:hAnsi="Times New Roman" w:eastAsia="宋体" w:cs="Times New Roman"/>
                      <w:color w:val="auto"/>
                      <w:sz w:val="21"/>
                      <w:szCs w:val="21"/>
                      <w:vertAlign w:val="baseline"/>
                      <w:lang w:val="en-US" w:eastAsia="zh-CN"/>
                    </w:rPr>
                  </w:pPr>
                </w:p>
              </w:tc>
              <w:tc>
                <w:tcPr>
                  <w:tcW w:w="1398" w:type="pct"/>
                  <w:tcBorders>
                    <w:tl2br w:val="nil"/>
                    <w:tr2bl w:val="nil"/>
                  </w:tcBorders>
                  <w:noWrap w:val="0"/>
                  <w:vAlign w:val="center"/>
                </w:tcPr>
                <w:p>
                  <w:pPr>
                    <w:pStyle w:val="26"/>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昼间</w:t>
                  </w:r>
                </w:p>
              </w:tc>
              <w:tc>
                <w:tcPr>
                  <w:tcW w:w="1397" w:type="pct"/>
                  <w:tcBorders>
                    <w:tl2br w:val="nil"/>
                    <w:tr2bl w:val="nil"/>
                  </w:tcBorders>
                  <w:noWrap w:val="0"/>
                  <w:vAlign w:val="center"/>
                </w:tcPr>
                <w:p>
                  <w:pPr>
                    <w:pStyle w:val="26"/>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03" w:type="pct"/>
                  <w:tcBorders>
                    <w:tl2br w:val="nil"/>
                    <w:tr2bl w:val="nil"/>
                  </w:tcBorders>
                  <w:noWrap w:val="0"/>
                  <w:vAlign w:val="center"/>
                </w:tcPr>
                <w:p>
                  <w:pPr>
                    <w:pStyle w:val="26"/>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r>
                    <w:rPr>
                      <w:rFonts w:hint="default" w:ascii="Times New Roman" w:hAnsi="Times New Roman" w:eastAsia="宋体" w:cs="Times New Roman"/>
                      <w:color w:val="auto"/>
                      <w:sz w:val="21"/>
                      <w:szCs w:val="21"/>
                      <w:vertAlign w:val="baseline"/>
                      <w:lang w:val="en-US" w:eastAsia="zh-CN"/>
                    </w:rPr>
                    <w:t>类</w:t>
                  </w:r>
                </w:p>
              </w:tc>
              <w:tc>
                <w:tcPr>
                  <w:tcW w:w="1398" w:type="pct"/>
                  <w:tcBorders>
                    <w:tl2br w:val="nil"/>
                    <w:tr2bl w:val="nil"/>
                  </w:tcBorders>
                  <w:noWrap w:val="0"/>
                  <w:vAlign w:val="center"/>
                </w:tcPr>
                <w:p>
                  <w:pPr>
                    <w:pStyle w:val="26"/>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55</w:t>
                  </w:r>
                </w:p>
              </w:tc>
              <w:tc>
                <w:tcPr>
                  <w:tcW w:w="1397" w:type="pct"/>
                  <w:tcBorders>
                    <w:tl2br w:val="nil"/>
                    <w:tr2bl w:val="nil"/>
                  </w:tcBorders>
                  <w:noWrap w:val="0"/>
                  <w:vAlign w:val="center"/>
                </w:tcPr>
                <w:p>
                  <w:pPr>
                    <w:pStyle w:val="26"/>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45</w:t>
                  </w:r>
                </w:p>
              </w:tc>
            </w:tr>
          </w:tbl>
          <w:p>
            <w:pPr>
              <w:keepNext w:val="0"/>
              <w:keepLines w:val="0"/>
              <w:pageBreakBefore w:val="0"/>
              <w:widowControl w:val="0"/>
              <w:kinsoku/>
              <w:wordWrap/>
              <w:overflowPunct/>
              <w:topLinePunct w:val="0"/>
              <w:autoSpaceDE/>
              <w:autoSpaceDN/>
              <w:bidi w:val="0"/>
              <w:adjustRightInd/>
              <w:snapToGrid w:val="0"/>
              <w:spacing w:line="360" w:lineRule="auto"/>
              <w:ind w:firstLine="482" w:firstLineChars="200"/>
              <w:jc w:val="both"/>
              <w:textAlignment w:val="auto"/>
              <w:rPr>
                <w:rFonts w:hint="default" w:ascii="Times New Roman" w:hAnsi="Times New Roman" w:eastAsia="宋体" w:cs="Times New Roman"/>
                <w:b/>
                <w:bCs/>
                <w:color w:val="auto"/>
                <w:kern w:val="0"/>
                <w:sz w:val="24"/>
                <w:szCs w:val="24"/>
                <w:lang w:val="en-US" w:eastAsia="zh-CN" w:bidi="ar"/>
              </w:rPr>
            </w:pPr>
          </w:p>
          <w:p>
            <w:pPr>
              <w:keepNext w:val="0"/>
              <w:keepLines w:val="0"/>
              <w:pageBreakBefore w:val="0"/>
              <w:widowControl w:val="0"/>
              <w:kinsoku/>
              <w:wordWrap/>
              <w:overflowPunct/>
              <w:topLinePunct w:val="0"/>
              <w:autoSpaceDE/>
              <w:autoSpaceDN/>
              <w:bidi w:val="0"/>
              <w:adjustRightInd/>
              <w:snapToGrid w:val="0"/>
              <w:spacing w:line="360" w:lineRule="auto"/>
              <w:ind w:firstLine="482" w:firstLineChars="200"/>
              <w:jc w:val="both"/>
              <w:textAlignment w:val="auto"/>
              <w:rPr>
                <w:rFonts w:hint="eastAsia"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2</w:t>
            </w:r>
            <w:r>
              <w:rPr>
                <w:rFonts w:hint="eastAsia" w:ascii="Times New Roman" w:hAnsi="Times New Roman" w:eastAsia="宋体" w:cs="Times New Roman"/>
                <w:b/>
                <w:bCs/>
                <w:color w:val="auto"/>
                <w:kern w:val="0"/>
                <w:sz w:val="24"/>
                <w:szCs w:val="24"/>
                <w:lang w:val="en-US" w:eastAsia="zh-CN" w:bidi="ar"/>
              </w:rPr>
              <w:t xml:space="preserve">、污染物排放标准 </w:t>
            </w:r>
          </w:p>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（1） 施工期扬尘排放执行</w:t>
            </w:r>
            <w:r>
              <w:rPr>
                <w:rFonts w:hint="default" w:ascii="Times New Roman" w:hAnsi="Times New Roman" w:eastAsia="宋体" w:cs="Times New Roman"/>
                <w:color w:val="auto"/>
                <w:spacing w:val="7"/>
                <w:sz w:val="24"/>
                <w:szCs w:val="24"/>
              </w:rPr>
              <w:t>《辽宁省施工及堆料场地扬尘排放标准》（</w:t>
            </w:r>
            <w:r>
              <w:rPr>
                <w:rFonts w:hint="default" w:ascii="Times New Roman" w:hAnsi="Times New Roman" w:eastAsia="宋体" w:cs="Times New Roman"/>
                <w:color w:val="auto"/>
                <w:sz w:val="24"/>
                <w:szCs w:val="24"/>
              </w:rPr>
              <w:t>DB</w:t>
            </w:r>
            <w:r>
              <w:rPr>
                <w:rFonts w:hint="default" w:ascii="Times New Roman" w:hAnsi="Times New Roman" w:eastAsia="宋体" w:cs="Times New Roman"/>
                <w:color w:val="auto"/>
                <w:spacing w:val="7"/>
                <w:sz w:val="24"/>
                <w:szCs w:val="24"/>
              </w:rPr>
              <w:t>21/264</w:t>
            </w:r>
            <w:r>
              <w:rPr>
                <w:rFonts w:hint="default" w:ascii="Times New Roman" w:hAnsi="Times New Roman" w:eastAsia="宋体" w:cs="Times New Roman"/>
                <w:color w:val="auto"/>
                <w:spacing w:val="6"/>
                <w:sz w:val="24"/>
                <w:szCs w:val="24"/>
              </w:rPr>
              <w:t>2-2016</w:t>
            </w:r>
            <w:r>
              <w:rPr>
                <w:rFonts w:hint="default" w:ascii="Times New Roman" w:hAnsi="Times New Roman" w:eastAsia="宋体" w:cs="Times New Roman"/>
                <w:color w:val="auto"/>
                <w:spacing w:val="-4"/>
                <w:sz w:val="24"/>
                <w:szCs w:val="24"/>
              </w:rPr>
              <w:t>），</w:t>
            </w:r>
            <w:r>
              <w:rPr>
                <w:rFonts w:hint="default" w:ascii="Times New Roman" w:hAnsi="Times New Roman" w:eastAsia="宋体" w:cs="Times New Roman"/>
                <w:color w:val="auto"/>
                <w:spacing w:val="6"/>
                <w:sz w:val="24"/>
                <w:szCs w:val="24"/>
              </w:rPr>
              <w:t>详</w:t>
            </w:r>
            <w:r>
              <w:rPr>
                <w:rFonts w:hint="default" w:ascii="Times New Roman" w:hAnsi="Times New Roman" w:eastAsia="宋体" w:cs="Times New Roman"/>
                <w:color w:val="auto"/>
                <w:spacing w:val="4"/>
                <w:sz w:val="24"/>
                <w:szCs w:val="24"/>
              </w:rPr>
              <w:t>见下表。</w:t>
            </w:r>
          </w:p>
          <w:p>
            <w:pPr>
              <w:autoSpaceDE w:val="0"/>
              <w:autoSpaceDN w:val="0"/>
              <w:adjustRightInd w:val="0"/>
              <w:snapToGrid w:val="0"/>
              <w:jc w:val="center"/>
              <w:rPr>
                <w:color w:val="auto"/>
                <w:sz w:val="21"/>
                <w:szCs w:val="21"/>
              </w:rPr>
            </w:pPr>
            <w:r>
              <w:rPr>
                <w:rFonts w:hint="eastAsia" w:ascii="Times New Roman" w:hAnsi="Times New Roman" w:eastAsia="宋体" w:cs="Times New Roman"/>
                <w:b/>
                <w:bCs/>
                <w:color w:val="auto"/>
                <w:sz w:val="21"/>
                <w:szCs w:val="21"/>
                <w:lang w:val="en-US" w:eastAsia="zh-CN"/>
              </w:rPr>
              <w:t>表 3-12 扬尘排放浓度限值单位：mg/m</w:t>
            </w:r>
            <w:r>
              <w:rPr>
                <w:rFonts w:hint="eastAsia" w:ascii="Times New Roman" w:hAnsi="Times New Roman" w:eastAsia="宋体" w:cs="Times New Roman"/>
                <w:b/>
                <w:bCs/>
                <w:color w:val="auto"/>
                <w:sz w:val="21"/>
                <w:szCs w:val="21"/>
                <w:vertAlign w:val="superscript"/>
                <w:lang w:val="en-US" w:eastAsia="zh-CN"/>
              </w:rPr>
              <w:t>3</w:t>
            </w:r>
          </w:p>
          <w:tbl>
            <w:tblPr>
              <w:tblStyle w:val="31"/>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04"/>
              <w:gridCol w:w="3035"/>
              <w:gridCol w:w="3675"/>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4" w:hRule="atLeast"/>
              </w:trPr>
              <w:tc>
                <w:tcPr>
                  <w:tcW w:w="1012" w:type="pct"/>
                  <w:vAlign w:val="top"/>
                </w:tcPr>
                <w:p>
                  <w:pPr>
                    <w:pStyle w:val="38"/>
                    <w:spacing w:before="96" w:line="229" w:lineRule="auto"/>
                    <w:ind w:left="415"/>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监测项目</w:t>
                  </w:r>
                </w:p>
              </w:tc>
              <w:tc>
                <w:tcPr>
                  <w:tcW w:w="1803" w:type="pct"/>
                  <w:vAlign w:val="top"/>
                </w:tcPr>
                <w:p>
                  <w:pPr>
                    <w:pStyle w:val="38"/>
                    <w:spacing w:before="96" w:line="229" w:lineRule="auto"/>
                    <w:ind w:left="128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区域</w:t>
                  </w:r>
                </w:p>
              </w:tc>
              <w:tc>
                <w:tcPr>
                  <w:tcW w:w="2183" w:type="pct"/>
                  <w:vAlign w:val="top"/>
                </w:tcPr>
                <w:p>
                  <w:pPr>
                    <w:pStyle w:val="38"/>
                    <w:spacing w:before="65" w:line="274" w:lineRule="exact"/>
                    <w:ind w:left="267"/>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position w:val="1"/>
                      <w:sz w:val="21"/>
                      <w:szCs w:val="21"/>
                    </w:rPr>
                    <w:t>浓度限值（连续</w:t>
                  </w:r>
                  <w:r>
                    <w:rPr>
                      <w:rFonts w:hint="default" w:ascii="Times New Roman" w:hAnsi="Times New Roman" w:eastAsia="宋体" w:cs="Times New Roman"/>
                      <w:color w:val="auto"/>
                      <w:spacing w:val="-38"/>
                      <w:position w:val="1"/>
                      <w:sz w:val="21"/>
                      <w:szCs w:val="21"/>
                    </w:rPr>
                    <w:t xml:space="preserve"> </w:t>
                  </w:r>
                  <w:r>
                    <w:rPr>
                      <w:rFonts w:hint="default" w:ascii="Times New Roman" w:hAnsi="Times New Roman" w:eastAsia="宋体" w:cs="Times New Roman"/>
                      <w:color w:val="auto"/>
                      <w:spacing w:val="8"/>
                      <w:position w:val="1"/>
                      <w:sz w:val="21"/>
                      <w:szCs w:val="21"/>
                    </w:rPr>
                    <w:t>5</w:t>
                  </w:r>
                  <w:r>
                    <w:rPr>
                      <w:rFonts w:hint="default" w:ascii="Times New Roman" w:hAnsi="Times New Roman" w:eastAsia="宋体" w:cs="Times New Roman"/>
                      <w:color w:val="auto"/>
                      <w:position w:val="1"/>
                      <w:sz w:val="21"/>
                      <w:szCs w:val="21"/>
                    </w:rPr>
                    <w:t>min</w:t>
                  </w:r>
                  <w:r>
                    <w:rPr>
                      <w:rFonts w:hint="default" w:ascii="Times New Roman" w:hAnsi="Times New Roman" w:eastAsia="宋体" w:cs="Times New Roman"/>
                      <w:color w:val="auto"/>
                      <w:spacing w:val="8"/>
                      <w:position w:val="1"/>
                      <w:sz w:val="21"/>
                      <w:szCs w:val="21"/>
                    </w:rPr>
                    <w:t xml:space="preserve"> 平均浓度）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4" w:hRule="atLeast"/>
              </w:trPr>
              <w:tc>
                <w:tcPr>
                  <w:tcW w:w="1012" w:type="pct"/>
                  <w:vAlign w:val="top"/>
                </w:tcPr>
                <w:p>
                  <w:pPr>
                    <w:pStyle w:val="38"/>
                    <w:spacing w:before="95" w:line="229" w:lineRule="auto"/>
                    <w:ind w:left="128"/>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9"/>
                      <w:sz w:val="21"/>
                      <w:szCs w:val="21"/>
                    </w:rPr>
                    <w:t>颗粒物（</w:t>
                  </w:r>
                  <w:r>
                    <w:rPr>
                      <w:rFonts w:hint="default" w:ascii="Times New Roman" w:hAnsi="Times New Roman" w:eastAsia="宋体" w:cs="Times New Roman"/>
                      <w:color w:val="auto"/>
                      <w:sz w:val="21"/>
                      <w:szCs w:val="21"/>
                    </w:rPr>
                    <w:t>TSP</w:t>
                  </w:r>
                  <w:r>
                    <w:rPr>
                      <w:rFonts w:hint="default" w:ascii="Times New Roman" w:hAnsi="Times New Roman" w:eastAsia="宋体" w:cs="Times New Roman"/>
                      <w:color w:val="auto"/>
                      <w:spacing w:val="9"/>
                      <w:sz w:val="21"/>
                      <w:szCs w:val="21"/>
                    </w:rPr>
                    <w:t>）</w:t>
                  </w:r>
                </w:p>
              </w:tc>
              <w:tc>
                <w:tcPr>
                  <w:tcW w:w="1803" w:type="pct"/>
                  <w:vAlign w:val="top"/>
                </w:tcPr>
                <w:p>
                  <w:pPr>
                    <w:pStyle w:val="38"/>
                    <w:spacing w:before="94" w:line="228" w:lineRule="auto"/>
                    <w:ind w:left="75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郊区及农村地区</w:t>
                  </w:r>
                </w:p>
              </w:tc>
              <w:tc>
                <w:tcPr>
                  <w:tcW w:w="2183" w:type="pct"/>
                  <w:vAlign w:val="top"/>
                </w:tcPr>
                <w:p>
                  <w:pPr>
                    <w:spacing w:before="64" w:line="274" w:lineRule="exact"/>
                    <w:ind w:left="168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position w:val="2"/>
                      <w:sz w:val="21"/>
                      <w:szCs w:val="21"/>
                    </w:rPr>
                    <w:t>1.0</w:t>
                  </w:r>
                </w:p>
              </w:tc>
            </w:tr>
          </w:tbl>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（2）噪声</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eastAsia"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建筑施工噪声执行《建筑施工噪声排放标准》（GB 12523-2025）中噪声限值；</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eastAsia"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运营期产生的噪声执行《声环境质量标准》（GB3096-2008）1类标准要求。</w:t>
            </w:r>
          </w:p>
          <w:p>
            <w:pPr>
              <w:keepNext w:val="0"/>
              <w:keepLines w:val="0"/>
              <w:pageBreakBefore w:val="0"/>
              <w:widowControl w:val="0"/>
              <w:kinsoku/>
              <w:wordWrap/>
              <w:overflowPunct/>
              <w:topLinePunct w:val="0"/>
              <w:autoSpaceDE/>
              <w:autoSpaceDN/>
              <w:bidi w:val="0"/>
              <w:adjustRightInd/>
              <w:snapToGrid/>
              <w:spacing w:line="240" w:lineRule="auto"/>
              <w:ind w:left="2965"/>
              <w:textAlignment w:val="auto"/>
              <w:rPr>
                <w:rFonts w:ascii="Arial"/>
                <w:color w:val="auto"/>
                <w:sz w:val="21"/>
                <w:szCs w:val="21"/>
              </w:rPr>
            </w:pPr>
            <w:r>
              <w:rPr>
                <w:rFonts w:ascii="宋体" w:hAnsi="宋体" w:eastAsia="宋体" w:cs="宋体"/>
                <w:b/>
                <w:bCs/>
                <w:color w:val="auto"/>
                <w:spacing w:val="-5"/>
                <w:sz w:val="21"/>
                <w:szCs w:val="21"/>
              </w:rPr>
              <w:t>表</w:t>
            </w:r>
            <w:r>
              <w:rPr>
                <w:rFonts w:ascii="宋体" w:hAnsi="宋体" w:eastAsia="宋体" w:cs="宋体"/>
                <w:color w:val="auto"/>
                <w:spacing w:val="-54"/>
                <w:sz w:val="21"/>
                <w:szCs w:val="21"/>
              </w:rPr>
              <w:t xml:space="preserve"> </w:t>
            </w:r>
            <w:r>
              <w:rPr>
                <w:rFonts w:ascii="Times New Roman" w:hAnsi="Times New Roman" w:eastAsia="Times New Roman" w:cs="Times New Roman"/>
                <w:b/>
                <w:bCs/>
                <w:color w:val="auto"/>
                <w:spacing w:val="-5"/>
                <w:sz w:val="21"/>
                <w:szCs w:val="21"/>
              </w:rPr>
              <w:t>3-</w:t>
            </w:r>
            <w:r>
              <w:rPr>
                <w:rFonts w:hint="eastAsia" w:ascii="Times New Roman" w:hAnsi="Times New Roman" w:eastAsia="宋体" w:cs="Times New Roman"/>
                <w:b/>
                <w:bCs/>
                <w:color w:val="auto"/>
                <w:spacing w:val="-5"/>
                <w:sz w:val="21"/>
                <w:szCs w:val="21"/>
                <w:lang w:val="en-US" w:eastAsia="zh-CN"/>
              </w:rPr>
              <w:t xml:space="preserve">13  </w:t>
            </w:r>
            <w:r>
              <w:rPr>
                <w:rFonts w:ascii="Times New Roman" w:hAnsi="Times New Roman" w:eastAsia="Times New Roman" w:cs="Times New Roman"/>
                <w:b/>
                <w:bCs/>
                <w:color w:val="auto"/>
                <w:spacing w:val="21"/>
                <w:sz w:val="21"/>
                <w:szCs w:val="21"/>
              </w:rPr>
              <w:t xml:space="preserve"> </w:t>
            </w:r>
            <w:r>
              <w:rPr>
                <w:rFonts w:ascii="宋体" w:hAnsi="宋体" w:eastAsia="宋体" w:cs="宋体"/>
                <w:b/>
                <w:bCs/>
                <w:color w:val="auto"/>
                <w:spacing w:val="-5"/>
                <w:sz w:val="21"/>
                <w:szCs w:val="21"/>
              </w:rPr>
              <w:t>噪声排放标准</w:t>
            </w:r>
          </w:p>
          <w:tbl>
            <w:tblPr>
              <w:tblStyle w:val="31"/>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446"/>
              <w:gridCol w:w="2550"/>
              <w:gridCol w:w="2289"/>
              <w:gridCol w:w="212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trPr>
              <w:tc>
                <w:tcPr>
                  <w:tcW w:w="85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宋体" w:hAnsi="宋体" w:eastAsia="宋体" w:cs="宋体"/>
                      <w:color w:val="auto"/>
                      <w:sz w:val="21"/>
                      <w:szCs w:val="21"/>
                    </w:rPr>
                  </w:pPr>
                  <w:r>
                    <w:rPr>
                      <w:rFonts w:ascii="宋体" w:hAnsi="宋体" w:eastAsia="宋体" w:cs="宋体"/>
                      <w:color w:val="auto"/>
                      <w:spacing w:val="6"/>
                      <w:sz w:val="21"/>
                      <w:szCs w:val="21"/>
                    </w:rPr>
                    <w:t>项目阶段</w:t>
                  </w:r>
                </w:p>
              </w:tc>
              <w:tc>
                <w:tcPr>
                  <w:tcW w:w="1515"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宋体" w:hAnsi="宋体" w:eastAsia="宋体" w:cs="宋体"/>
                      <w:color w:val="auto"/>
                      <w:sz w:val="21"/>
                      <w:szCs w:val="21"/>
                    </w:rPr>
                  </w:pPr>
                  <w:r>
                    <w:rPr>
                      <w:rFonts w:ascii="宋体" w:hAnsi="宋体" w:eastAsia="宋体" w:cs="宋体"/>
                      <w:color w:val="auto"/>
                      <w:spacing w:val="4"/>
                      <w:sz w:val="21"/>
                      <w:szCs w:val="21"/>
                    </w:rPr>
                    <w:t>类别</w:t>
                  </w:r>
                </w:p>
              </w:tc>
              <w:tc>
                <w:tcPr>
                  <w:tcW w:w="136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宋体" w:hAnsi="宋体" w:eastAsia="宋体" w:cs="宋体"/>
                      <w:color w:val="auto"/>
                      <w:sz w:val="21"/>
                      <w:szCs w:val="21"/>
                    </w:rPr>
                  </w:pPr>
                  <w:r>
                    <w:rPr>
                      <w:rFonts w:ascii="宋体" w:hAnsi="宋体" w:eastAsia="宋体" w:cs="宋体"/>
                      <w:color w:val="auto"/>
                      <w:spacing w:val="-1"/>
                      <w:sz w:val="21"/>
                      <w:szCs w:val="21"/>
                    </w:rPr>
                    <w:t>时段</w:t>
                  </w:r>
                </w:p>
              </w:tc>
              <w:tc>
                <w:tcPr>
                  <w:tcW w:w="126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Times New Roman" w:hAnsi="Times New Roman" w:eastAsia="Times New Roman" w:cs="Times New Roman"/>
                      <w:color w:val="auto"/>
                      <w:sz w:val="21"/>
                      <w:szCs w:val="21"/>
                    </w:rPr>
                  </w:pPr>
                  <w:r>
                    <w:rPr>
                      <w:rFonts w:ascii="宋体" w:hAnsi="宋体" w:eastAsia="宋体" w:cs="宋体"/>
                      <w:color w:val="auto"/>
                      <w:spacing w:val="7"/>
                      <w:sz w:val="21"/>
                      <w:szCs w:val="21"/>
                    </w:rPr>
                    <w:t>标准值</w:t>
                  </w:r>
                  <w:r>
                    <w:rPr>
                      <w:rFonts w:hint="eastAsia" w:ascii="宋体" w:hAnsi="宋体" w:eastAsia="宋体" w:cs="宋体"/>
                      <w:color w:val="auto"/>
                      <w:spacing w:val="7"/>
                      <w:sz w:val="21"/>
                      <w:szCs w:val="21"/>
                      <w:lang w:eastAsia="zh-CN"/>
                    </w:rPr>
                    <w:t>（</w:t>
                  </w:r>
                  <w:r>
                    <w:rPr>
                      <w:rFonts w:ascii="Times New Roman" w:hAnsi="Times New Roman" w:eastAsia="Times New Roman" w:cs="Times New Roman"/>
                      <w:color w:val="auto"/>
                      <w:sz w:val="21"/>
                      <w:szCs w:val="21"/>
                    </w:rPr>
                    <w:t>dB</w:t>
                  </w:r>
                  <w:r>
                    <w:rPr>
                      <w:rFonts w:hint="eastAsia" w:ascii="Times New Roman" w:hAnsi="Times New Roman" w:eastAsia="宋体" w:cs="Times New Roman"/>
                      <w:color w:val="auto"/>
                      <w:sz w:val="21"/>
                      <w:szCs w:val="21"/>
                      <w:lang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trPr>
              <w:tc>
                <w:tcPr>
                  <w:tcW w:w="859" w:type="pct"/>
                  <w:vMerge w:val="restart"/>
                  <w:tcBorders>
                    <w:bottom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宋体" w:hAnsi="宋体" w:eastAsia="宋体" w:cs="宋体"/>
                      <w:color w:val="auto"/>
                      <w:sz w:val="21"/>
                      <w:szCs w:val="21"/>
                    </w:rPr>
                  </w:pPr>
                  <w:r>
                    <w:rPr>
                      <w:rFonts w:ascii="宋体" w:hAnsi="宋体" w:eastAsia="宋体" w:cs="宋体"/>
                      <w:color w:val="auto"/>
                      <w:spacing w:val="7"/>
                      <w:sz w:val="21"/>
                      <w:szCs w:val="21"/>
                    </w:rPr>
                    <w:t>施工期</w:t>
                  </w:r>
                </w:p>
              </w:tc>
              <w:tc>
                <w:tcPr>
                  <w:tcW w:w="1515" w:type="pct"/>
                  <w:vMerge w:val="restart"/>
                  <w:tcBorders>
                    <w:bottom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w:t>
                  </w:r>
                </w:p>
              </w:tc>
              <w:tc>
                <w:tcPr>
                  <w:tcW w:w="136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宋体" w:hAnsi="宋体" w:eastAsia="宋体" w:cs="宋体"/>
                      <w:color w:val="auto"/>
                      <w:sz w:val="21"/>
                      <w:szCs w:val="21"/>
                    </w:rPr>
                  </w:pPr>
                  <w:r>
                    <w:rPr>
                      <w:rFonts w:ascii="宋体" w:hAnsi="宋体" w:eastAsia="宋体" w:cs="宋体"/>
                      <w:color w:val="auto"/>
                      <w:spacing w:val="5"/>
                      <w:sz w:val="21"/>
                      <w:szCs w:val="21"/>
                    </w:rPr>
                    <w:t>昼间</w:t>
                  </w:r>
                </w:p>
              </w:tc>
              <w:tc>
                <w:tcPr>
                  <w:tcW w:w="126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70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trPr>
              <w:tc>
                <w:tcPr>
                  <w:tcW w:w="859" w:type="pct"/>
                  <w:vMerge w:val="continue"/>
                  <w:tcBorders>
                    <w:top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Arial"/>
                      <w:color w:val="auto"/>
                      <w:sz w:val="21"/>
                      <w:szCs w:val="21"/>
                    </w:rPr>
                  </w:pPr>
                </w:p>
              </w:tc>
              <w:tc>
                <w:tcPr>
                  <w:tcW w:w="1515" w:type="pct"/>
                  <w:vMerge w:val="continue"/>
                  <w:tcBorders>
                    <w:top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Arial"/>
                      <w:color w:val="auto"/>
                      <w:sz w:val="21"/>
                      <w:szCs w:val="21"/>
                    </w:rPr>
                  </w:pPr>
                </w:p>
              </w:tc>
              <w:tc>
                <w:tcPr>
                  <w:tcW w:w="136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宋体" w:hAnsi="宋体" w:eastAsia="宋体" w:cs="宋体"/>
                      <w:color w:val="auto"/>
                      <w:sz w:val="21"/>
                      <w:szCs w:val="21"/>
                    </w:rPr>
                  </w:pPr>
                  <w:r>
                    <w:rPr>
                      <w:rFonts w:ascii="宋体" w:hAnsi="宋体" w:eastAsia="宋体" w:cs="宋体"/>
                      <w:color w:val="auto"/>
                      <w:spacing w:val="3"/>
                      <w:sz w:val="21"/>
                      <w:szCs w:val="21"/>
                    </w:rPr>
                    <w:t>夜间</w:t>
                  </w:r>
                </w:p>
              </w:tc>
              <w:tc>
                <w:tcPr>
                  <w:tcW w:w="126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55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trPr>
              <w:tc>
                <w:tcPr>
                  <w:tcW w:w="859" w:type="pct"/>
                  <w:vMerge w:val="restart"/>
                  <w:tcBorders>
                    <w:bottom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宋体" w:hAnsi="宋体" w:eastAsia="宋体" w:cs="宋体"/>
                      <w:color w:val="auto"/>
                      <w:sz w:val="21"/>
                      <w:szCs w:val="21"/>
                    </w:rPr>
                  </w:pPr>
                  <w:r>
                    <w:rPr>
                      <w:rFonts w:ascii="宋体" w:hAnsi="宋体" w:eastAsia="宋体" w:cs="宋体"/>
                      <w:color w:val="auto"/>
                      <w:spacing w:val="6"/>
                      <w:sz w:val="21"/>
                      <w:szCs w:val="21"/>
                    </w:rPr>
                    <w:t>运营期</w:t>
                  </w:r>
                </w:p>
              </w:tc>
              <w:tc>
                <w:tcPr>
                  <w:tcW w:w="1515" w:type="pct"/>
                  <w:vMerge w:val="restart"/>
                  <w:tcBorders>
                    <w:bottom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宋体" w:hAnsi="宋体" w:eastAsia="宋体" w:cs="宋体"/>
                      <w:color w:val="auto"/>
                      <w:sz w:val="21"/>
                      <w:szCs w:val="21"/>
                    </w:rPr>
                  </w:pPr>
                  <w:r>
                    <w:rPr>
                      <w:rFonts w:hint="eastAsia" w:ascii="Times New Roman" w:hAnsi="Times New Roman" w:eastAsia="宋体" w:cs="Times New Roman"/>
                      <w:color w:val="auto"/>
                      <w:spacing w:val="-10"/>
                      <w:sz w:val="21"/>
                      <w:szCs w:val="21"/>
                      <w:lang w:val="en-US" w:eastAsia="zh-CN"/>
                    </w:rPr>
                    <w:t>1</w:t>
                  </w:r>
                  <w:r>
                    <w:rPr>
                      <w:rFonts w:ascii="宋体" w:hAnsi="宋体" w:eastAsia="宋体" w:cs="宋体"/>
                      <w:color w:val="auto"/>
                      <w:spacing w:val="-10"/>
                      <w:sz w:val="21"/>
                      <w:szCs w:val="21"/>
                    </w:rPr>
                    <w:t>类</w:t>
                  </w:r>
                </w:p>
              </w:tc>
              <w:tc>
                <w:tcPr>
                  <w:tcW w:w="136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宋体" w:hAnsi="宋体" w:eastAsia="宋体" w:cs="宋体"/>
                      <w:color w:val="auto"/>
                      <w:sz w:val="21"/>
                      <w:szCs w:val="21"/>
                    </w:rPr>
                  </w:pPr>
                  <w:r>
                    <w:rPr>
                      <w:rFonts w:ascii="宋体" w:hAnsi="宋体" w:eastAsia="宋体" w:cs="宋体"/>
                      <w:color w:val="auto"/>
                      <w:spacing w:val="5"/>
                      <w:sz w:val="21"/>
                      <w:szCs w:val="21"/>
                    </w:rPr>
                    <w:t>昼间</w:t>
                  </w:r>
                </w:p>
              </w:tc>
              <w:tc>
                <w:tcPr>
                  <w:tcW w:w="126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55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trPr>
              <w:tc>
                <w:tcPr>
                  <w:tcW w:w="859" w:type="pct"/>
                  <w:vMerge w:val="continue"/>
                  <w:tcBorders>
                    <w:top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Arial"/>
                      <w:color w:val="auto"/>
                      <w:sz w:val="21"/>
                      <w:szCs w:val="21"/>
                    </w:rPr>
                  </w:pPr>
                </w:p>
              </w:tc>
              <w:tc>
                <w:tcPr>
                  <w:tcW w:w="1515" w:type="pct"/>
                  <w:vMerge w:val="continue"/>
                  <w:tcBorders>
                    <w:top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Arial"/>
                      <w:color w:val="auto"/>
                      <w:sz w:val="21"/>
                      <w:szCs w:val="21"/>
                    </w:rPr>
                  </w:pPr>
                </w:p>
              </w:tc>
              <w:tc>
                <w:tcPr>
                  <w:tcW w:w="136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宋体" w:hAnsi="宋体" w:eastAsia="宋体" w:cs="宋体"/>
                      <w:color w:val="auto"/>
                      <w:sz w:val="21"/>
                      <w:szCs w:val="21"/>
                    </w:rPr>
                  </w:pPr>
                  <w:r>
                    <w:rPr>
                      <w:rFonts w:ascii="宋体" w:hAnsi="宋体" w:eastAsia="宋体" w:cs="宋体"/>
                      <w:color w:val="auto"/>
                      <w:spacing w:val="3"/>
                      <w:sz w:val="21"/>
                      <w:szCs w:val="21"/>
                    </w:rPr>
                    <w:t>夜间</w:t>
                  </w:r>
                </w:p>
              </w:tc>
              <w:tc>
                <w:tcPr>
                  <w:tcW w:w="126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45</w:t>
                  </w:r>
                </w:p>
              </w:tc>
            </w:tr>
          </w:tbl>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eastAsia"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（3） 电磁环境</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eastAsia"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工频电场强度、工频磁感应强度执行《电磁环境控制限值》（GB8702-2014）表1“公众曝露控制限值（频率f为0.05kHz）”的规定，工频电场强度控制限值为4kV/m，工频磁感应强度控制限值为100µT。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8" w:hRule="atLeast"/>
          <w:jc w:val="center"/>
        </w:trPr>
        <w:tc>
          <w:tcPr>
            <w:tcW w:w="717" w:type="dxa"/>
            <w:vAlign w:val="center"/>
          </w:tcPr>
          <w:p>
            <w:pPr>
              <w:keepNext w:val="0"/>
              <w:keepLines w:val="0"/>
              <w:pageBreakBefore w:val="0"/>
              <w:widowControl w:val="0"/>
              <w:kinsoku/>
              <w:wordWrap/>
              <w:overflowPunct/>
              <w:topLinePunct w:val="0"/>
              <w:autoSpaceDE/>
              <w:autoSpaceDN/>
              <w:bidi w:val="0"/>
              <w:adjustRightInd/>
              <w:snapToGrid w:val="0"/>
              <w:spacing w:line="360" w:lineRule="auto"/>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b/>
                <w:bCs/>
                <w:caps w:val="0"/>
                <w:color w:val="auto"/>
                <w:sz w:val="24"/>
                <w:szCs w:val="24"/>
                <w:lang w:val="en-US" w:eastAsia="zh-CN"/>
              </w:rPr>
              <w:t>其他</w:t>
            </w:r>
          </w:p>
        </w:tc>
        <w:tc>
          <w:tcPr>
            <w:tcW w:w="8637" w:type="dxa"/>
            <w:vAlign w:val="center"/>
          </w:tcPr>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据环保部环发〔2014〕197号《建设项目主要污染物排放总量指标审核及管理暂行办法》和《辽宁省生态环境厅关于进一步加强建设项目主要污染物排放总量指标审核和管理的通知》（辽环综函〔2020〕380号）的规定，国家对COD、氨氮、氮氧化物、挥发性有机物四种主要污染物实行排放总量控制计划管理。本项目为新建输变电线路项目，施工结束后，扬尘、废水对环境的影响也随之消失，营运期无“三废”产生，因此，本项目无总量控制指标。</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VOCs为0t/a，氮氧化物为0t/a，COD为0t/a，NH</w:t>
            </w:r>
            <w:r>
              <w:rPr>
                <w:rFonts w:hint="default" w:ascii="Times New Roman" w:hAnsi="Times New Roman" w:eastAsia="宋体" w:cs="Times New Roman"/>
                <w:color w:val="auto"/>
                <w:kern w:val="0"/>
                <w:sz w:val="24"/>
                <w:szCs w:val="24"/>
                <w:vertAlign w:val="subscript"/>
                <w:lang w:val="en-US" w:eastAsia="zh-CN" w:bidi="ar"/>
              </w:rPr>
              <w:t>3</w:t>
            </w:r>
            <w:r>
              <w:rPr>
                <w:rFonts w:hint="default" w:ascii="Times New Roman" w:hAnsi="Times New Roman" w:eastAsia="宋体" w:cs="Times New Roman"/>
                <w:color w:val="auto"/>
                <w:kern w:val="0"/>
                <w:sz w:val="24"/>
                <w:szCs w:val="24"/>
                <w:lang w:val="en-US" w:eastAsia="zh-CN" w:bidi="ar"/>
              </w:rPr>
              <w:t>-N为0t/a。</w:t>
            </w:r>
          </w:p>
          <w:p>
            <w:pPr>
              <w:pStyle w:val="5"/>
              <w:rPr>
                <w:rFonts w:hint="default" w:ascii="Times New Roman" w:hAnsi="Times New Roman" w:eastAsia="宋体" w:cs="Times New Roman"/>
                <w:color w:val="auto"/>
                <w:kern w:val="0"/>
                <w:sz w:val="24"/>
                <w:szCs w:val="24"/>
                <w:lang w:val="en-US" w:eastAsia="zh-CN" w:bidi="ar"/>
              </w:rPr>
            </w:pPr>
          </w:p>
          <w:p>
            <w:pPr>
              <w:rPr>
                <w:rFonts w:hint="default" w:ascii="Times New Roman" w:hAnsi="Times New Roman" w:eastAsia="宋体" w:cs="Times New Roman"/>
                <w:color w:val="auto"/>
                <w:kern w:val="0"/>
                <w:sz w:val="24"/>
                <w:szCs w:val="24"/>
                <w:lang w:val="en-US" w:eastAsia="zh-CN" w:bidi="ar"/>
              </w:rPr>
            </w:pPr>
          </w:p>
          <w:p>
            <w:pPr>
              <w:pStyle w:val="5"/>
              <w:rPr>
                <w:rFonts w:hint="default" w:ascii="Times New Roman" w:hAnsi="Times New Roman" w:eastAsia="宋体" w:cs="Times New Roman"/>
                <w:color w:val="auto"/>
                <w:kern w:val="0"/>
                <w:sz w:val="24"/>
                <w:szCs w:val="24"/>
                <w:lang w:val="en-US" w:eastAsia="zh-CN" w:bidi="ar"/>
              </w:rPr>
            </w:pPr>
          </w:p>
          <w:p>
            <w:pPr>
              <w:rPr>
                <w:rFonts w:hint="default" w:ascii="Times New Roman" w:hAnsi="Times New Roman" w:eastAsia="宋体" w:cs="Times New Roman"/>
                <w:color w:val="auto"/>
                <w:kern w:val="0"/>
                <w:sz w:val="24"/>
                <w:szCs w:val="24"/>
                <w:lang w:val="en-US" w:eastAsia="zh-CN" w:bidi="ar"/>
              </w:rPr>
            </w:pPr>
          </w:p>
          <w:p>
            <w:pPr>
              <w:rPr>
                <w:rFonts w:hint="default"/>
                <w:lang w:val="en-US" w:eastAsia="zh-CN"/>
              </w:rPr>
            </w:pPr>
          </w:p>
        </w:tc>
      </w:tr>
    </w:tbl>
    <w:p>
      <w:pPr>
        <w:keepNext w:val="0"/>
        <w:keepLines w:val="0"/>
        <w:pageBreakBefore w:val="0"/>
        <w:widowControl w:val="0"/>
        <w:kinsoku/>
        <w:wordWrap/>
        <w:overflowPunct/>
        <w:topLinePunct w:val="0"/>
        <w:autoSpaceDE/>
        <w:autoSpaceDN/>
        <w:bidi w:val="0"/>
        <w:adjustRightInd/>
        <w:snapToGrid/>
        <w:spacing w:line="240" w:lineRule="auto"/>
        <w:jc w:val="left"/>
        <w:textAlignment w:val="auto"/>
        <w:outlineLvl w:val="0"/>
        <w:rPr>
          <w:rFonts w:hint="eastAsia" w:ascii="Times New Roman" w:hAnsi="Times New Roman" w:eastAsia="宋体" w:cs="Times New Roman"/>
          <w:b/>
          <w:bCs/>
          <w:color w:val="auto"/>
          <w:sz w:val="28"/>
          <w:szCs w:val="28"/>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spacing w:before="97" w:line="222" w:lineRule="auto"/>
        <w:jc w:val="center"/>
        <w:rPr>
          <w:color w:val="auto"/>
        </w:rPr>
      </w:pPr>
      <w:r>
        <w:rPr>
          <w:rFonts w:ascii="黑体" w:hAnsi="黑体" w:eastAsia="黑体" w:cs="黑体"/>
          <w:color w:val="auto"/>
          <w:spacing w:val="-3"/>
          <w:sz w:val="30"/>
          <w:szCs w:val="30"/>
        </w:rPr>
        <w:t>四、生态环境影响分析</w:t>
      </w:r>
    </w:p>
    <w:tbl>
      <w:tblPr>
        <w:tblStyle w:val="31"/>
        <w:tblW w:w="9744"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452"/>
        <w:gridCol w:w="9139"/>
        <w:gridCol w:w="11"/>
        <w:gridCol w:w="14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887" w:hRule="atLeast"/>
        </w:trPr>
        <w:tc>
          <w:tcPr>
            <w:tcW w:w="452" w:type="dxa"/>
            <w:tcBorders>
              <w:right w:val="single" w:color="000000" w:sz="2" w:space="0"/>
            </w:tcBorders>
            <w:textDirection w:val="tbRlV"/>
            <w:vAlign w:val="top"/>
          </w:tcPr>
          <w:p>
            <w:pPr>
              <w:spacing w:before="132" w:line="217" w:lineRule="auto"/>
              <w:ind w:left="4979"/>
              <w:rPr>
                <w:rFonts w:ascii="宋体" w:hAnsi="宋体" w:eastAsia="宋体" w:cs="宋体"/>
                <w:b/>
                <w:bCs/>
                <w:color w:val="auto"/>
                <w:sz w:val="24"/>
                <w:szCs w:val="24"/>
              </w:rPr>
            </w:pPr>
            <w:r>
              <w:rPr>
                <w:rFonts w:ascii="宋体" w:hAnsi="宋体" w:eastAsia="宋体" w:cs="宋体"/>
                <w:b/>
                <w:bCs/>
                <w:color w:val="auto"/>
                <w:spacing w:val="8"/>
                <w:sz w:val="24"/>
                <w:szCs w:val="24"/>
              </w:rPr>
              <w:t>施</w:t>
            </w:r>
            <w:r>
              <w:rPr>
                <w:rFonts w:ascii="宋体" w:hAnsi="宋体" w:eastAsia="宋体" w:cs="宋体"/>
                <w:b/>
                <w:bCs/>
                <w:color w:val="auto"/>
                <w:spacing w:val="-30"/>
                <w:sz w:val="24"/>
                <w:szCs w:val="24"/>
              </w:rPr>
              <w:t xml:space="preserve"> </w:t>
            </w:r>
            <w:r>
              <w:rPr>
                <w:rFonts w:ascii="宋体" w:hAnsi="宋体" w:eastAsia="宋体" w:cs="宋体"/>
                <w:b/>
                <w:bCs/>
                <w:color w:val="auto"/>
                <w:spacing w:val="8"/>
                <w:sz w:val="24"/>
                <w:szCs w:val="24"/>
              </w:rPr>
              <w:t>工</w:t>
            </w:r>
            <w:r>
              <w:rPr>
                <w:rFonts w:ascii="宋体" w:hAnsi="宋体" w:eastAsia="宋体" w:cs="宋体"/>
                <w:b/>
                <w:bCs/>
                <w:color w:val="auto"/>
                <w:spacing w:val="-38"/>
                <w:sz w:val="24"/>
                <w:szCs w:val="24"/>
              </w:rPr>
              <w:t xml:space="preserve"> </w:t>
            </w:r>
            <w:r>
              <w:rPr>
                <w:rFonts w:ascii="宋体" w:hAnsi="宋体" w:eastAsia="宋体" w:cs="宋体"/>
                <w:b/>
                <w:bCs/>
                <w:color w:val="auto"/>
                <w:spacing w:val="8"/>
                <w:sz w:val="24"/>
                <w:szCs w:val="24"/>
              </w:rPr>
              <w:t>期</w:t>
            </w:r>
            <w:r>
              <w:rPr>
                <w:rFonts w:ascii="宋体" w:hAnsi="宋体" w:eastAsia="宋体" w:cs="宋体"/>
                <w:b/>
                <w:bCs/>
                <w:color w:val="auto"/>
                <w:spacing w:val="-35"/>
                <w:sz w:val="24"/>
                <w:szCs w:val="24"/>
              </w:rPr>
              <w:t xml:space="preserve"> </w:t>
            </w:r>
            <w:r>
              <w:rPr>
                <w:rFonts w:ascii="宋体" w:hAnsi="宋体" w:eastAsia="宋体" w:cs="宋体"/>
                <w:b/>
                <w:bCs/>
                <w:color w:val="auto"/>
                <w:spacing w:val="8"/>
                <w:sz w:val="24"/>
                <w:szCs w:val="24"/>
              </w:rPr>
              <w:t>生</w:t>
            </w:r>
            <w:r>
              <w:rPr>
                <w:rFonts w:ascii="宋体" w:hAnsi="宋体" w:eastAsia="宋体" w:cs="宋体"/>
                <w:b/>
                <w:bCs/>
                <w:color w:val="auto"/>
                <w:spacing w:val="-38"/>
                <w:sz w:val="24"/>
                <w:szCs w:val="24"/>
              </w:rPr>
              <w:t xml:space="preserve"> </w:t>
            </w:r>
            <w:r>
              <w:rPr>
                <w:rFonts w:ascii="宋体" w:hAnsi="宋体" w:eastAsia="宋体" w:cs="宋体"/>
                <w:b/>
                <w:bCs/>
                <w:color w:val="auto"/>
                <w:spacing w:val="8"/>
                <w:sz w:val="24"/>
                <w:szCs w:val="24"/>
              </w:rPr>
              <w:t>态</w:t>
            </w:r>
            <w:r>
              <w:rPr>
                <w:rFonts w:ascii="宋体" w:hAnsi="宋体" w:eastAsia="宋体" w:cs="宋体"/>
                <w:b/>
                <w:bCs/>
                <w:color w:val="auto"/>
                <w:spacing w:val="-35"/>
                <w:sz w:val="24"/>
                <w:szCs w:val="24"/>
              </w:rPr>
              <w:t xml:space="preserve"> </w:t>
            </w:r>
            <w:r>
              <w:rPr>
                <w:rFonts w:ascii="宋体" w:hAnsi="宋体" w:eastAsia="宋体" w:cs="宋体"/>
                <w:b/>
                <w:bCs/>
                <w:color w:val="auto"/>
                <w:spacing w:val="8"/>
                <w:sz w:val="24"/>
                <w:szCs w:val="24"/>
              </w:rPr>
              <w:t>环</w:t>
            </w:r>
            <w:r>
              <w:rPr>
                <w:rFonts w:ascii="宋体" w:hAnsi="宋体" w:eastAsia="宋体" w:cs="宋体"/>
                <w:b/>
                <w:bCs/>
                <w:color w:val="auto"/>
                <w:spacing w:val="-35"/>
                <w:sz w:val="24"/>
                <w:szCs w:val="24"/>
              </w:rPr>
              <w:t xml:space="preserve"> </w:t>
            </w:r>
            <w:r>
              <w:rPr>
                <w:rFonts w:ascii="宋体" w:hAnsi="宋体" w:eastAsia="宋体" w:cs="宋体"/>
                <w:b/>
                <w:bCs/>
                <w:color w:val="auto"/>
                <w:spacing w:val="8"/>
                <w:sz w:val="24"/>
                <w:szCs w:val="24"/>
              </w:rPr>
              <w:t>境</w:t>
            </w:r>
            <w:r>
              <w:rPr>
                <w:rFonts w:ascii="宋体" w:hAnsi="宋体" w:eastAsia="宋体" w:cs="宋体"/>
                <w:b/>
                <w:bCs/>
                <w:color w:val="auto"/>
                <w:spacing w:val="-38"/>
                <w:sz w:val="24"/>
                <w:szCs w:val="24"/>
              </w:rPr>
              <w:t xml:space="preserve"> </w:t>
            </w:r>
            <w:r>
              <w:rPr>
                <w:rFonts w:ascii="宋体" w:hAnsi="宋体" w:eastAsia="宋体" w:cs="宋体"/>
                <w:b/>
                <w:bCs/>
                <w:color w:val="auto"/>
                <w:spacing w:val="8"/>
                <w:sz w:val="24"/>
                <w:szCs w:val="24"/>
              </w:rPr>
              <w:t>影</w:t>
            </w:r>
            <w:r>
              <w:rPr>
                <w:rFonts w:ascii="宋体" w:hAnsi="宋体" w:eastAsia="宋体" w:cs="宋体"/>
                <w:b/>
                <w:bCs/>
                <w:color w:val="auto"/>
                <w:spacing w:val="-37"/>
                <w:sz w:val="24"/>
                <w:szCs w:val="24"/>
              </w:rPr>
              <w:t xml:space="preserve"> </w:t>
            </w:r>
            <w:r>
              <w:rPr>
                <w:rFonts w:ascii="宋体" w:hAnsi="宋体" w:eastAsia="宋体" w:cs="宋体"/>
                <w:b/>
                <w:bCs/>
                <w:color w:val="auto"/>
                <w:spacing w:val="8"/>
                <w:sz w:val="24"/>
                <w:szCs w:val="24"/>
              </w:rPr>
              <w:t>响</w:t>
            </w:r>
            <w:r>
              <w:rPr>
                <w:rFonts w:ascii="宋体" w:hAnsi="宋体" w:eastAsia="宋体" w:cs="宋体"/>
                <w:b/>
                <w:bCs/>
                <w:color w:val="auto"/>
                <w:spacing w:val="-36"/>
                <w:sz w:val="24"/>
                <w:szCs w:val="24"/>
              </w:rPr>
              <w:t xml:space="preserve"> </w:t>
            </w:r>
            <w:r>
              <w:rPr>
                <w:rFonts w:ascii="宋体" w:hAnsi="宋体" w:eastAsia="宋体" w:cs="宋体"/>
                <w:b/>
                <w:bCs/>
                <w:color w:val="auto"/>
                <w:spacing w:val="8"/>
                <w:sz w:val="24"/>
                <w:szCs w:val="24"/>
              </w:rPr>
              <w:t>分</w:t>
            </w:r>
            <w:r>
              <w:rPr>
                <w:rFonts w:ascii="宋体" w:hAnsi="宋体" w:eastAsia="宋体" w:cs="宋体"/>
                <w:b/>
                <w:bCs/>
                <w:color w:val="auto"/>
                <w:spacing w:val="-37"/>
                <w:sz w:val="24"/>
                <w:szCs w:val="24"/>
              </w:rPr>
              <w:t xml:space="preserve"> </w:t>
            </w:r>
            <w:r>
              <w:rPr>
                <w:rFonts w:ascii="宋体" w:hAnsi="宋体" w:eastAsia="宋体" w:cs="宋体"/>
                <w:b/>
                <w:bCs/>
                <w:color w:val="auto"/>
                <w:spacing w:val="8"/>
                <w:sz w:val="24"/>
                <w:szCs w:val="24"/>
              </w:rPr>
              <w:t>析</w:t>
            </w:r>
          </w:p>
        </w:tc>
        <w:tc>
          <w:tcPr>
            <w:tcW w:w="9292" w:type="dxa"/>
            <w:gridSpan w:val="3"/>
            <w:tcBorders>
              <w:left w:val="single" w:color="000000" w:sz="2" w:space="0"/>
            </w:tcBorders>
            <w:vAlign w:val="top"/>
          </w:tcPr>
          <w:p>
            <w:pPr>
              <w:keepNext w:val="0"/>
              <w:keepLines w:val="0"/>
              <w:pageBreakBefore w:val="0"/>
              <w:widowControl w:val="0"/>
              <w:kinsoku/>
              <w:wordWrap/>
              <w:overflowPunct/>
              <w:topLinePunct w:val="0"/>
              <w:autoSpaceDE/>
              <w:autoSpaceDN/>
              <w:bidi w:val="0"/>
              <w:adjustRightInd/>
              <w:snapToGrid/>
              <w:spacing w:before="0" w:beforeLines="50" w:line="360" w:lineRule="auto"/>
              <w:ind w:left="0" w:right="0" w:firstLine="460" w:firstLineChars="200"/>
              <w:textAlignment w:val="auto"/>
              <w:rPr>
                <w:rFonts w:ascii="宋体" w:hAnsi="宋体" w:eastAsia="宋体" w:cs="宋体"/>
                <w:color w:val="auto"/>
                <w:sz w:val="24"/>
                <w:szCs w:val="24"/>
              </w:rPr>
            </w:pPr>
            <w:r>
              <w:rPr>
                <w:rFonts w:ascii="Times New Roman" w:hAnsi="Times New Roman" w:eastAsia="Times New Roman" w:cs="Times New Roman"/>
                <w:color w:val="auto"/>
                <w:spacing w:val="-5"/>
                <w:sz w:val="24"/>
                <w:szCs w:val="24"/>
              </w:rPr>
              <w:t>1</w:t>
            </w:r>
            <w:r>
              <w:rPr>
                <w:rFonts w:ascii="宋体" w:hAnsi="宋体" w:eastAsia="宋体" w:cs="宋体"/>
                <w:color w:val="auto"/>
                <w:spacing w:val="-5"/>
                <w:sz w:val="24"/>
                <w:szCs w:val="24"/>
              </w:rPr>
              <w:t>、施工期生态环境影响</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ascii="宋体" w:hAnsi="宋体" w:eastAsia="宋体" w:cs="宋体"/>
                <w:color w:val="auto"/>
                <w:sz w:val="24"/>
                <w:szCs w:val="24"/>
              </w:rPr>
            </w:pPr>
            <w:r>
              <w:rPr>
                <w:rFonts w:ascii="宋体" w:hAnsi="宋体" w:eastAsia="宋体" w:cs="宋体"/>
                <w:color w:val="auto"/>
                <w:spacing w:val="-1"/>
                <w:sz w:val="24"/>
                <w:szCs w:val="24"/>
              </w:rPr>
              <w:t>本工程施工过程中将进行土石方的填挖，</w:t>
            </w:r>
            <w:r>
              <w:rPr>
                <w:rFonts w:ascii="宋体" w:hAnsi="宋体" w:eastAsia="宋体" w:cs="宋体"/>
                <w:color w:val="auto"/>
                <w:spacing w:val="-3"/>
                <w:sz w:val="24"/>
                <w:szCs w:val="24"/>
              </w:rPr>
              <w:t>不仅需要动用土石方，</w:t>
            </w:r>
            <w:r>
              <w:rPr>
                <w:rFonts w:ascii="宋体" w:hAnsi="宋体" w:eastAsia="宋体" w:cs="宋体"/>
                <w:color w:val="auto"/>
                <w:spacing w:val="3"/>
                <w:sz w:val="24"/>
                <w:szCs w:val="24"/>
              </w:rPr>
              <w:t>而且有大量的施工机械及人员活动。施工期对区域生态环境的影响</w:t>
            </w:r>
            <w:r>
              <w:rPr>
                <w:rFonts w:ascii="宋体" w:hAnsi="宋体" w:eastAsia="宋体" w:cs="宋体"/>
                <w:color w:val="auto"/>
                <w:spacing w:val="2"/>
                <w:sz w:val="24"/>
                <w:szCs w:val="24"/>
              </w:rPr>
              <w:t>主要表</w:t>
            </w:r>
            <w:r>
              <w:rPr>
                <w:rFonts w:ascii="宋体" w:hAnsi="宋体" w:eastAsia="宋体" w:cs="宋体"/>
                <w:color w:val="auto"/>
                <w:spacing w:val="3"/>
                <w:sz w:val="24"/>
                <w:szCs w:val="24"/>
              </w:rPr>
              <w:t>现为工程占地对土地利用的影响；土壤扰动后，地表植被破坏；施</w:t>
            </w:r>
            <w:r>
              <w:rPr>
                <w:rFonts w:ascii="宋体" w:hAnsi="宋体" w:eastAsia="宋体" w:cs="宋体"/>
                <w:color w:val="auto"/>
                <w:spacing w:val="2"/>
                <w:sz w:val="24"/>
                <w:szCs w:val="24"/>
              </w:rPr>
              <w:t>工噪声</w:t>
            </w:r>
            <w:r>
              <w:rPr>
                <w:rFonts w:ascii="宋体" w:hAnsi="宋体" w:eastAsia="宋体" w:cs="宋体"/>
                <w:color w:val="auto"/>
                <w:spacing w:val="-1"/>
                <w:sz w:val="24"/>
                <w:szCs w:val="24"/>
              </w:rPr>
              <w:t>对当地野生动物栖息环境的影响等。</w:t>
            </w:r>
          </w:p>
          <w:p>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ascii="宋体" w:hAnsi="宋体" w:eastAsia="宋体" w:cs="宋体"/>
                <w:color w:val="auto"/>
                <w:sz w:val="24"/>
                <w:szCs w:val="24"/>
              </w:rPr>
            </w:pPr>
            <w:r>
              <w:rPr>
                <w:rFonts w:ascii="宋体" w:hAnsi="宋体" w:eastAsia="宋体" w:cs="宋体"/>
                <w:color w:val="auto"/>
                <w:spacing w:val="-2"/>
                <w:sz w:val="24"/>
                <w:szCs w:val="24"/>
              </w:rPr>
              <w:t>（</w:t>
            </w:r>
            <w:r>
              <w:rPr>
                <w:rFonts w:ascii="Times New Roman" w:hAnsi="Times New Roman" w:eastAsia="Times New Roman" w:cs="Times New Roman"/>
                <w:color w:val="auto"/>
                <w:spacing w:val="-2"/>
                <w:sz w:val="24"/>
                <w:szCs w:val="24"/>
              </w:rPr>
              <w:t>1</w:t>
            </w:r>
            <w:r>
              <w:rPr>
                <w:rFonts w:ascii="宋体" w:hAnsi="宋体" w:eastAsia="宋体" w:cs="宋体"/>
                <w:color w:val="auto"/>
                <w:spacing w:val="-2"/>
                <w:sz w:val="24"/>
                <w:szCs w:val="24"/>
              </w:rPr>
              <w:t>）工程占地对区域土地利用影响</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ascii="宋体" w:hAnsi="宋体" w:eastAsia="宋体" w:cs="宋体"/>
                <w:color w:val="auto"/>
                <w:sz w:val="24"/>
                <w:szCs w:val="24"/>
              </w:rPr>
            </w:pPr>
            <w:r>
              <w:rPr>
                <w:rFonts w:ascii="宋体" w:hAnsi="宋体" w:eastAsia="宋体" w:cs="宋体"/>
                <w:color w:val="auto"/>
                <w:spacing w:val="-1"/>
                <w:sz w:val="24"/>
                <w:szCs w:val="24"/>
              </w:rPr>
              <w:t>①永久占地对土地利用的影响</w:t>
            </w:r>
          </w:p>
          <w:p>
            <w:pPr>
              <w:keepNext w:val="0"/>
              <w:keepLines w:val="0"/>
              <w:pageBreakBefore w:val="0"/>
              <w:widowControl w:val="0"/>
              <w:kinsoku/>
              <w:wordWrap/>
              <w:overflowPunct/>
              <w:topLinePunct w:val="0"/>
              <w:autoSpaceDE/>
              <w:autoSpaceDN/>
              <w:bidi w:val="0"/>
              <w:adjustRightInd/>
              <w:snapToGrid/>
              <w:spacing w:line="360" w:lineRule="auto"/>
              <w:ind w:left="0" w:right="0" w:firstLine="492" w:firstLineChars="200"/>
              <w:textAlignment w:val="auto"/>
              <w:rPr>
                <w:rFonts w:ascii="宋体" w:hAnsi="宋体" w:eastAsia="宋体" w:cs="宋体"/>
                <w:color w:val="auto"/>
                <w:sz w:val="24"/>
                <w:szCs w:val="24"/>
              </w:rPr>
            </w:pPr>
            <w:r>
              <w:rPr>
                <w:rFonts w:ascii="宋体" w:hAnsi="宋体" w:eastAsia="宋体" w:cs="宋体"/>
                <w:color w:val="auto"/>
                <w:spacing w:val="3"/>
                <w:sz w:val="24"/>
                <w:szCs w:val="24"/>
              </w:rPr>
              <w:t>工程永久占地主要为新增占地具有长期性和不可逆性的特点，但从整个评价区来看，</w:t>
            </w:r>
            <w:r>
              <w:rPr>
                <w:rFonts w:hint="eastAsia" w:ascii="宋体" w:hAnsi="宋体" w:eastAsia="宋体" w:cs="宋体"/>
                <w:color w:val="auto"/>
                <w:spacing w:val="3"/>
                <w:sz w:val="24"/>
                <w:szCs w:val="24"/>
                <w:lang w:val="en-US" w:eastAsia="zh-CN"/>
              </w:rPr>
              <w:t>由于本项目为线路送出工程，</w:t>
            </w:r>
            <w:r>
              <w:rPr>
                <w:rFonts w:ascii="宋体" w:hAnsi="宋体" w:eastAsia="宋体" w:cs="宋体"/>
                <w:color w:val="auto"/>
                <w:spacing w:val="3"/>
                <w:sz w:val="24"/>
                <w:szCs w:val="24"/>
              </w:rPr>
              <w:t>新增</w:t>
            </w:r>
            <w:r>
              <w:rPr>
                <w:rFonts w:hint="eastAsia" w:ascii="宋体" w:hAnsi="宋体" w:eastAsia="宋体" w:cs="宋体"/>
                <w:color w:val="auto"/>
                <w:spacing w:val="3"/>
                <w:sz w:val="24"/>
                <w:szCs w:val="24"/>
                <w:lang w:val="en-US" w:eastAsia="zh-CN"/>
              </w:rPr>
              <w:t>永久</w:t>
            </w:r>
            <w:r>
              <w:rPr>
                <w:rFonts w:ascii="宋体" w:hAnsi="宋体" w:eastAsia="宋体" w:cs="宋体"/>
                <w:color w:val="auto"/>
                <w:spacing w:val="2"/>
                <w:sz w:val="24"/>
                <w:szCs w:val="24"/>
              </w:rPr>
              <w:t>占地面</w:t>
            </w:r>
            <w:r>
              <w:rPr>
                <w:rFonts w:ascii="宋体" w:hAnsi="宋体" w:eastAsia="宋体" w:cs="宋体"/>
                <w:color w:val="auto"/>
                <w:spacing w:val="-1"/>
                <w:sz w:val="24"/>
                <w:szCs w:val="24"/>
              </w:rPr>
              <w:t>积相对较小，不会对评价区的土地利用格局造成显著影响。</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ascii="宋体" w:hAnsi="宋体" w:eastAsia="宋体" w:cs="宋体"/>
                <w:color w:val="auto"/>
                <w:sz w:val="24"/>
                <w:szCs w:val="24"/>
              </w:rPr>
            </w:pPr>
            <w:r>
              <w:rPr>
                <w:rFonts w:ascii="宋体" w:hAnsi="宋体" w:eastAsia="宋体" w:cs="宋体"/>
                <w:color w:val="auto"/>
                <w:spacing w:val="-1"/>
                <w:sz w:val="24"/>
                <w:szCs w:val="24"/>
              </w:rPr>
              <w:t>②临时占地对土地利用的影响</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ascii="宋体" w:hAnsi="宋体" w:eastAsia="宋体" w:cs="宋体"/>
                <w:color w:val="auto"/>
                <w:sz w:val="24"/>
                <w:szCs w:val="24"/>
              </w:rPr>
            </w:pPr>
            <w:r>
              <w:rPr>
                <w:rFonts w:ascii="宋体" w:hAnsi="宋体" w:eastAsia="宋体" w:cs="宋体"/>
                <w:color w:val="auto"/>
                <w:spacing w:val="-1"/>
                <w:sz w:val="24"/>
                <w:szCs w:val="24"/>
              </w:rPr>
              <w:t>工程临时占地主要为通往各风机的施工道路、风机机组吊装临时用地</w:t>
            </w:r>
            <w:r>
              <w:rPr>
                <w:rFonts w:ascii="宋体" w:hAnsi="宋体" w:eastAsia="宋体" w:cs="宋体"/>
                <w:color w:val="auto"/>
                <w:spacing w:val="3"/>
                <w:sz w:val="24"/>
                <w:szCs w:val="24"/>
              </w:rPr>
              <w:t>和施工期临时生产及生活设施租地等，其特点具有短期和可逆性。</w:t>
            </w:r>
            <w:r>
              <w:rPr>
                <w:rFonts w:ascii="宋体" w:hAnsi="宋体" w:eastAsia="宋体" w:cs="宋体"/>
                <w:color w:val="auto"/>
                <w:spacing w:val="2"/>
                <w:sz w:val="24"/>
                <w:szCs w:val="24"/>
              </w:rPr>
              <w:t>本次工</w:t>
            </w:r>
            <w:r>
              <w:rPr>
                <w:rFonts w:ascii="宋体" w:hAnsi="宋体" w:eastAsia="宋体" w:cs="宋体"/>
                <w:color w:val="auto"/>
                <w:spacing w:val="-4"/>
                <w:sz w:val="24"/>
                <w:szCs w:val="24"/>
              </w:rPr>
              <w:t>程临时性占用的土地类型均为一般农用地，在</w:t>
            </w:r>
            <w:r>
              <w:rPr>
                <w:rFonts w:ascii="宋体" w:hAnsi="宋体" w:eastAsia="宋体" w:cs="宋体"/>
                <w:color w:val="auto"/>
                <w:spacing w:val="-5"/>
                <w:sz w:val="24"/>
                <w:szCs w:val="24"/>
              </w:rPr>
              <w:t>施工期间</w:t>
            </w:r>
            <w:r>
              <w:rPr>
                <w:rFonts w:ascii="宋体" w:hAnsi="宋体" w:eastAsia="宋体" w:cs="宋体"/>
                <w:color w:val="auto"/>
                <w:spacing w:val="-3"/>
                <w:sz w:val="24"/>
                <w:szCs w:val="24"/>
              </w:rPr>
              <w:t>内土地原利用功能将丧失，针对临时占地产生的影响，项目采取如下措施：</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ascii="宋体" w:hAnsi="宋体" w:eastAsia="宋体" w:cs="宋体"/>
                <w:color w:val="auto"/>
                <w:sz w:val="24"/>
                <w:szCs w:val="24"/>
              </w:rPr>
            </w:pPr>
            <w:r>
              <w:rPr>
                <w:rFonts w:ascii="Times New Roman" w:hAnsi="Times New Roman" w:eastAsia="Times New Roman" w:cs="Times New Roman"/>
                <w:color w:val="auto"/>
                <w:spacing w:val="-1"/>
                <w:sz w:val="24"/>
                <w:szCs w:val="24"/>
              </w:rPr>
              <w:t>a</w:t>
            </w:r>
            <w:r>
              <w:rPr>
                <w:rFonts w:hint="eastAsia" w:ascii="Times New Roman" w:hAnsi="Times New Roman" w:eastAsia="宋体" w:cs="Times New Roman"/>
                <w:color w:val="auto"/>
                <w:spacing w:val="-4"/>
                <w:sz w:val="24"/>
                <w:szCs w:val="24"/>
                <w:lang w:eastAsia="zh-CN"/>
              </w:rPr>
              <w:t>.</w:t>
            </w:r>
            <w:r>
              <w:rPr>
                <w:rFonts w:ascii="宋体" w:hAnsi="宋体" w:eastAsia="宋体" w:cs="宋体"/>
                <w:color w:val="auto"/>
                <w:spacing w:val="-1"/>
                <w:sz w:val="24"/>
                <w:szCs w:val="24"/>
              </w:rPr>
              <w:t>严格按照设计文件确定征占土地范围，进行地表植被</w:t>
            </w:r>
            <w:r>
              <w:rPr>
                <w:rFonts w:ascii="宋体" w:hAnsi="宋体" w:eastAsia="宋体" w:cs="宋体"/>
                <w:color w:val="auto"/>
                <w:spacing w:val="-2"/>
                <w:sz w:val="24"/>
                <w:szCs w:val="24"/>
              </w:rPr>
              <w:t>的清理工作。</w:t>
            </w:r>
          </w:p>
          <w:p>
            <w:pPr>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textAlignment w:val="auto"/>
              <w:rPr>
                <w:rFonts w:ascii="宋体" w:hAnsi="宋体" w:eastAsia="宋体" w:cs="宋体"/>
                <w:color w:val="auto"/>
                <w:spacing w:val="-1"/>
                <w:sz w:val="24"/>
                <w:szCs w:val="24"/>
              </w:rPr>
            </w:pPr>
            <w:r>
              <w:rPr>
                <w:rFonts w:hint="eastAsia" w:ascii="Times New Roman" w:hAnsi="Times New Roman" w:eastAsia="宋体" w:cs="Times New Roman"/>
                <w:color w:val="auto"/>
                <w:spacing w:val="-4"/>
                <w:sz w:val="24"/>
                <w:szCs w:val="24"/>
                <w:lang w:eastAsia="zh-CN"/>
              </w:rPr>
              <w:t>b.</w:t>
            </w:r>
            <w:r>
              <w:rPr>
                <w:rFonts w:ascii="宋体" w:hAnsi="宋体" w:eastAsia="宋体" w:cs="宋体"/>
                <w:color w:val="auto"/>
                <w:spacing w:val="-4"/>
                <w:sz w:val="24"/>
                <w:szCs w:val="24"/>
              </w:rPr>
              <w:t>基础、电缆沟等开挖时，应将表土层与地下层</w:t>
            </w:r>
            <w:r>
              <w:rPr>
                <w:rFonts w:ascii="宋体" w:hAnsi="宋体" w:eastAsia="宋体" w:cs="宋体"/>
                <w:color w:val="auto"/>
                <w:spacing w:val="-5"/>
                <w:sz w:val="24"/>
                <w:szCs w:val="24"/>
              </w:rPr>
              <w:t>分层开挖，单独收集</w:t>
            </w:r>
            <w:r>
              <w:rPr>
                <w:rFonts w:ascii="宋体" w:hAnsi="宋体" w:eastAsia="宋体" w:cs="宋体"/>
                <w:color w:val="auto"/>
                <w:spacing w:val="-1"/>
                <w:sz w:val="24"/>
                <w:szCs w:val="24"/>
              </w:rPr>
              <w:t>并保存，堆放在施工场地边角且不影响施工作业处，用于今后的植被恢复</w:t>
            </w:r>
            <w:r>
              <w:rPr>
                <w:rFonts w:ascii="宋体" w:hAnsi="宋体" w:eastAsia="宋体" w:cs="宋体"/>
                <w:color w:val="auto"/>
                <w:spacing w:val="3"/>
                <w:sz w:val="24"/>
                <w:szCs w:val="24"/>
              </w:rPr>
              <w:t>覆土，以恢复土壤</w:t>
            </w:r>
            <w:r>
              <w:rPr>
                <w:rFonts w:hint="eastAsia" w:ascii="宋体" w:hAnsi="宋体" w:eastAsia="宋体" w:cs="宋体"/>
                <w:color w:val="auto"/>
                <w:spacing w:val="3"/>
                <w:sz w:val="24"/>
                <w:szCs w:val="24"/>
                <w:lang w:val="en-US" w:eastAsia="zh-CN"/>
              </w:rPr>
              <w:t>肥力</w:t>
            </w:r>
            <w:r>
              <w:rPr>
                <w:rFonts w:ascii="宋体" w:hAnsi="宋体" w:eastAsia="宋体" w:cs="宋体"/>
                <w:color w:val="auto"/>
                <w:spacing w:val="3"/>
                <w:sz w:val="24"/>
                <w:szCs w:val="24"/>
              </w:rPr>
              <w:t>，临时堆放场地采取措施，设土袋挡土</w:t>
            </w:r>
            <w:r>
              <w:rPr>
                <w:rFonts w:ascii="宋体" w:hAnsi="宋体" w:eastAsia="宋体" w:cs="宋体"/>
                <w:color w:val="auto"/>
                <w:spacing w:val="2"/>
                <w:sz w:val="24"/>
                <w:szCs w:val="24"/>
              </w:rPr>
              <w:t>、表层覆盖</w:t>
            </w:r>
            <w:r>
              <w:rPr>
                <w:rFonts w:ascii="宋体" w:hAnsi="宋体" w:eastAsia="宋体" w:cs="宋体"/>
                <w:color w:val="auto"/>
                <w:spacing w:val="1"/>
                <w:sz w:val="24"/>
                <w:szCs w:val="24"/>
              </w:rPr>
              <w:t>草垫或苫盖纤维布等其他覆盖物，以减少水土流失现象发生，施工结束</w:t>
            </w:r>
            <w:r>
              <w:rPr>
                <w:rFonts w:ascii="宋体" w:hAnsi="宋体" w:eastAsia="宋体" w:cs="宋体"/>
                <w:color w:val="auto"/>
                <w:spacing w:val="-1"/>
                <w:sz w:val="24"/>
                <w:szCs w:val="24"/>
              </w:rPr>
              <w:t>后，临时占地应立即覆土以备后续复耕，改建施工道路在施工结束后作为</w:t>
            </w:r>
            <w:r>
              <w:rPr>
                <w:rFonts w:hint="eastAsia" w:ascii="宋体" w:hAnsi="宋体" w:eastAsia="宋体" w:cs="宋体"/>
                <w:color w:val="auto"/>
                <w:spacing w:val="-1"/>
                <w:sz w:val="24"/>
                <w:szCs w:val="24"/>
                <w:lang w:eastAsia="zh-CN"/>
              </w:rPr>
              <w:t>储能站</w:t>
            </w:r>
            <w:r>
              <w:rPr>
                <w:rFonts w:ascii="宋体" w:hAnsi="宋体" w:eastAsia="宋体" w:cs="宋体"/>
                <w:color w:val="auto"/>
                <w:spacing w:val="-1"/>
                <w:sz w:val="24"/>
                <w:szCs w:val="24"/>
              </w:rPr>
              <w:t>内检修道路，道路两侧进行植被恢复。</w:t>
            </w:r>
          </w:p>
          <w:p>
            <w:pPr>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textAlignment w:val="auto"/>
              <w:rPr>
                <w:rFonts w:ascii="宋体" w:hAnsi="宋体" w:eastAsia="宋体" w:cs="宋体"/>
                <w:color w:val="auto"/>
                <w:sz w:val="24"/>
                <w:szCs w:val="24"/>
              </w:rPr>
            </w:pPr>
            <w:r>
              <w:rPr>
                <w:rFonts w:hint="eastAsia" w:ascii="Times New Roman" w:hAnsi="Times New Roman" w:eastAsia="宋体" w:cs="Times New Roman"/>
                <w:color w:val="auto"/>
                <w:spacing w:val="-4"/>
                <w:sz w:val="24"/>
                <w:szCs w:val="24"/>
                <w:lang w:eastAsia="zh-CN"/>
              </w:rPr>
              <w:t>c.</w:t>
            </w:r>
            <w:r>
              <w:rPr>
                <w:rFonts w:ascii="宋体" w:hAnsi="宋体" w:eastAsia="宋体" w:cs="宋体"/>
                <w:color w:val="auto"/>
                <w:spacing w:val="-4"/>
                <w:sz w:val="24"/>
                <w:szCs w:val="24"/>
              </w:rPr>
              <w:t>工程施工过程中，不允许将工程临时废渣随处乱排，厂内运输车辆</w:t>
            </w:r>
            <w:r>
              <w:rPr>
                <w:rFonts w:ascii="宋体" w:hAnsi="宋体" w:eastAsia="宋体" w:cs="宋体"/>
                <w:color w:val="auto"/>
                <w:spacing w:val="-1"/>
                <w:sz w:val="24"/>
                <w:szCs w:val="24"/>
              </w:rPr>
              <w:t>严格按照指定道路行驶，不得驶入干渠及破坏渠边植被。</w:t>
            </w:r>
          </w:p>
          <w:p>
            <w:pPr>
              <w:keepNext w:val="0"/>
              <w:keepLines w:val="0"/>
              <w:pageBreakBefore w:val="0"/>
              <w:widowControl w:val="0"/>
              <w:kinsoku/>
              <w:wordWrap/>
              <w:overflowPunct/>
              <w:topLinePunct w:val="0"/>
              <w:autoSpaceDE/>
              <w:autoSpaceDN/>
              <w:bidi w:val="0"/>
              <w:adjustRightInd/>
              <w:snapToGrid/>
              <w:spacing w:line="360" w:lineRule="auto"/>
              <w:ind w:left="0" w:right="0" w:firstLine="460" w:firstLineChars="200"/>
              <w:textAlignment w:val="auto"/>
              <w:rPr>
                <w:rFonts w:ascii="宋体" w:hAnsi="宋体" w:eastAsia="宋体" w:cs="宋体"/>
                <w:color w:val="auto"/>
                <w:spacing w:val="-2"/>
                <w:sz w:val="24"/>
                <w:szCs w:val="24"/>
              </w:rPr>
            </w:pPr>
            <w:r>
              <w:rPr>
                <w:rFonts w:hint="eastAsia" w:ascii="Times New Roman" w:hAnsi="Times New Roman" w:eastAsia="宋体" w:cs="Times New Roman"/>
                <w:color w:val="auto"/>
                <w:spacing w:val="-5"/>
                <w:sz w:val="24"/>
                <w:szCs w:val="24"/>
                <w:lang w:eastAsia="zh-CN"/>
              </w:rPr>
              <w:t>d.</w:t>
            </w:r>
            <w:r>
              <w:rPr>
                <w:rFonts w:ascii="宋体" w:hAnsi="宋体" w:eastAsia="宋体" w:cs="宋体"/>
                <w:color w:val="auto"/>
                <w:spacing w:val="-5"/>
                <w:sz w:val="24"/>
                <w:szCs w:val="24"/>
              </w:rPr>
              <w:t>施工营区等临时建筑尽可能采用成品或简易拼装方式，尽量减轻对</w:t>
            </w:r>
            <w:r>
              <w:rPr>
                <w:rFonts w:ascii="宋体" w:hAnsi="宋体" w:eastAsia="宋体" w:cs="宋体"/>
                <w:color w:val="auto"/>
                <w:spacing w:val="-2"/>
                <w:sz w:val="24"/>
                <w:szCs w:val="24"/>
              </w:rPr>
              <w:t>土壤及植被的破坏。</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ascii="宋体" w:hAnsi="宋体" w:eastAsia="宋体" w:cs="宋体"/>
                <w:color w:val="auto"/>
                <w:sz w:val="24"/>
                <w:szCs w:val="24"/>
              </w:rPr>
            </w:pPr>
            <w:r>
              <w:rPr>
                <w:rFonts w:ascii="Times New Roman" w:hAnsi="Times New Roman" w:eastAsia="Times New Roman" w:cs="Times New Roman"/>
                <w:color w:val="auto"/>
                <w:spacing w:val="-1"/>
                <w:sz w:val="24"/>
                <w:szCs w:val="24"/>
              </w:rPr>
              <w:t>e</w:t>
            </w:r>
            <w:r>
              <w:rPr>
                <w:rFonts w:hint="eastAsia" w:ascii="Times New Roman" w:hAnsi="Times New Roman" w:eastAsia="宋体" w:cs="Times New Roman"/>
                <w:color w:val="auto"/>
                <w:spacing w:val="-4"/>
                <w:sz w:val="24"/>
                <w:szCs w:val="24"/>
                <w:lang w:eastAsia="zh-CN"/>
              </w:rPr>
              <w:t>.</w:t>
            </w:r>
            <w:r>
              <w:rPr>
                <w:rFonts w:hint="eastAsia" w:ascii="宋体" w:hAnsi="宋体" w:eastAsia="宋体" w:cs="宋体"/>
                <w:color w:val="auto"/>
                <w:spacing w:val="-1"/>
                <w:sz w:val="24"/>
                <w:szCs w:val="24"/>
                <w:lang w:val="en-US" w:eastAsia="zh-CN"/>
              </w:rPr>
              <w:t>线路区</w:t>
            </w:r>
            <w:r>
              <w:rPr>
                <w:rFonts w:ascii="宋体" w:hAnsi="宋体" w:eastAsia="宋体" w:cs="宋体"/>
                <w:color w:val="auto"/>
                <w:spacing w:val="-1"/>
                <w:sz w:val="24"/>
                <w:szCs w:val="24"/>
              </w:rPr>
              <w:t>等因施工破坏而造成的土地</w:t>
            </w:r>
            <w:r>
              <w:rPr>
                <w:rFonts w:ascii="宋体" w:hAnsi="宋体" w:eastAsia="宋体" w:cs="宋体"/>
                <w:color w:val="auto"/>
                <w:spacing w:val="-2"/>
                <w:sz w:val="24"/>
                <w:szCs w:val="24"/>
              </w:rPr>
              <w:t>裸露（包括场界外</w:t>
            </w:r>
            <w:r>
              <w:rPr>
                <w:rFonts w:ascii="宋体" w:hAnsi="宋体" w:eastAsia="宋体" w:cs="宋体"/>
                <w:color w:val="auto"/>
                <w:spacing w:val="-30"/>
                <w:sz w:val="24"/>
                <w:szCs w:val="24"/>
              </w:rPr>
              <w:t>），</w:t>
            </w:r>
            <w:r>
              <w:rPr>
                <w:rFonts w:ascii="宋体" w:hAnsi="宋体" w:eastAsia="宋体" w:cs="宋体"/>
                <w:color w:val="auto"/>
                <w:spacing w:val="4"/>
                <w:sz w:val="24"/>
                <w:szCs w:val="24"/>
              </w:rPr>
              <w:t>应在施工结束后立即整治恢复，区域周围应当进</w:t>
            </w:r>
            <w:r>
              <w:rPr>
                <w:rFonts w:ascii="宋体" w:hAnsi="宋体" w:eastAsia="宋体" w:cs="宋体"/>
                <w:color w:val="auto"/>
                <w:spacing w:val="3"/>
                <w:sz w:val="24"/>
                <w:szCs w:val="24"/>
              </w:rPr>
              <w:t>行土地平整，</w:t>
            </w:r>
            <w:r>
              <w:rPr>
                <w:rFonts w:ascii="宋体" w:hAnsi="宋体" w:eastAsia="宋体" w:cs="宋体"/>
                <w:color w:val="auto"/>
                <w:spacing w:val="-1"/>
                <w:sz w:val="24"/>
                <w:szCs w:val="24"/>
              </w:rPr>
              <w:t>达到耕种条件后交还农民进行复耕。</w:t>
            </w:r>
          </w:p>
          <w:p>
            <w:pPr>
              <w:keepNext w:val="0"/>
              <w:keepLines w:val="0"/>
              <w:pageBreakBefore w:val="0"/>
              <w:widowControl w:val="0"/>
              <w:kinsoku/>
              <w:wordWrap/>
              <w:overflowPunct/>
              <w:topLinePunct w:val="0"/>
              <w:autoSpaceDE/>
              <w:autoSpaceDN/>
              <w:bidi w:val="0"/>
              <w:adjustRightInd/>
              <w:snapToGrid/>
              <w:spacing w:line="360" w:lineRule="auto"/>
              <w:ind w:left="0" w:right="0" w:firstLine="468" w:firstLineChars="200"/>
              <w:textAlignment w:val="auto"/>
              <w:rPr>
                <w:rFonts w:ascii="宋体" w:hAnsi="宋体" w:eastAsia="宋体" w:cs="宋体"/>
                <w:color w:val="auto"/>
                <w:sz w:val="24"/>
                <w:szCs w:val="24"/>
              </w:rPr>
            </w:pPr>
            <w:r>
              <w:rPr>
                <w:rFonts w:hint="eastAsia" w:ascii="Times New Roman" w:hAnsi="Times New Roman" w:eastAsia="宋体" w:cs="Times New Roman"/>
                <w:color w:val="auto"/>
                <w:spacing w:val="-3"/>
                <w:sz w:val="24"/>
                <w:szCs w:val="24"/>
                <w:lang w:eastAsia="zh-CN"/>
              </w:rPr>
              <w:t>f.</w:t>
            </w:r>
            <w:r>
              <w:rPr>
                <w:rFonts w:ascii="宋体" w:hAnsi="宋体" w:eastAsia="宋体" w:cs="宋体"/>
                <w:color w:val="auto"/>
                <w:spacing w:val="-3"/>
                <w:sz w:val="24"/>
                <w:szCs w:val="24"/>
              </w:rPr>
              <w:t>塔基开挖的土方最终平铺于风</w:t>
            </w:r>
            <w:r>
              <w:rPr>
                <w:rFonts w:ascii="宋体" w:hAnsi="宋体" w:eastAsia="宋体" w:cs="宋体"/>
                <w:color w:val="auto"/>
                <w:spacing w:val="-4"/>
                <w:sz w:val="24"/>
                <w:szCs w:val="24"/>
              </w:rPr>
              <w:t>机基础及塔基永久占地范</w:t>
            </w:r>
            <w:r>
              <w:rPr>
                <w:rFonts w:ascii="宋体" w:hAnsi="宋体" w:eastAsia="宋体" w:cs="宋体"/>
                <w:color w:val="auto"/>
                <w:spacing w:val="-3"/>
                <w:sz w:val="24"/>
                <w:szCs w:val="24"/>
              </w:rPr>
              <w:t>围内，本项目不设弃土场。</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ascii="宋体" w:hAnsi="宋体" w:eastAsia="宋体" w:cs="宋体"/>
                <w:color w:val="auto"/>
                <w:sz w:val="24"/>
                <w:szCs w:val="24"/>
              </w:rPr>
            </w:pPr>
            <w:r>
              <w:rPr>
                <w:rFonts w:ascii="宋体" w:hAnsi="宋体" w:eastAsia="宋体" w:cs="宋体"/>
                <w:color w:val="auto"/>
                <w:spacing w:val="-1"/>
                <w:sz w:val="24"/>
                <w:szCs w:val="24"/>
              </w:rPr>
              <w:t>临时占地影响是短暂的，对土地利用功能的影响相对来讲是较小的。</w:t>
            </w:r>
          </w:p>
          <w:p>
            <w:pPr>
              <w:pStyle w:val="5"/>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2" w:type="dxa"/>
          <w:trHeight w:val="13807" w:hRule="atLeast"/>
        </w:trPr>
        <w:tc>
          <w:tcPr>
            <w:tcW w:w="452" w:type="dxa"/>
            <w:tcBorders>
              <w:right w:val="single" w:color="000000" w:sz="2" w:space="0"/>
            </w:tcBorders>
            <w:vAlign w:val="top"/>
          </w:tcPr>
          <w:p>
            <w:pPr>
              <w:rPr>
                <w:rFonts w:ascii="Arial"/>
                <w:color w:val="auto"/>
                <w:sz w:val="21"/>
              </w:rPr>
            </w:pPr>
          </w:p>
        </w:tc>
        <w:tc>
          <w:tcPr>
            <w:tcW w:w="9150" w:type="dxa"/>
            <w:gridSpan w:val="2"/>
            <w:tcBorders>
              <w:left w:val="single" w:color="000000" w:sz="2" w:space="0"/>
            </w:tcBorders>
            <w:vAlign w:val="top"/>
          </w:tcPr>
          <w:p>
            <w:pPr>
              <w:keepNext w:val="0"/>
              <w:keepLines w:val="0"/>
              <w:pageBreakBefore w:val="0"/>
              <w:widowControl w:val="0"/>
              <w:kinsoku/>
              <w:wordWrap/>
              <w:overflowPunct/>
              <w:topLinePunct w:val="0"/>
              <w:autoSpaceDE/>
              <w:autoSpaceDN/>
              <w:bidi w:val="0"/>
              <w:adjustRightInd/>
              <w:snapToGrid/>
              <w:spacing w:line="360" w:lineRule="auto"/>
              <w:ind w:left="0" w:right="0" w:firstLine="468" w:firstLineChars="200"/>
              <w:textAlignment w:val="auto"/>
              <w:rPr>
                <w:rFonts w:ascii="宋体" w:hAnsi="宋体" w:eastAsia="宋体" w:cs="宋体"/>
                <w:color w:val="auto"/>
                <w:sz w:val="24"/>
                <w:szCs w:val="24"/>
              </w:rPr>
            </w:pPr>
            <w:r>
              <w:rPr>
                <w:rFonts w:ascii="宋体" w:hAnsi="宋体" w:eastAsia="宋体" w:cs="宋体"/>
                <w:color w:val="auto"/>
                <w:spacing w:val="-3"/>
                <w:sz w:val="24"/>
                <w:szCs w:val="24"/>
              </w:rPr>
              <w:t>（</w:t>
            </w:r>
            <w:r>
              <w:rPr>
                <w:rFonts w:ascii="Times New Roman" w:hAnsi="Times New Roman" w:eastAsia="Times New Roman" w:cs="Times New Roman"/>
                <w:color w:val="auto"/>
                <w:spacing w:val="-3"/>
                <w:sz w:val="24"/>
                <w:szCs w:val="24"/>
              </w:rPr>
              <w:t>2</w:t>
            </w:r>
            <w:r>
              <w:rPr>
                <w:rFonts w:ascii="宋体" w:hAnsi="宋体" w:eastAsia="宋体" w:cs="宋体"/>
                <w:color w:val="auto"/>
                <w:spacing w:val="-3"/>
                <w:sz w:val="24"/>
                <w:szCs w:val="24"/>
              </w:rPr>
              <w:t>）对植被的影响</w:t>
            </w:r>
          </w:p>
          <w:p>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ascii="宋体" w:hAnsi="宋体" w:eastAsia="宋体" w:cs="宋体"/>
                <w:color w:val="auto"/>
                <w:sz w:val="24"/>
                <w:szCs w:val="24"/>
              </w:rPr>
            </w:pPr>
            <w:r>
              <w:rPr>
                <w:rFonts w:ascii="宋体" w:hAnsi="宋体" w:eastAsia="宋体" w:cs="宋体"/>
                <w:color w:val="auto"/>
                <w:spacing w:val="-2"/>
                <w:sz w:val="24"/>
                <w:szCs w:val="24"/>
              </w:rPr>
              <w:t>本项目</w:t>
            </w:r>
            <w:r>
              <w:rPr>
                <w:rFonts w:ascii="宋体" w:hAnsi="宋体" w:eastAsia="宋体" w:cs="宋体"/>
                <w:color w:val="auto"/>
                <w:spacing w:val="-1"/>
                <w:sz w:val="24"/>
                <w:szCs w:val="24"/>
              </w:rPr>
              <w:t>除永久占地外，施工临时占地在施工结束后将</w:t>
            </w:r>
            <w:r>
              <w:rPr>
                <w:rFonts w:ascii="宋体" w:hAnsi="宋体" w:eastAsia="宋体" w:cs="宋体"/>
                <w:color w:val="auto"/>
                <w:spacing w:val="-2"/>
                <w:sz w:val="24"/>
                <w:szCs w:val="24"/>
              </w:rPr>
              <w:t>采取植被恢复措</w:t>
            </w:r>
            <w:r>
              <w:rPr>
                <w:rFonts w:ascii="宋体" w:hAnsi="宋体" w:eastAsia="宋体" w:cs="宋体"/>
                <w:color w:val="auto"/>
                <w:spacing w:val="-3"/>
                <w:sz w:val="24"/>
                <w:szCs w:val="24"/>
              </w:rPr>
              <w:t>施，临时占地主要为水浇地，种植作物主要为玉米和桃树等，施工结束后，</w:t>
            </w:r>
            <w:r>
              <w:rPr>
                <w:rFonts w:ascii="宋体" w:hAnsi="宋体" w:eastAsia="宋体" w:cs="宋体"/>
                <w:color w:val="auto"/>
                <w:spacing w:val="3"/>
                <w:sz w:val="24"/>
                <w:szCs w:val="24"/>
              </w:rPr>
              <w:t>对施工场地原土回填，进行复耕，种植当地优势作物，移植树种等</w:t>
            </w:r>
            <w:r>
              <w:rPr>
                <w:rFonts w:ascii="宋体" w:hAnsi="宋体" w:eastAsia="宋体" w:cs="宋体"/>
                <w:color w:val="auto"/>
                <w:spacing w:val="2"/>
                <w:sz w:val="24"/>
                <w:szCs w:val="24"/>
              </w:rPr>
              <w:t>方式进</w:t>
            </w:r>
            <w:r>
              <w:rPr>
                <w:rFonts w:ascii="宋体" w:hAnsi="宋体" w:eastAsia="宋体" w:cs="宋体"/>
                <w:color w:val="auto"/>
                <w:spacing w:val="4"/>
                <w:sz w:val="24"/>
                <w:szCs w:val="24"/>
              </w:rPr>
              <w:t>行生态恢复，评价区域内绝大部分的植被面积和植被类型没</w:t>
            </w:r>
            <w:r>
              <w:rPr>
                <w:rFonts w:ascii="宋体" w:hAnsi="宋体" w:eastAsia="宋体" w:cs="宋体"/>
                <w:color w:val="auto"/>
                <w:spacing w:val="3"/>
                <w:sz w:val="24"/>
                <w:szCs w:val="24"/>
              </w:rPr>
              <w:t>有发生变化，对本区域内生态环境起控制作用的组分未变动，工程建设对区域生</w:t>
            </w:r>
            <w:r>
              <w:rPr>
                <w:rFonts w:ascii="宋体" w:hAnsi="宋体" w:eastAsia="宋体" w:cs="宋体"/>
                <w:color w:val="auto"/>
                <w:spacing w:val="2"/>
                <w:sz w:val="24"/>
                <w:szCs w:val="24"/>
              </w:rPr>
              <w:t>态系统</w:t>
            </w:r>
            <w:r>
              <w:rPr>
                <w:rFonts w:ascii="宋体" w:hAnsi="宋体" w:eastAsia="宋体" w:cs="宋体"/>
                <w:color w:val="auto"/>
                <w:spacing w:val="-2"/>
                <w:sz w:val="24"/>
                <w:szCs w:val="24"/>
              </w:rPr>
              <w:t>影响轻微。</w:t>
            </w:r>
          </w:p>
          <w:p>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ascii="宋体" w:hAnsi="宋体" w:eastAsia="宋体" w:cs="宋体"/>
                <w:color w:val="auto"/>
                <w:sz w:val="24"/>
                <w:szCs w:val="24"/>
              </w:rPr>
            </w:pPr>
            <w:r>
              <w:rPr>
                <w:rFonts w:ascii="宋体" w:hAnsi="宋体" w:eastAsia="宋体" w:cs="宋体"/>
                <w:color w:val="auto"/>
                <w:spacing w:val="-2"/>
                <w:sz w:val="24"/>
                <w:szCs w:val="24"/>
              </w:rPr>
              <w:t>（</w:t>
            </w:r>
            <w:r>
              <w:rPr>
                <w:rFonts w:ascii="Times New Roman" w:hAnsi="Times New Roman" w:eastAsia="Times New Roman" w:cs="Times New Roman"/>
                <w:color w:val="auto"/>
                <w:spacing w:val="-2"/>
                <w:sz w:val="24"/>
                <w:szCs w:val="24"/>
              </w:rPr>
              <w:t>3</w:t>
            </w:r>
            <w:r>
              <w:rPr>
                <w:rFonts w:ascii="宋体" w:hAnsi="宋体" w:eastAsia="宋体" w:cs="宋体"/>
                <w:color w:val="auto"/>
                <w:spacing w:val="-2"/>
                <w:sz w:val="24"/>
                <w:szCs w:val="24"/>
              </w:rPr>
              <w:t>）对野生动物的影响</w:t>
            </w:r>
          </w:p>
          <w:p>
            <w:pPr>
              <w:keepNext w:val="0"/>
              <w:keepLines w:val="0"/>
              <w:pageBreakBefore w:val="0"/>
              <w:widowControl w:val="0"/>
              <w:kinsoku/>
              <w:wordWrap/>
              <w:overflowPunct/>
              <w:topLinePunct w:val="0"/>
              <w:autoSpaceDE/>
              <w:autoSpaceDN/>
              <w:bidi w:val="0"/>
              <w:adjustRightInd/>
              <w:snapToGrid/>
              <w:spacing w:line="360" w:lineRule="auto"/>
              <w:ind w:left="0" w:right="0" w:firstLine="492" w:firstLineChars="200"/>
              <w:textAlignment w:val="auto"/>
              <w:rPr>
                <w:rFonts w:ascii="宋体" w:hAnsi="宋体" w:eastAsia="宋体" w:cs="宋体"/>
                <w:color w:val="auto"/>
                <w:sz w:val="24"/>
                <w:szCs w:val="24"/>
              </w:rPr>
            </w:pPr>
            <w:r>
              <w:rPr>
                <w:rFonts w:ascii="宋体" w:hAnsi="宋体" w:eastAsia="宋体" w:cs="宋体"/>
                <w:color w:val="auto"/>
                <w:spacing w:val="3"/>
                <w:sz w:val="24"/>
                <w:szCs w:val="24"/>
              </w:rPr>
              <w:t>本项目占地范围内的野生动物主要有鸟类中麻雀、喜鹊、燕子等留鸟和田鼠、青蛙等陆生动物。人工饲养动物主要为兔、狗等</w:t>
            </w:r>
            <w:r>
              <w:rPr>
                <w:rFonts w:ascii="宋体" w:hAnsi="宋体" w:eastAsia="宋体" w:cs="宋体"/>
                <w:color w:val="auto"/>
                <w:spacing w:val="2"/>
                <w:sz w:val="24"/>
                <w:szCs w:val="24"/>
              </w:rPr>
              <w:t>。本项目不在候</w:t>
            </w:r>
            <w:r>
              <w:rPr>
                <w:rFonts w:ascii="宋体" w:hAnsi="宋体" w:eastAsia="宋体" w:cs="宋体"/>
                <w:color w:val="auto"/>
                <w:spacing w:val="-1"/>
                <w:sz w:val="24"/>
                <w:szCs w:val="24"/>
              </w:rPr>
              <w:t>鸟迁徙通道上，无候鸟飞过。</w:t>
            </w:r>
          </w:p>
          <w:p>
            <w:pPr>
              <w:keepNext w:val="0"/>
              <w:keepLines w:val="0"/>
              <w:pageBreakBefore w:val="0"/>
              <w:widowControl w:val="0"/>
              <w:kinsoku/>
              <w:wordWrap/>
              <w:overflowPunct/>
              <w:topLinePunct w:val="0"/>
              <w:autoSpaceDE/>
              <w:autoSpaceDN/>
              <w:bidi w:val="0"/>
              <w:adjustRightInd/>
              <w:snapToGrid/>
              <w:spacing w:line="360" w:lineRule="auto"/>
              <w:ind w:left="0" w:right="0" w:firstLine="492" w:firstLineChars="200"/>
              <w:jc w:val="both"/>
              <w:textAlignment w:val="auto"/>
              <w:rPr>
                <w:rFonts w:ascii="宋体" w:hAnsi="宋体" w:eastAsia="宋体" w:cs="宋体"/>
                <w:color w:val="auto"/>
                <w:sz w:val="24"/>
                <w:szCs w:val="24"/>
              </w:rPr>
            </w:pPr>
            <w:r>
              <w:rPr>
                <w:rFonts w:ascii="宋体" w:hAnsi="宋体" w:eastAsia="宋体" w:cs="宋体"/>
                <w:color w:val="auto"/>
                <w:spacing w:val="3"/>
                <w:sz w:val="24"/>
                <w:szCs w:val="24"/>
              </w:rPr>
              <w:t>施工机械噪声和人员活动噪声是对野生动物影响的主要影响因素。各种施工机械，如运输车辆、推土机、挖掘机等均会产生的声，虽</w:t>
            </w:r>
            <w:r>
              <w:rPr>
                <w:rFonts w:ascii="宋体" w:hAnsi="宋体" w:eastAsia="宋体" w:cs="宋体"/>
                <w:color w:val="auto"/>
                <w:spacing w:val="2"/>
                <w:sz w:val="24"/>
                <w:szCs w:val="24"/>
              </w:rPr>
              <w:t>然这些施</w:t>
            </w:r>
            <w:r>
              <w:rPr>
                <w:rFonts w:ascii="宋体" w:hAnsi="宋体" w:eastAsia="宋体" w:cs="宋体"/>
                <w:color w:val="auto"/>
                <w:spacing w:val="3"/>
                <w:sz w:val="24"/>
                <w:szCs w:val="24"/>
              </w:rPr>
              <w:t>工噪声属非连续排放，但由于噪声源多为裸露声源，故其噪声</w:t>
            </w:r>
            <w:r>
              <w:rPr>
                <w:rFonts w:hint="eastAsia" w:ascii="宋体" w:hAnsi="宋体" w:eastAsia="宋体" w:cs="宋体"/>
                <w:color w:val="auto"/>
                <w:spacing w:val="3"/>
                <w:sz w:val="24"/>
                <w:szCs w:val="24"/>
                <w:lang w:eastAsia="zh-CN"/>
              </w:rPr>
              <w:t>辐射</w:t>
            </w:r>
            <w:r>
              <w:rPr>
                <w:rFonts w:ascii="宋体" w:hAnsi="宋体" w:eastAsia="宋体" w:cs="宋体"/>
                <w:color w:val="auto"/>
                <w:spacing w:val="2"/>
                <w:sz w:val="24"/>
                <w:szCs w:val="24"/>
              </w:rPr>
              <w:t>范围及</w:t>
            </w:r>
            <w:r>
              <w:rPr>
                <w:rFonts w:ascii="宋体" w:hAnsi="宋体" w:eastAsia="宋体" w:cs="宋体"/>
                <w:color w:val="auto"/>
                <w:spacing w:val="-2"/>
                <w:sz w:val="24"/>
                <w:szCs w:val="24"/>
              </w:rPr>
              <w:t>影响相对较大。</w:t>
            </w:r>
          </w:p>
          <w:p>
            <w:pPr>
              <w:keepNext w:val="0"/>
              <w:keepLines w:val="0"/>
              <w:pageBreakBefore w:val="0"/>
              <w:widowControl w:val="0"/>
              <w:kinsoku/>
              <w:wordWrap/>
              <w:overflowPunct/>
              <w:topLinePunct w:val="0"/>
              <w:autoSpaceDE/>
              <w:autoSpaceDN/>
              <w:bidi w:val="0"/>
              <w:adjustRightInd/>
              <w:snapToGrid/>
              <w:spacing w:line="360" w:lineRule="auto"/>
              <w:ind w:left="0" w:right="0" w:firstLine="492" w:firstLineChars="200"/>
              <w:textAlignment w:val="auto"/>
              <w:rPr>
                <w:rFonts w:ascii="宋体" w:hAnsi="宋体" w:eastAsia="宋体" w:cs="宋体"/>
                <w:color w:val="auto"/>
                <w:sz w:val="24"/>
                <w:szCs w:val="24"/>
              </w:rPr>
            </w:pPr>
            <w:r>
              <w:rPr>
                <w:rFonts w:ascii="宋体" w:hAnsi="宋体" w:eastAsia="宋体" w:cs="宋体"/>
                <w:color w:val="auto"/>
                <w:spacing w:val="3"/>
                <w:sz w:val="24"/>
                <w:szCs w:val="24"/>
              </w:rPr>
              <w:t>预计在施工期，本区的野生动物都将产生规避反应，远离这一地区，特别是鸟类，其栖息环境需要相对安静，因此本区的鸟类受到的</w:t>
            </w:r>
            <w:r>
              <w:rPr>
                <w:rFonts w:ascii="宋体" w:hAnsi="宋体" w:eastAsia="宋体" w:cs="宋体"/>
                <w:color w:val="auto"/>
                <w:spacing w:val="2"/>
                <w:sz w:val="24"/>
                <w:szCs w:val="24"/>
              </w:rPr>
              <w:t>影响将比</w:t>
            </w:r>
            <w:r>
              <w:rPr>
                <w:rFonts w:ascii="宋体" w:hAnsi="宋体" w:eastAsia="宋体" w:cs="宋体"/>
                <w:color w:val="auto"/>
                <w:spacing w:val="3"/>
                <w:sz w:val="24"/>
                <w:szCs w:val="24"/>
              </w:rPr>
              <w:t>较大。由于施工场地相对于该区域建设基地面积较小，项目的建</w:t>
            </w:r>
            <w:r>
              <w:rPr>
                <w:rFonts w:ascii="宋体" w:hAnsi="宋体" w:eastAsia="宋体" w:cs="宋体"/>
                <w:color w:val="auto"/>
                <w:spacing w:val="2"/>
                <w:sz w:val="24"/>
                <w:szCs w:val="24"/>
              </w:rPr>
              <w:t>设只是在</w:t>
            </w:r>
            <w:r>
              <w:rPr>
                <w:rFonts w:ascii="宋体" w:hAnsi="宋体" w:eastAsia="宋体" w:cs="宋体"/>
                <w:color w:val="auto"/>
                <w:spacing w:val="3"/>
                <w:sz w:val="24"/>
                <w:szCs w:val="24"/>
              </w:rPr>
              <w:t>小范围内暂时改变了部分动物的栖息环境，不会引起物种消失和</w:t>
            </w:r>
            <w:r>
              <w:rPr>
                <w:rFonts w:ascii="宋体" w:hAnsi="宋体" w:eastAsia="宋体" w:cs="宋体"/>
                <w:color w:val="auto"/>
                <w:spacing w:val="2"/>
                <w:sz w:val="24"/>
                <w:szCs w:val="24"/>
              </w:rPr>
              <w:t>生物多样</w:t>
            </w:r>
            <w:r>
              <w:rPr>
                <w:rFonts w:ascii="宋体" w:hAnsi="宋体" w:eastAsia="宋体" w:cs="宋体"/>
                <w:color w:val="auto"/>
                <w:spacing w:val="3"/>
                <w:sz w:val="24"/>
                <w:szCs w:val="24"/>
              </w:rPr>
              <w:t>性的减少，而且施工期较短，影响相对短暂，随着施工的结束这</w:t>
            </w:r>
            <w:r>
              <w:rPr>
                <w:rFonts w:ascii="宋体" w:hAnsi="宋体" w:eastAsia="宋体" w:cs="宋体"/>
                <w:color w:val="auto"/>
                <w:spacing w:val="2"/>
                <w:sz w:val="24"/>
                <w:szCs w:val="24"/>
              </w:rPr>
              <w:t>种影响也</w:t>
            </w:r>
            <w:r>
              <w:rPr>
                <w:rFonts w:ascii="宋体" w:hAnsi="宋体" w:eastAsia="宋体" w:cs="宋体"/>
                <w:color w:val="auto"/>
                <w:spacing w:val="-1"/>
                <w:sz w:val="24"/>
                <w:szCs w:val="24"/>
              </w:rPr>
              <w:t>将消失，野生动物仍有可能返回它们熟悉的栖息环境。</w:t>
            </w:r>
          </w:p>
          <w:p>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ascii="宋体" w:hAnsi="宋体" w:eastAsia="宋体" w:cs="宋体"/>
                <w:color w:val="auto"/>
                <w:sz w:val="24"/>
                <w:szCs w:val="24"/>
              </w:rPr>
            </w:pPr>
            <w:r>
              <w:rPr>
                <w:rFonts w:ascii="宋体" w:hAnsi="宋体" w:eastAsia="宋体" w:cs="宋体"/>
                <w:color w:val="auto"/>
                <w:spacing w:val="-2"/>
                <w:sz w:val="24"/>
                <w:szCs w:val="24"/>
              </w:rPr>
              <w:t>（</w:t>
            </w:r>
            <w:r>
              <w:rPr>
                <w:rFonts w:ascii="Times New Roman" w:hAnsi="Times New Roman" w:eastAsia="Times New Roman" w:cs="Times New Roman"/>
                <w:color w:val="auto"/>
                <w:spacing w:val="-2"/>
                <w:sz w:val="24"/>
                <w:szCs w:val="24"/>
              </w:rPr>
              <w:t>4</w:t>
            </w:r>
            <w:r>
              <w:rPr>
                <w:rFonts w:ascii="宋体" w:hAnsi="宋体" w:eastAsia="宋体" w:cs="宋体"/>
                <w:color w:val="auto"/>
                <w:spacing w:val="-2"/>
                <w:sz w:val="24"/>
                <w:szCs w:val="24"/>
              </w:rPr>
              <w:t>）对水土流失的影响</w:t>
            </w:r>
          </w:p>
          <w:p>
            <w:pPr>
              <w:keepNext w:val="0"/>
              <w:keepLines w:val="0"/>
              <w:pageBreakBefore w:val="0"/>
              <w:widowControl w:val="0"/>
              <w:kinsoku/>
              <w:wordWrap/>
              <w:overflowPunct/>
              <w:topLinePunct w:val="0"/>
              <w:autoSpaceDE/>
              <w:autoSpaceDN/>
              <w:bidi w:val="0"/>
              <w:adjustRightInd/>
              <w:snapToGrid/>
              <w:spacing w:line="360" w:lineRule="auto"/>
              <w:ind w:left="0" w:right="0" w:firstLine="492" w:firstLineChars="200"/>
              <w:textAlignment w:val="auto"/>
              <w:rPr>
                <w:rFonts w:ascii="宋体" w:hAnsi="宋体" w:eastAsia="宋体" w:cs="宋体"/>
                <w:color w:val="auto"/>
                <w:sz w:val="24"/>
                <w:szCs w:val="24"/>
              </w:rPr>
            </w:pPr>
            <w:r>
              <w:rPr>
                <w:rFonts w:ascii="宋体" w:hAnsi="宋体" w:eastAsia="宋体" w:cs="宋体"/>
                <w:color w:val="auto"/>
                <w:spacing w:val="3"/>
                <w:sz w:val="24"/>
                <w:szCs w:val="24"/>
              </w:rPr>
              <w:t>建设过程中将破坏原生地貌和植被，扰动地表造成水土流失等问题，施工过程中在采取及时洒水、临时堆土及时拦挡覆盖、土</w:t>
            </w:r>
            <w:r>
              <w:rPr>
                <w:rFonts w:ascii="宋体" w:hAnsi="宋体" w:eastAsia="宋体" w:cs="宋体"/>
                <w:color w:val="auto"/>
                <w:spacing w:val="2"/>
                <w:sz w:val="24"/>
                <w:szCs w:val="24"/>
              </w:rPr>
              <w:t>建施工期</w:t>
            </w:r>
            <w:r>
              <w:rPr>
                <w:rFonts w:ascii="宋体" w:hAnsi="宋体" w:eastAsia="宋体" w:cs="宋体"/>
                <w:color w:val="auto"/>
                <w:spacing w:val="3"/>
                <w:sz w:val="24"/>
                <w:szCs w:val="24"/>
              </w:rPr>
              <w:t>间尽量避开强降雨和大风天气、合理安排施工时序、尽量减少地</w:t>
            </w:r>
            <w:r>
              <w:rPr>
                <w:rFonts w:ascii="宋体" w:hAnsi="宋体" w:eastAsia="宋体" w:cs="宋体"/>
                <w:color w:val="auto"/>
                <w:spacing w:val="2"/>
                <w:sz w:val="24"/>
                <w:szCs w:val="24"/>
              </w:rPr>
              <w:t>表裸露面</w:t>
            </w:r>
            <w:r>
              <w:rPr>
                <w:rFonts w:ascii="宋体" w:hAnsi="宋体" w:eastAsia="宋体" w:cs="宋体"/>
                <w:color w:val="auto"/>
                <w:spacing w:val="-1"/>
                <w:sz w:val="24"/>
                <w:szCs w:val="24"/>
              </w:rPr>
              <w:t>积和裸露时间等一系列措施后可将水土流失的危害降到最低。</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42" w:type="dxa"/>
          <w:trHeight w:val="13807" w:hRule="atLeast"/>
        </w:trPr>
        <w:tc>
          <w:tcPr>
            <w:tcW w:w="452" w:type="dxa"/>
            <w:tcBorders>
              <w:right w:val="single" w:color="000000" w:sz="2" w:space="0"/>
            </w:tcBorders>
            <w:vAlign w:val="top"/>
          </w:tcPr>
          <w:p>
            <w:pPr>
              <w:rPr>
                <w:rFonts w:hint="eastAsia" w:ascii="Arial" w:eastAsiaTheme="minorEastAsia"/>
                <w:color w:val="auto"/>
                <w:sz w:val="21"/>
                <w:lang w:val="en-US" w:eastAsia="zh-CN"/>
              </w:rPr>
            </w:pPr>
            <w:r>
              <w:rPr>
                <w:rFonts w:hint="eastAsia" w:ascii="Arial"/>
                <w:color w:val="auto"/>
                <w:sz w:val="21"/>
                <w:lang w:val="en-US" w:eastAsia="zh-CN"/>
              </w:rPr>
              <w:t xml:space="preserve"> </w:t>
            </w:r>
          </w:p>
        </w:tc>
        <w:tc>
          <w:tcPr>
            <w:tcW w:w="9150" w:type="dxa"/>
            <w:gridSpan w:val="2"/>
            <w:tcBorders>
              <w:left w:val="single" w:color="000000" w:sz="2" w:space="0"/>
            </w:tcBorders>
            <w:vAlign w:val="top"/>
          </w:tcPr>
          <w:p>
            <w:pPr>
              <w:spacing w:before="1" w:line="220" w:lineRule="auto"/>
              <w:ind w:left="598"/>
              <w:rPr>
                <w:rFonts w:ascii="宋体" w:hAnsi="宋体" w:eastAsia="宋体" w:cs="宋体"/>
                <w:color w:val="auto"/>
                <w:sz w:val="24"/>
                <w:szCs w:val="24"/>
              </w:rPr>
            </w:pPr>
            <w:r>
              <w:rPr>
                <w:rFonts w:ascii="宋体" w:hAnsi="宋体" w:eastAsia="宋体" w:cs="宋体"/>
                <w:color w:val="auto"/>
                <w:spacing w:val="-2"/>
                <w:sz w:val="24"/>
                <w:szCs w:val="24"/>
              </w:rPr>
              <w:t>（</w:t>
            </w:r>
            <w:r>
              <w:rPr>
                <w:rFonts w:ascii="Times New Roman" w:hAnsi="Times New Roman" w:eastAsia="Times New Roman" w:cs="Times New Roman"/>
                <w:color w:val="auto"/>
                <w:spacing w:val="-2"/>
                <w:sz w:val="24"/>
                <w:szCs w:val="24"/>
              </w:rPr>
              <w:t>5</w:t>
            </w:r>
            <w:r>
              <w:rPr>
                <w:rFonts w:ascii="宋体" w:hAnsi="宋体" w:eastAsia="宋体" w:cs="宋体"/>
                <w:color w:val="auto"/>
                <w:spacing w:val="-2"/>
                <w:sz w:val="24"/>
                <w:szCs w:val="24"/>
              </w:rPr>
              <w:t>）对土地沙化的影响</w:t>
            </w:r>
          </w:p>
          <w:p>
            <w:pPr>
              <w:spacing w:before="171" w:line="354" w:lineRule="auto"/>
              <w:ind w:left="107" w:right="41" w:firstLine="480"/>
              <w:rPr>
                <w:rFonts w:ascii="宋体" w:hAnsi="宋体" w:eastAsia="宋体" w:cs="宋体"/>
                <w:color w:val="auto"/>
                <w:sz w:val="24"/>
                <w:szCs w:val="24"/>
              </w:rPr>
            </w:pPr>
            <w:r>
              <w:rPr>
                <w:rFonts w:ascii="宋体" w:hAnsi="宋体" w:eastAsia="宋体" w:cs="宋体"/>
                <w:color w:val="auto"/>
                <w:spacing w:val="3"/>
                <w:sz w:val="24"/>
                <w:szCs w:val="24"/>
              </w:rPr>
              <w:t>建设施工期间，建设对地表将产生扰动，如不采取水土保持措施，将可能造成损坏原生地表植被，</w:t>
            </w:r>
            <w:r>
              <w:rPr>
                <w:rFonts w:ascii="宋体" w:hAnsi="宋体" w:eastAsia="宋体" w:cs="宋体"/>
                <w:color w:val="auto"/>
                <w:spacing w:val="2"/>
                <w:sz w:val="24"/>
                <w:szCs w:val="24"/>
              </w:rPr>
              <w:t>使大片土</w:t>
            </w:r>
            <w:r>
              <w:rPr>
                <w:rFonts w:ascii="宋体" w:hAnsi="宋体" w:eastAsia="宋体" w:cs="宋体"/>
                <w:color w:val="auto"/>
                <w:spacing w:val="-3"/>
                <w:sz w:val="24"/>
                <w:szCs w:val="24"/>
              </w:rPr>
              <w:t>地裸露，地表疏松，加剧土地退化和沙化，在采取相应的防沙治沙措施后，</w:t>
            </w:r>
            <w:r>
              <w:rPr>
                <w:rFonts w:ascii="宋体" w:hAnsi="宋体" w:eastAsia="宋体" w:cs="宋体"/>
                <w:color w:val="auto"/>
                <w:spacing w:val="-1"/>
                <w:sz w:val="24"/>
                <w:szCs w:val="24"/>
              </w:rPr>
              <w:t>不会造成本项目所在区域土地沙化恶化。</w:t>
            </w:r>
          </w:p>
          <w:p>
            <w:pPr>
              <w:spacing w:line="219" w:lineRule="auto"/>
              <w:ind w:left="598"/>
              <w:rPr>
                <w:rFonts w:ascii="宋体" w:hAnsi="宋体" w:eastAsia="宋体" w:cs="宋体"/>
                <w:color w:val="auto"/>
                <w:sz w:val="24"/>
                <w:szCs w:val="24"/>
              </w:rPr>
            </w:pPr>
            <w:r>
              <w:rPr>
                <w:rFonts w:ascii="宋体" w:hAnsi="宋体" w:eastAsia="宋体" w:cs="宋体"/>
                <w:color w:val="auto"/>
                <w:spacing w:val="-2"/>
                <w:sz w:val="24"/>
                <w:szCs w:val="24"/>
              </w:rPr>
              <w:t>（</w:t>
            </w:r>
            <w:r>
              <w:rPr>
                <w:rFonts w:ascii="Times New Roman" w:hAnsi="Times New Roman" w:eastAsia="Times New Roman" w:cs="Times New Roman"/>
                <w:color w:val="auto"/>
                <w:spacing w:val="-2"/>
                <w:sz w:val="24"/>
                <w:szCs w:val="24"/>
              </w:rPr>
              <w:t>6</w:t>
            </w:r>
            <w:r>
              <w:rPr>
                <w:rFonts w:ascii="宋体" w:hAnsi="宋体" w:eastAsia="宋体" w:cs="宋体"/>
                <w:color w:val="auto"/>
                <w:spacing w:val="-2"/>
                <w:sz w:val="24"/>
                <w:szCs w:val="24"/>
              </w:rPr>
              <w:t>）对区域景观的影响</w:t>
            </w:r>
          </w:p>
          <w:p>
            <w:pPr>
              <w:spacing w:before="175" w:line="354" w:lineRule="auto"/>
              <w:ind w:left="108" w:right="102" w:firstLine="478"/>
              <w:rPr>
                <w:rFonts w:ascii="宋体" w:hAnsi="宋体" w:eastAsia="宋体" w:cs="宋体"/>
                <w:color w:val="auto"/>
                <w:sz w:val="24"/>
                <w:szCs w:val="24"/>
              </w:rPr>
            </w:pPr>
            <w:r>
              <w:rPr>
                <w:rFonts w:ascii="宋体" w:hAnsi="宋体" w:eastAsia="宋体" w:cs="宋体"/>
                <w:color w:val="auto"/>
                <w:spacing w:val="3"/>
                <w:sz w:val="24"/>
                <w:szCs w:val="24"/>
              </w:rPr>
              <w:t>施工期间原有的绿色景观被破坏，取而代之的是机械设备的施工，使原有景观变为施工场地，并有扬尘和噪声产生，施工场地会使</w:t>
            </w:r>
            <w:r>
              <w:rPr>
                <w:rFonts w:ascii="宋体" w:hAnsi="宋体" w:eastAsia="宋体" w:cs="宋体"/>
                <w:color w:val="auto"/>
                <w:spacing w:val="2"/>
                <w:sz w:val="24"/>
                <w:szCs w:val="24"/>
              </w:rPr>
              <w:t>人的视觉美</w:t>
            </w:r>
            <w:r>
              <w:rPr>
                <w:rFonts w:ascii="宋体" w:hAnsi="宋体" w:eastAsia="宋体" w:cs="宋体"/>
                <w:color w:val="auto"/>
                <w:spacing w:val="-1"/>
                <w:sz w:val="24"/>
                <w:szCs w:val="24"/>
              </w:rPr>
              <w:t>感降低，这种影响是暂时的，施工结束影响随之结束。</w:t>
            </w:r>
          </w:p>
          <w:p>
            <w:pPr>
              <w:spacing w:before="5" w:line="320" w:lineRule="auto"/>
              <w:ind w:left="107" w:right="102" w:firstLine="480"/>
              <w:jc w:val="both"/>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2、大气环境影响分析</w:t>
            </w:r>
          </w:p>
          <w:p>
            <w:pPr>
              <w:keepNext w:val="0"/>
              <w:keepLines w:val="0"/>
              <w:pageBreakBefore w:val="0"/>
              <w:widowControl w:val="0"/>
              <w:kinsoku/>
              <w:wordWrap/>
              <w:overflowPunct/>
              <w:topLinePunct w:val="0"/>
              <w:autoSpaceDE/>
              <w:autoSpaceDN/>
              <w:bidi w:val="0"/>
              <w:adjustRightInd/>
              <w:snapToGrid/>
              <w:spacing w:line="360" w:lineRule="auto"/>
              <w:ind w:left="21" w:leftChars="10" w:right="21" w:rightChars="10" w:firstLine="492" w:firstLineChars="200"/>
              <w:textAlignment w:val="auto"/>
              <w:rPr>
                <w:rFonts w:hint="default" w:ascii="Times New Roman" w:hAnsi="Times New Roman" w:eastAsia="宋体" w:cs="Times New Roman"/>
                <w:color w:val="auto"/>
                <w:spacing w:val="3"/>
                <w:sz w:val="24"/>
                <w:szCs w:val="24"/>
              </w:rPr>
            </w:pPr>
            <w:r>
              <w:rPr>
                <w:rFonts w:hint="default" w:ascii="Times New Roman" w:hAnsi="Times New Roman" w:eastAsia="宋体" w:cs="Times New Roman"/>
                <w:color w:val="auto"/>
                <w:spacing w:val="3"/>
                <w:sz w:val="24"/>
                <w:szCs w:val="24"/>
              </w:rPr>
              <w:t>本项目施工阶段扬尘主要来源于：塔基土方挖掘、平整及现场临时堆放，原材料的现场搬运及堆放、施工垃圾的清理及堆放，车辆及施工机械往来造成的道路扬尘以及土方车辆可能存在的遗</w:t>
            </w:r>
            <w:r>
              <w:rPr>
                <w:rFonts w:hint="eastAsia" w:ascii="Times New Roman" w:hAnsi="Times New Roman" w:eastAsia="宋体" w:cs="Times New Roman"/>
                <w:color w:val="auto"/>
                <w:spacing w:val="3"/>
                <w:sz w:val="24"/>
                <w:szCs w:val="24"/>
                <w:lang w:eastAsia="zh-CN"/>
              </w:rPr>
              <w:t>撒</w:t>
            </w:r>
            <w:r>
              <w:rPr>
                <w:rFonts w:hint="default" w:ascii="Times New Roman" w:hAnsi="Times New Roman" w:eastAsia="宋体" w:cs="Times New Roman"/>
                <w:color w:val="auto"/>
                <w:spacing w:val="3"/>
                <w:sz w:val="24"/>
                <w:szCs w:val="24"/>
              </w:rPr>
              <w:t>造成的扬尘等。</w:t>
            </w:r>
          </w:p>
          <w:p>
            <w:pPr>
              <w:keepNext w:val="0"/>
              <w:keepLines w:val="0"/>
              <w:pageBreakBefore w:val="0"/>
              <w:widowControl w:val="0"/>
              <w:kinsoku/>
              <w:wordWrap/>
              <w:overflowPunct/>
              <w:topLinePunct w:val="0"/>
              <w:autoSpaceDE/>
              <w:autoSpaceDN/>
              <w:bidi w:val="0"/>
              <w:adjustRightInd/>
              <w:snapToGrid/>
              <w:spacing w:line="360" w:lineRule="auto"/>
              <w:ind w:left="21" w:leftChars="10" w:right="21" w:rightChars="10" w:firstLine="492" w:firstLineChars="200"/>
              <w:textAlignment w:val="auto"/>
              <w:rPr>
                <w:rFonts w:hint="default" w:ascii="Times New Roman" w:hAnsi="Times New Roman" w:eastAsia="宋体" w:cs="Times New Roman"/>
                <w:color w:val="auto"/>
                <w:spacing w:val="3"/>
                <w:sz w:val="24"/>
                <w:szCs w:val="24"/>
              </w:rPr>
            </w:pPr>
            <w:r>
              <w:rPr>
                <w:rFonts w:hint="default" w:ascii="Times New Roman" w:hAnsi="Times New Roman" w:eastAsia="宋体" w:cs="Times New Roman"/>
                <w:color w:val="auto"/>
                <w:spacing w:val="3"/>
                <w:sz w:val="24"/>
                <w:szCs w:val="24"/>
              </w:rPr>
              <w:t>施工期间产生的粉尘</w:t>
            </w:r>
            <w:r>
              <w:rPr>
                <w:rFonts w:hint="eastAsia" w:ascii="Times New Roman" w:hAnsi="Times New Roman" w:eastAsia="宋体" w:cs="Times New Roman"/>
                <w:color w:val="auto"/>
                <w:spacing w:val="3"/>
                <w:sz w:val="24"/>
                <w:szCs w:val="24"/>
                <w:lang w:eastAsia="zh-CN"/>
              </w:rPr>
              <w:t>（</w:t>
            </w:r>
            <w:r>
              <w:rPr>
                <w:rFonts w:hint="default" w:ascii="Times New Roman" w:hAnsi="Times New Roman" w:eastAsia="宋体" w:cs="Times New Roman"/>
                <w:color w:val="auto"/>
                <w:spacing w:val="3"/>
                <w:sz w:val="24"/>
                <w:szCs w:val="24"/>
              </w:rPr>
              <w:t>扬尘</w:t>
            </w:r>
            <w:r>
              <w:rPr>
                <w:rFonts w:hint="eastAsia" w:ascii="Times New Roman" w:hAnsi="Times New Roman" w:eastAsia="宋体" w:cs="Times New Roman"/>
                <w:color w:val="auto"/>
                <w:spacing w:val="3"/>
                <w:sz w:val="24"/>
                <w:szCs w:val="24"/>
                <w:lang w:eastAsia="zh-CN"/>
              </w:rPr>
              <w:t>）</w:t>
            </w:r>
            <w:r>
              <w:rPr>
                <w:rFonts w:hint="default" w:ascii="Times New Roman" w:hAnsi="Times New Roman" w:eastAsia="宋体" w:cs="Times New Roman"/>
                <w:color w:val="auto"/>
                <w:spacing w:val="3"/>
                <w:sz w:val="24"/>
                <w:szCs w:val="24"/>
              </w:rPr>
              <w:t>受风力因素的影响最大。在一般气象条件下，平均风速为2.5m/s时，建筑工地内TSP</w:t>
            </w:r>
            <w:r>
              <w:rPr>
                <w:rFonts w:hint="eastAsia" w:ascii="Times New Roman" w:hAnsi="Times New Roman" w:eastAsia="宋体" w:cs="Times New Roman"/>
                <w:color w:val="auto"/>
                <w:spacing w:val="3"/>
                <w:sz w:val="24"/>
                <w:szCs w:val="24"/>
                <w:lang w:eastAsia="zh-CN"/>
              </w:rPr>
              <w:t>浓度</w:t>
            </w:r>
            <w:r>
              <w:rPr>
                <w:rFonts w:hint="default" w:ascii="Times New Roman" w:hAnsi="Times New Roman" w:eastAsia="宋体" w:cs="Times New Roman"/>
                <w:color w:val="auto"/>
                <w:spacing w:val="3"/>
                <w:sz w:val="24"/>
                <w:szCs w:val="24"/>
              </w:rPr>
              <w:t>为其上风向对照点的2～2.5倍，影响范围内TSP 浓度平均值可达0.49mg/m</w:t>
            </w:r>
            <w:r>
              <w:rPr>
                <w:rFonts w:hint="default" w:ascii="Times New Roman" w:hAnsi="Times New Roman" w:eastAsia="宋体" w:cs="Times New Roman"/>
                <w:color w:val="auto"/>
                <w:spacing w:val="3"/>
                <w:sz w:val="24"/>
                <w:szCs w:val="24"/>
                <w:vertAlign w:val="superscript"/>
              </w:rPr>
              <w:t>3</w:t>
            </w:r>
            <w:r>
              <w:rPr>
                <w:rFonts w:hint="eastAsia" w:ascii="Times New Roman" w:hAnsi="Times New Roman" w:eastAsia="宋体" w:cs="Times New Roman"/>
                <w:color w:val="auto"/>
                <w:spacing w:val="3"/>
                <w:sz w:val="24"/>
                <w:szCs w:val="24"/>
                <w:vertAlign w:val="superscript"/>
                <w:lang w:eastAsia="zh-CN"/>
              </w:rPr>
              <w:t>（</w:t>
            </w:r>
            <w:r>
              <w:rPr>
                <w:rFonts w:hint="default" w:ascii="Times New Roman" w:hAnsi="Times New Roman" w:eastAsia="宋体" w:cs="Times New Roman"/>
                <w:color w:val="auto"/>
                <w:spacing w:val="3"/>
                <w:sz w:val="24"/>
                <w:szCs w:val="24"/>
              </w:rPr>
              <w:t>相当于空气质量标准的1.6倍</w:t>
            </w:r>
            <w:r>
              <w:rPr>
                <w:rFonts w:hint="eastAsia" w:ascii="Times New Roman" w:hAnsi="Times New Roman" w:eastAsia="宋体" w:cs="Times New Roman"/>
                <w:color w:val="auto"/>
                <w:spacing w:val="3"/>
                <w:sz w:val="24"/>
                <w:szCs w:val="24"/>
                <w:lang w:eastAsia="zh-CN"/>
              </w:rPr>
              <w:t>）</w:t>
            </w:r>
            <w:r>
              <w:rPr>
                <w:rFonts w:hint="default" w:ascii="Times New Roman" w:hAnsi="Times New Roman" w:eastAsia="宋体" w:cs="Times New Roman"/>
                <w:color w:val="auto"/>
                <w:spacing w:val="3"/>
                <w:sz w:val="24"/>
                <w:szCs w:val="24"/>
              </w:rPr>
              <w:t>，但衰减较快，50m处已接近背景值。当有围栏时，在同等条件下，其影响距离可缩短40%。</w:t>
            </w:r>
          </w:p>
          <w:p>
            <w:pPr>
              <w:keepNext w:val="0"/>
              <w:keepLines w:val="0"/>
              <w:pageBreakBefore w:val="0"/>
              <w:widowControl w:val="0"/>
              <w:kinsoku/>
              <w:wordWrap/>
              <w:overflowPunct/>
              <w:topLinePunct w:val="0"/>
              <w:autoSpaceDE/>
              <w:autoSpaceDN/>
              <w:bidi w:val="0"/>
              <w:adjustRightInd/>
              <w:snapToGrid/>
              <w:spacing w:line="360" w:lineRule="auto"/>
              <w:ind w:left="21" w:leftChars="10" w:right="21" w:rightChars="10" w:firstLine="492" w:firstLineChars="200"/>
              <w:textAlignment w:val="auto"/>
              <w:rPr>
                <w:rFonts w:hint="default" w:ascii="Times New Roman" w:hAnsi="Times New Roman" w:eastAsia="宋体" w:cs="Times New Roman"/>
                <w:color w:val="auto"/>
                <w:spacing w:val="3"/>
                <w:sz w:val="24"/>
                <w:szCs w:val="24"/>
              </w:rPr>
            </w:pPr>
            <w:r>
              <w:rPr>
                <w:rFonts w:hint="default" w:ascii="Times New Roman" w:hAnsi="Times New Roman" w:eastAsia="宋体" w:cs="Times New Roman"/>
                <w:color w:val="auto"/>
                <w:spacing w:val="3"/>
                <w:sz w:val="24"/>
                <w:szCs w:val="24"/>
              </w:rPr>
              <w:t>本项目输电线路由于开挖工程量较小，施工时间较短，施工过程中采取防尘、抑尘措施和严格的施工管理等，可将施工扬尘对环境的影响降至最低，满足《</w:t>
            </w:r>
            <w:r>
              <w:rPr>
                <w:rFonts w:hint="eastAsia" w:ascii="Times New Roman" w:hAnsi="Times New Roman" w:eastAsia="宋体" w:cs="Times New Roman"/>
                <w:color w:val="auto"/>
                <w:spacing w:val="3"/>
                <w:sz w:val="24"/>
                <w:szCs w:val="24"/>
                <w:lang w:eastAsia="zh-CN"/>
              </w:rPr>
              <w:t>辽宁省施工及堆料场地扬尘排放标准</w:t>
            </w:r>
            <w:r>
              <w:rPr>
                <w:rFonts w:hint="default" w:ascii="Times New Roman" w:hAnsi="Times New Roman" w:eastAsia="宋体" w:cs="Times New Roman"/>
                <w:color w:val="auto"/>
                <w:spacing w:val="3"/>
                <w:sz w:val="24"/>
                <w:szCs w:val="24"/>
              </w:rPr>
              <w:t>》（DB21/2642-2016）中规定的扬尘排放浓度限值。</w:t>
            </w:r>
          </w:p>
          <w:p>
            <w:pPr>
              <w:keepNext w:val="0"/>
              <w:keepLines w:val="0"/>
              <w:pageBreakBefore w:val="0"/>
              <w:widowControl w:val="0"/>
              <w:kinsoku/>
              <w:wordWrap/>
              <w:overflowPunct/>
              <w:topLinePunct w:val="0"/>
              <w:autoSpaceDE/>
              <w:autoSpaceDN/>
              <w:bidi w:val="0"/>
              <w:adjustRightInd/>
              <w:snapToGrid/>
              <w:spacing w:line="360" w:lineRule="auto"/>
              <w:ind w:left="21" w:leftChars="10" w:right="21" w:rightChars="10" w:firstLine="492" w:firstLineChars="200"/>
              <w:textAlignment w:val="auto"/>
              <w:rPr>
                <w:rFonts w:ascii="宋体" w:hAnsi="宋体" w:eastAsia="宋体" w:cs="宋体"/>
                <w:color w:val="auto"/>
                <w:sz w:val="24"/>
                <w:szCs w:val="24"/>
              </w:rPr>
            </w:pPr>
            <w:r>
              <w:rPr>
                <w:rFonts w:hint="default" w:ascii="Times New Roman" w:hAnsi="Times New Roman" w:eastAsia="宋体" w:cs="Times New Roman"/>
                <w:color w:val="auto"/>
                <w:spacing w:val="3"/>
                <w:sz w:val="24"/>
                <w:szCs w:val="24"/>
              </w:rPr>
              <w:t>预计本项目施工会对周边环境产生不同程度的扬尘影响。建设单位需要采取有效措施，以减少施工扬尘</w:t>
            </w:r>
            <w:r>
              <w:rPr>
                <w:rFonts w:hint="eastAsia" w:ascii="Times New Roman" w:hAnsi="Times New Roman" w:eastAsia="宋体" w:cs="Times New Roman"/>
                <w:color w:val="auto"/>
                <w:spacing w:val="3"/>
                <w:sz w:val="24"/>
                <w:szCs w:val="24"/>
                <w:lang w:eastAsia="zh-CN"/>
              </w:rPr>
              <w:t>对</w:t>
            </w:r>
            <w:r>
              <w:rPr>
                <w:rFonts w:hint="default" w:ascii="Times New Roman" w:hAnsi="Times New Roman" w:eastAsia="宋体" w:cs="Times New Roman"/>
                <w:color w:val="auto"/>
                <w:spacing w:val="3"/>
                <w:sz w:val="24"/>
                <w:szCs w:val="24"/>
              </w:rPr>
              <w:t>周边环境空气的不利影响。施工扬尘影响为短期影响，施工结束后，地区环境空气质量可以恢复至现状水平。</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2"/>
          <w:wAfter w:w="153" w:type="dxa"/>
          <w:trHeight w:val="3907" w:hRule="atLeast"/>
        </w:trPr>
        <w:tc>
          <w:tcPr>
            <w:tcW w:w="452" w:type="dxa"/>
            <w:tcBorders>
              <w:right w:val="single" w:color="000000" w:sz="2" w:space="0"/>
            </w:tcBorders>
            <w:vAlign w:val="top"/>
          </w:tcPr>
          <w:p>
            <w:pPr>
              <w:rPr>
                <w:rFonts w:ascii="Arial"/>
                <w:color w:val="auto"/>
                <w:sz w:val="21"/>
              </w:rPr>
            </w:pPr>
          </w:p>
        </w:tc>
        <w:tc>
          <w:tcPr>
            <w:tcW w:w="9139" w:type="dxa"/>
            <w:tcBorders>
              <w:left w:val="single" w:color="000000" w:sz="2" w:space="0"/>
            </w:tcBorders>
            <w:vAlign w:val="top"/>
          </w:tcPr>
          <w:p>
            <w:pPr>
              <w:spacing w:before="5" w:line="320" w:lineRule="auto"/>
              <w:ind w:left="107" w:right="102" w:firstLine="480"/>
              <w:jc w:val="both"/>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3、水环境影响分析</w:t>
            </w:r>
          </w:p>
          <w:p>
            <w:pPr>
              <w:spacing w:before="1" w:line="353" w:lineRule="auto"/>
              <w:ind w:left="108" w:right="105" w:firstLine="481"/>
              <w:rPr>
                <w:rFonts w:ascii="宋体" w:hAnsi="宋体" w:eastAsia="宋体" w:cs="宋体"/>
                <w:color w:val="auto"/>
                <w:sz w:val="24"/>
                <w:szCs w:val="24"/>
              </w:rPr>
            </w:pPr>
            <w:r>
              <w:rPr>
                <w:rFonts w:hint="eastAsia" w:ascii="宋体" w:hAnsi="宋体" w:eastAsia="宋体" w:cs="宋体"/>
                <w:color w:val="auto"/>
                <w:spacing w:val="-2"/>
                <w:sz w:val="24"/>
                <w:szCs w:val="24"/>
              </w:rPr>
              <w:t>线路施工期废水主要为车辆清洗废水以及施工人员产生的生活污水。施工废水设置沉淀池，车辆清洗废水经沉淀预处理后，回用于降尘喷洒等，不外排。施工人员生活污水依托施工区较近的农村旱厕，定期清掏做农家肥。</w:t>
            </w:r>
          </w:p>
          <w:p>
            <w:pPr>
              <w:spacing w:before="5" w:line="320" w:lineRule="auto"/>
              <w:ind w:left="107" w:right="102" w:firstLine="480"/>
              <w:jc w:val="both"/>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4 、噪声环境影响分析</w:t>
            </w:r>
          </w:p>
          <w:p>
            <w:pPr>
              <w:spacing w:before="1" w:line="353" w:lineRule="auto"/>
              <w:ind w:left="108" w:right="105" w:firstLine="481"/>
              <w:rPr>
                <w:rFonts w:hint="eastAsia" w:ascii="宋体" w:hAnsi="宋体" w:eastAsia="宋体" w:cs="宋体"/>
                <w:color w:val="auto"/>
                <w:spacing w:val="-2"/>
                <w:sz w:val="24"/>
                <w:szCs w:val="24"/>
              </w:rPr>
            </w:pPr>
            <w:r>
              <w:rPr>
                <w:rFonts w:hint="eastAsia" w:ascii="宋体" w:hAnsi="宋体" w:eastAsia="宋体" w:cs="宋体"/>
                <w:color w:val="auto"/>
                <w:spacing w:val="-2"/>
                <w:sz w:val="24"/>
                <w:szCs w:val="24"/>
              </w:rPr>
              <w:t>（1）施工场地主要噪声</w:t>
            </w:r>
          </w:p>
          <w:p>
            <w:pPr>
              <w:spacing w:before="1" w:line="353" w:lineRule="auto"/>
              <w:ind w:left="108" w:right="105" w:firstLine="481"/>
              <w:rPr>
                <w:rFonts w:hint="default" w:ascii="Times New Roman" w:hAnsi="Times New Roman" w:eastAsia="宋体" w:cs="Times New Roman"/>
                <w:color w:val="auto"/>
                <w:spacing w:val="-2"/>
                <w:sz w:val="24"/>
                <w:szCs w:val="24"/>
                <w:lang w:val="en-US" w:eastAsia="en-US"/>
              </w:rPr>
            </w:pPr>
            <w:r>
              <w:rPr>
                <w:rFonts w:hint="default" w:ascii="Times New Roman" w:hAnsi="Times New Roman" w:eastAsia="宋体" w:cs="Times New Roman"/>
                <w:color w:val="auto"/>
                <w:spacing w:val="-2"/>
                <w:sz w:val="24"/>
                <w:szCs w:val="24"/>
                <w:lang w:val="en-US" w:eastAsia="en-US"/>
              </w:rPr>
              <w:t>本工程输变电线路施工期主要噪声源有运输车辆的交通噪声以及基础施工中各种机械的设备运行产生的噪声。施工噪声预测模式根据《环境影响评价技术导则声环境》（</w:t>
            </w:r>
            <w:r>
              <w:rPr>
                <w:rFonts w:hint="eastAsia" w:ascii="Times New Roman" w:hAnsi="Times New Roman" w:eastAsia="宋体" w:cs="Times New Roman"/>
                <w:color w:val="auto"/>
                <w:spacing w:val="-2"/>
                <w:sz w:val="24"/>
                <w:szCs w:val="24"/>
                <w:lang w:val="en-US" w:eastAsia="zh-CN"/>
              </w:rPr>
              <w:t>HJ 2.4-2021</w:t>
            </w:r>
            <w:r>
              <w:rPr>
                <w:rFonts w:hint="default" w:ascii="Times New Roman" w:hAnsi="Times New Roman" w:eastAsia="宋体" w:cs="Times New Roman"/>
                <w:color w:val="auto"/>
                <w:spacing w:val="-2"/>
                <w:sz w:val="24"/>
                <w:szCs w:val="24"/>
                <w:lang w:val="en-US" w:eastAsia="en-US"/>
              </w:rPr>
              <w:t>），施工噪声预测计算公式如下：</w:t>
            </w:r>
          </w:p>
          <w:p>
            <w:pPr>
              <w:widowControl/>
              <w:kinsoku w:val="0"/>
              <w:autoSpaceDE w:val="0"/>
              <w:autoSpaceDN w:val="0"/>
              <w:adjustRightInd w:val="0"/>
              <w:snapToGrid w:val="0"/>
              <w:spacing w:line="840" w:lineRule="exact"/>
              <w:ind w:firstLine="3289"/>
              <w:jc w:val="left"/>
              <w:textAlignment w:val="baseline"/>
              <w:rPr>
                <w:rFonts w:hint="default" w:ascii="Times New Roman" w:hAnsi="Times New Roman" w:eastAsia="Arial" w:cs="Times New Roman"/>
                <w:snapToGrid w:val="0"/>
                <w:color w:val="000000"/>
                <w:kern w:val="0"/>
                <w:szCs w:val="21"/>
                <w:lang w:eastAsia="en-US"/>
              </w:rPr>
            </w:pPr>
            <w:r>
              <w:rPr>
                <w:rFonts w:hint="default" w:ascii="Times New Roman" w:hAnsi="Times New Roman" w:eastAsia="Arial" w:cs="Times New Roman"/>
                <w:snapToGrid w:val="0"/>
                <w:color w:val="000000"/>
                <w:kern w:val="0"/>
                <w:position w:val="-16"/>
                <w:szCs w:val="21"/>
                <w:lang w:eastAsia="en-US"/>
              </w:rPr>
              <w:drawing>
                <wp:inline distT="0" distB="0" distL="0" distR="0">
                  <wp:extent cx="1581785" cy="533400"/>
                  <wp:effectExtent l="0" t="0" r="18415" b="0"/>
                  <wp:docPr id="115" name="IM 26"/>
                  <wp:cNvGraphicFramePr/>
                  <a:graphic xmlns:a="http://schemas.openxmlformats.org/drawingml/2006/main">
                    <a:graphicData uri="http://schemas.openxmlformats.org/drawingml/2006/picture">
                      <pic:pic xmlns:pic="http://schemas.openxmlformats.org/drawingml/2006/picture">
                        <pic:nvPicPr>
                          <pic:cNvPr id="115" name="IM 26"/>
                          <pic:cNvPicPr/>
                        </pic:nvPicPr>
                        <pic:blipFill>
                          <a:blip r:embed="rId44"/>
                          <a:stretch>
                            <a:fillRect/>
                          </a:stretch>
                        </pic:blipFill>
                        <pic:spPr>
                          <a:xfrm>
                            <a:off x="0" y="0"/>
                            <a:ext cx="1581911" cy="533400"/>
                          </a:xfrm>
                          <a:prstGeom prst="rect">
                            <a:avLst/>
                          </a:prstGeom>
                        </pic:spPr>
                      </pic:pic>
                    </a:graphicData>
                  </a:graphic>
                </wp:inline>
              </w:drawing>
            </w:r>
          </w:p>
          <w:p>
            <w:pPr>
              <w:spacing w:before="1" w:line="353" w:lineRule="auto"/>
              <w:ind w:right="105"/>
              <w:rPr>
                <w:rFonts w:hint="default" w:ascii="Times New Roman" w:hAnsi="Times New Roman" w:eastAsia="宋体" w:cs="Times New Roman"/>
                <w:color w:val="auto"/>
                <w:spacing w:val="-2"/>
                <w:sz w:val="24"/>
                <w:szCs w:val="24"/>
                <w:lang w:val="en-US" w:eastAsia="en-US"/>
              </w:rPr>
            </w:pPr>
            <w:r>
              <w:rPr>
                <w:rFonts w:hint="default" w:ascii="Times New Roman" w:hAnsi="Times New Roman" w:eastAsia="宋体" w:cs="Times New Roman"/>
                <w:color w:val="auto"/>
                <w:spacing w:val="-2"/>
                <w:sz w:val="24"/>
                <w:szCs w:val="24"/>
                <w:lang w:val="en-US" w:eastAsia="en-US"/>
              </w:rPr>
              <w:t>式中：L1：为距施工设备 r1（m）处的噪声级，dB；</w:t>
            </w:r>
          </w:p>
          <w:p>
            <w:pPr>
              <w:spacing w:before="1" w:line="353" w:lineRule="auto"/>
              <w:ind w:left="108" w:right="105" w:firstLine="481"/>
              <w:rPr>
                <w:rFonts w:hint="default" w:ascii="Times New Roman" w:hAnsi="Times New Roman" w:eastAsia="宋体" w:cs="Times New Roman"/>
                <w:color w:val="auto"/>
                <w:spacing w:val="-2"/>
                <w:sz w:val="24"/>
                <w:szCs w:val="24"/>
                <w:lang w:val="en-US" w:eastAsia="en-US"/>
              </w:rPr>
            </w:pPr>
            <w:r>
              <w:rPr>
                <w:rFonts w:hint="default" w:ascii="Times New Roman" w:hAnsi="Times New Roman" w:eastAsia="宋体" w:cs="Times New Roman"/>
                <w:color w:val="auto"/>
                <w:spacing w:val="-2"/>
                <w:sz w:val="24"/>
                <w:szCs w:val="24"/>
                <w:lang w:val="en-US" w:eastAsia="en-US"/>
              </w:rPr>
              <w:t>L2 ：为与声源相距 r2（m）处的施工噪声级，dB。距离施工机械不同距离噪声预测结果见表4-1。</w:t>
            </w:r>
          </w:p>
          <w:p>
            <w:pPr>
              <w:kinsoku w:val="0"/>
              <w:autoSpaceDE w:val="0"/>
              <w:autoSpaceDN w:val="0"/>
              <w:adjustRightInd w:val="0"/>
              <w:snapToGrid w:val="0"/>
              <w:spacing w:before="1" w:line="207" w:lineRule="auto"/>
              <w:ind w:left="106" w:firstLine="875" w:firstLineChars="400"/>
              <w:jc w:val="left"/>
              <w:textAlignment w:val="baseline"/>
              <w:rPr>
                <w:rFonts w:ascii="宋体" w:hAnsi="宋体" w:eastAsia="宋体" w:cs="宋体"/>
                <w:b/>
                <w:bCs/>
                <w:color w:val="auto"/>
                <w:spacing w:val="-2"/>
                <w:sz w:val="21"/>
                <w:szCs w:val="21"/>
              </w:rPr>
            </w:pPr>
            <w:r>
              <w:rPr>
                <w:rFonts w:ascii="宋体" w:hAnsi="宋体" w:eastAsia="宋体" w:cs="宋体"/>
                <w:b/>
                <w:bCs/>
                <w:snapToGrid w:val="0"/>
                <w:color w:val="000000"/>
                <w:spacing w:val="4"/>
                <w:kern w:val="0"/>
                <w:sz w:val="21"/>
                <w:szCs w:val="21"/>
                <w:lang w:val="en-US" w:eastAsia="en-US" w:bidi="ar-SA"/>
              </w:rPr>
              <w:t>表</w:t>
            </w:r>
            <w:r>
              <w:rPr>
                <w:rFonts w:ascii="宋体" w:hAnsi="宋体" w:eastAsia="宋体" w:cs="宋体"/>
                <w:snapToGrid w:val="0"/>
                <w:color w:val="000000"/>
                <w:spacing w:val="-39"/>
                <w:kern w:val="0"/>
                <w:sz w:val="21"/>
                <w:szCs w:val="21"/>
                <w:lang w:val="en-US" w:eastAsia="en-US" w:bidi="ar-SA"/>
              </w:rPr>
              <w:t xml:space="preserve"> </w:t>
            </w:r>
            <w:r>
              <w:rPr>
                <w:rFonts w:ascii="Times New Roman" w:hAnsi="Times New Roman" w:eastAsia="Times New Roman" w:cs="Times New Roman"/>
                <w:b/>
                <w:bCs/>
                <w:snapToGrid w:val="0"/>
                <w:color w:val="000000"/>
                <w:spacing w:val="4"/>
                <w:kern w:val="0"/>
                <w:sz w:val="21"/>
                <w:szCs w:val="21"/>
                <w:lang w:val="en-US" w:eastAsia="en-US" w:bidi="ar-SA"/>
              </w:rPr>
              <w:t xml:space="preserve">4-1                  </w:t>
            </w:r>
            <w:r>
              <w:rPr>
                <w:rFonts w:ascii="宋体" w:hAnsi="宋体" w:eastAsia="宋体" w:cs="宋体"/>
                <w:b/>
                <w:bCs/>
                <w:snapToGrid w:val="0"/>
                <w:color w:val="000000"/>
                <w:spacing w:val="4"/>
                <w:kern w:val="0"/>
                <w:sz w:val="21"/>
                <w:szCs w:val="21"/>
                <w:lang w:val="en-US" w:eastAsia="en-US" w:bidi="ar-SA"/>
              </w:rPr>
              <w:t>距离声源不同距离施</w:t>
            </w:r>
            <w:r>
              <w:rPr>
                <w:rFonts w:ascii="宋体" w:hAnsi="宋体" w:eastAsia="宋体" w:cs="宋体"/>
                <w:b/>
                <w:bCs/>
                <w:snapToGrid w:val="0"/>
                <w:color w:val="000000"/>
                <w:spacing w:val="3"/>
                <w:kern w:val="0"/>
                <w:sz w:val="21"/>
                <w:szCs w:val="21"/>
                <w:lang w:val="en-US" w:eastAsia="en-US" w:bidi="ar-SA"/>
              </w:rPr>
              <w:t>工噪声水平</w:t>
            </w:r>
          </w:p>
          <w:tbl>
            <w:tblPr>
              <w:tblStyle w:val="31"/>
              <w:tblW w:w="4919"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38"/>
              <w:gridCol w:w="1401"/>
              <w:gridCol w:w="946"/>
              <w:gridCol w:w="653"/>
              <w:gridCol w:w="653"/>
              <w:gridCol w:w="653"/>
              <w:gridCol w:w="653"/>
              <w:gridCol w:w="653"/>
              <w:gridCol w:w="654"/>
              <w:gridCol w:w="654"/>
              <w:gridCol w:w="654"/>
              <w:gridCol w:w="665"/>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3" w:hRule="atLeast"/>
                <w:jc w:val="center"/>
              </w:trPr>
              <w:tc>
                <w:tcPr>
                  <w:tcW w:w="411" w:type="pct"/>
                  <w:vMerge w:val="restart"/>
                  <w:tcBorders>
                    <w:top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序号</w:t>
                  </w:r>
                </w:p>
              </w:tc>
              <w:tc>
                <w:tcPr>
                  <w:tcW w:w="780" w:type="pct"/>
                  <w:vMerge w:val="restart"/>
                  <w:tcBorders>
                    <w:top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机械类型</w:t>
                  </w:r>
                </w:p>
              </w:tc>
              <w:tc>
                <w:tcPr>
                  <w:tcW w:w="526" w:type="pct"/>
                  <w:vMerge w:val="restart"/>
                  <w:tcBorders>
                    <w:top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源强 (5m 处)</w:t>
                  </w:r>
                </w:p>
              </w:tc>
              <w:tc>
                <w:tcPr>
                  <w:tcW w:w="3281" w:type="pct"/>
                  <w:gridSpan w:val="9"/>
                  <w:tcBorders>
                    <w:top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距施工点距离（m）</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3" w:hRule="atLeast"/>
                <w:jc w:val="center"/>
              </w:trPr>
              <w:tc>
                <w:tcPr>
                  <w:tcW w:w="41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p>
              </w:tc>
              <w:tc>
                <w:tcPr>
                  <w:tcW w:w="78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p>
              </w:tc>
              <w:tc>
                <w:tcPr>
                  <w:tcW w:w="52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p>
              </w:tc>
              <w:tc>
                <w:tcPr>
                  <w:tcW w:w="363" w:type="pct"/>
                  <w:tcBorders>
                    <w:top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10</w:t>
                  </w:r>
                </w:p>
              </w:tc>
              <w:tc>
                <w:tcPr>
                  <w:tcW w:w="363" w:type="pct"/>
                  <w:tcBorders>
                    <w:top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20</w:t>
                  </w:r>
                </w:p>
              </w:tc>
              <w:tc>
                <w:tcPr>
                  <w:tcW w:w="363" w:type="pct"/>
                  <w:tcBorders>
                    <w:top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30</w:t>
                  </w:r>
                </w:p>
              </w:tc>
              <w:tc>
                <w:tcPr>
                  <w:tcW w:w="363" w:type="pct"/>
                  <w:tcBorders>
                    <w:top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40</w:t>
                  </w:r>
                </w:p>
              </w:tc>
              <w:tc>
                <w:tcPr>
                  <w:tcW w:w="363" w:type="pct"/>
                  <w:tcBorders>
                    <w:top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50</w:t>
                  </w:r>
                </w:p>
              </w:tc>
              <w:tc>
                <w:tcPr>
                  <w:tcW w:w="364" w:type="pct"/>
                  <w:tcBorders>
                    <w:top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100</w:t>
                  </w:r>
                </w:p>
              </w:tc>
              <w:tc>
                <w:tcPr>
                  <w:tcW w:w="364" w:type="pct"/>
                  <w:tcBorders>
                    <w:top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150</w:t>
                  </w:r>
                </w:p>
              </w:tc>
              <w:tc>
                <w:tcPr>
                  <w:tcW w:w="364" w:type="pct"/>
                  <w:tcBorders>
                    <w:top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200</w:t>
                  </w:r>
                </w:p>
              </w:tc>
              <w:tc>
                <w:tcPr>
                  <w:tcW w:w="370" w:type="pct"/>
                  <w:tcBorders>
                    <w:top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10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8" w:hRule="atLeast"/>
                <w:jc w:val="center"/>
              </w:trPr>
              <w:tc>
                <w:tcPr>
                  <w:tcW w:w="411"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1</w:t>
                  </w:r>
                </w:p>
              </w:tc>
              <w:tc>
                <w:tcPr>
                  <w:tcW w:w="78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装载机</w:t>
                  </w:r>
                </w:p>
              </w:tc>
              <w:tc>
                <w:tcPr>
                  <w:tcW w:w="52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90</w:t>
                  </w:r>
                </w:p>
              </w:tc>
              <w:tc>
                <w:tcPr>
                  <w:tcW w:w="36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84.0</w:t>
                  </w:r>
                </w:p>
              </w:tc>
              <w:tc>
                <w:tcPr>
                  <w:tcW w:w="36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78.0</w:t>
                  </w:r>
                </w:p>
              </w:tc>
              <w:tc>
                <w:tcPr>
                  <w:tcW w:w="36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72.0</w:t>
                  </w:r>
                </w:p>
              </w:tc>
              <w:tc>
                <w:tcPr>
                  <w:tcW w:w="36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66.0</w:t>
                  </w:r>
                </w:p>
              </w:tc>
              <w:tc>
                <w:tcPr>
                  <w:tcW w:w="36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60.0</w:t>
                  </w:r>
                </w:p>
              </w:tc>
              <w:tc>
                <w:tcPr>
                  <w:tcW w:w="364"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54.0</w:t>
                  </w:r>
                </w:p>
              </w:tc>
              <w:tc>
                <w:tcPr>
                  <w:tcW w:w="364"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48.0</w:t>
                  </w:r>
                </w:p>
              </w:tc>
              <w:tc>
                <w:tcPr>
                  <w:tcW w:w="364"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42.0</w:t>
                  </w:r>
                </w:p>
              </w:tc>
              <w:tc>
                <w:tcPr>
                  <w:tcW w:w="37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84.0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8" w:hRule="atLeast"/>
                <w:jc w:val="center"/>
              </w:trPr>
              <w:tc>
                <w:tcPr>
                  <w:tcW w:w="411"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2</w:t>
                  </w:r>
                </w:p>
              </w:tc>
              <w:tc>
                <w:tcPr>
                  <w:tcW w:w="78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运输车辆</w:t>
                  </w:r>
                </w:p>
              </w:tc>
              <w:tc>
                <w:tcPr>
                  <w:tcW w:w="52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86</w:t>
                  </w:r>
                </w:p>
              </w:tc>
              <w:tc>
                <w:tcPr>
                  <w:tcW w:w="36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80.0</w:t>
                  </w:r>
                </w:p>
              </w:tc>
              <w:tc>
                <w:tcPr>
                  <w:tcW w:w="36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74.0</w:t>
                  </w:r>
                </w:p>
              </w:tc>
              <w:tc>
                <w:tcPr>
                  <w:tcW w:w="36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68.0</w:t>
                  </w:r>
                </w:p>
              </w:tc>
              <w:tc>
                <w:tcPr>
                  <w:tcW w:w="36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62.0</w:t>
                  </w:r>
                </w:p>
              </w:tc>
              <w:tc>
                <w:tcPr>
                  <w:tcW w:w="36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56.0</w:t>
                  </w:r>
                </w:p>
              </w:tc>
              <w:tc>
                <w:tcPr>
                  <w:tcW w:w="364"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50.0</w:t>
                  </w:r>
                </w:p>
              </w:tc>
              <w:tc>
                <w:tcPr>
                  <w:tcW w:w="364"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44.0</w:t>
                  </w:r>
                </w:p>
              </w:tc>
              <w:tc>
                <w:tcPr>
                  <w:tcW w:w="364"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38.0</w:t>
                  </w:r>
                </w:p>
              </w:tc>
              <w:tc>
                <w:tcPr>
                  <w:tcW w:w="37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80.0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8" w:hRule="atLeast"/>
                <w:jc w:val="center"/>
              </w:trPr>
              <w:tc>
                <w:tcPr>
                  <w:tcW w:w="411"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3</w:t>
                  </w:r>
                </w:p>
              </w:tc>
              <w:tc>
                <w:tcPr>
                  <w:tcW w:w="78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挖土机</w:t>
                  </w:r>
                </w:p>
              </w:tc>
              <w:tc>
                <w:tcPr>
                  <w:tcW w:w="52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84</w:t>
                  </w:r>
                </w:p>
              </w:tc>
              <w:tc>
                <w:tcPr>
                  <w:tcW w:w="36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78.0</w:t>
                  </w:r>
                </w:p>
              </w:tc>
              <w:tc>
                <w:tcPr>
                  <w:tcW w:w="36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72.0</w:t>
                  </w:r>
                </w:p>
              </w:tc>
              <w:tc>
                <w:tcPr>
                  <w:tcW w:w="36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66.0</w:t>
                  </w:r>
                </w:p>
              </w:tc>
              <w:tc>
                <w:tcPr>
                  <w:tcW w:w="36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60.0</w:t>
                  </w:r>
                </w:p>
              </w:tc>
              <w:tc>
                <w:tcPr>
                  <w:tcW w:w="36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54.0</w:t>
                  </w:r>
                </w:p>
              </w:tc>
              <w:tc>
                <w:tcPr>
                  <w:tcW w:w="364"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48.0</w:t>
                  </w:r>
                </w:p>
              </w:tc>
              <w:tc>
                <w:tcPr>
                  <w:tcW w:w="364"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42.0</w:t>
                  </w:r>
                </w:p>
              </w:tc>
              <w:tc>
                <w:tcPr>
                  <w:tcW w:w="364"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36.0</w:t>
                  </w:r>
                </w:p>
              </w:tc>
              <w:tc>
                <w:tcPr>
                  <w:tcW w:w="37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78.0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8" w:hRule="atLeast"/>
                <w:jc w:val="center"/>
              </w:trPr>
              <w:tc>
                <w:tcPr>
                  <w:tcW w:w="411"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4</w:t>
                  </w:r>
                </w:p>
              </w:tc>
              <w:tc>
                <w:tcPr>
                  <w:tcW w:w="78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混凝土搅拌机</w:t>
                  </w:r>
                </w:p>
              </w:tc>
              <w:tc>
                <w:tcPr>
                  <w:tcW w:w="52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84</w:t>
                  </w:r>
                </w:p>
              </w:tc>
              <w:tc>
                <w:tcPr>
                  <w:tcW w:w="36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78.0</w:t>
                  </w:r>
                </w:p>
              </w:tc>
              <w:tc>
                <w:tcPr>
                  <w:tcW w:w="36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72.0</w:t>
                  </w:r>
                </w:p>
              </w:tc>
              <w:tc>
                <w:tcPr>
                  <w:tcW w:w="36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66.0</w:t>
                  </w:r>
                </w:p>
              </w:tc>
              <w:tc>
                <w:tcPr>
                  <w:tcW w:w="36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60.0</w:t>
                  </w:r>
                </w:p>
              </w:tc>
              <w:tc>
                <w:tcPr>
                  <w:tcW w:w="36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54.0</w:t>
                  </w:r>
                </w:p>
              </w:tc>
              <w:tc>
                <w:tcPr>
                  <w:tcW w:w="364"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48.0</w:t>
                  </w:r>
                </w:p>
              </w:tc>
              <w:tc>
                <w:tcPr>
                  <w:tcW w:w="364"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42.0</w:t>
                  </w:r>
                </w:p>
              </w:tc>
              <w:tc>
                <w:tcPr>
                  <w:tcW w:w="364"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36.0</w:t>
                  </w:r>
                </w:p>
              </w:tc>
              <w:tc>
                <w:tcPr>
                  <w:tcW w:w="37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78.0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3" w:hRule="atLeast"/>
                <w:jc w:val="center"/>
              </w:trPr>
              <w:tc>
                <w:tcPr>
                  <w:tcW w:w="411"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5</w:t>
                  </w:r>
                </w:p>
              </w:tc>
              <w:tc>
                <w:tcPr>
                  <w:tcW w:w="78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牵张机</w:t>
                  </w:r>
                </w:p>
              </w:tc>
              <w:tc>
                <w:tcPr>
                  <w:tcW w:w="52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84</w:t>
                  </w:r>
                </w:p>
              </w:tc>
              <w:tc>
                <w:tcPr>
                  <w:tcW w:w="36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78.0</w:t>
                  </w:r>
                </w:p>
              </w:tc>
              <w:tc>
                <w:tcPr>
                  <w:tcW w:w="36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72.0</w:t>
                  </w:r>
                </w:p>
              </w:tc>
              <w:tc>
                <w:tcPr>
                  <w:tcW w:w="36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66.0</w:t>
                  </w:r>
                </w:p>
              </w:tc>
              <w:tc>
                <w:tcPr>
                  <w:tcW w:w="36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60.0</w:t>
                  </w:r>
                </w:p>
              </w:tc>
              <w:tc>
                <w:tcPr>
                  <w:tcW w:w="36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54.0</w:t>
                  </w:r>
                </w:p>
              </w:tc>
              <w:tc>
                <w:tcPr>
                  <w:tcW w:w="364"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48.0</w:t>
                  </w:r>
                </w:p>
              </w:tc>
              <w:tc>
                <w:tcPr>
                  <w:tcW w:w="364"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42.0</w:t>
                  </w:r>
                </w:p>
              </w:tc>
              <w:tc>
                <w:tcPr>
                  <w:tcW w:w="364"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36.0</w:t>
                  </w:r>
                </w:p>
              </w:tc>
              <w:tc>
                <w:tcPr>
                  <w:tcW w:w="370"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78.0</w:t>
                  </w:r>
                </w:p>
              </w:tc>
            </w:tr>
          </w:tbl>
          <w:p>
            <w:pPr>
              <w:kinsoku w:val="0"/>
              <w:autoSpaceDE w:val="0"/>
              <w:autoSpaceDN w:val="0"/>
              <w:adjustRightInd w:val="0"/>
              <w:snapToGrid w:val="0"/>
              <w:spacing w:before="1" w:line="207" w:lineRule="auto"/>
              <w:ind w:left="106" w:firstLine="875" w:firstLineChars="400"/>
              <w:jc w:val="left"/>
              <w:textAlignment w:val="baseline"/>
              <w:rPr>
                <w:rFonts w:ascii="宋体" w:hAnsi="宋体" w:eastAsia="宋体" w:cs="宋体"/>
                <w:b/>
                <w:bCs/>
                <w:snapToGrid w:val="0"/>
                <w:color w:val="000000"/>
                <w:spacing w:val="4"/>
                <w:kern w:val="0"/>
                <w:sz w:val="21"/>
                <w:szCs w:val="21"/>
                <w:lang w:val="en-US" w:eastAsia="en-US" w:bidi="ar-SA"/>
              </w:rPr>
            </w:pPr>
          </w:p>
          <w:p>
            <w:pPr>
              <w:kinsoku w:val="0"/>
              <w:autoSpaceDE w:val="0"/>
              <w:autoSpaceDN w:val="0"/>
              <w:adjustRightInd w:val="0"/>
              <w:snapToGrid w:val="0"/>
              <w:spacing w:before="1" w:line="207" w:lineRule="auto"/>
              <w:ind w:left="106" w:firstLine="875" w:firstLineChars="400"/>
              <w:jc w:val="left"/>
              <w:textAlignment w:val="baseline"/>
              <w:rPr>
                <w:rFonts w:hint="default" w:ascii="Times New Roman" w:hAnsi="Times New Roman" w:eastAsia="宋体" w:cs="Times New Roman"/>
                <w:b/>
                <w:bCs/>
                <w:snapToGrid w:val="0"/>
                <w:color w:val="000000"/>
                <w:spacing w:val="4"/>
                <w:kern w:val="0"/>
                <w:sz w:val="21"/>
                <w:szCs w:val="21"/>
                <w:lang w:val="en-US" w:eastAsia="en-US" w:bidi="ar-SA"/>
              </w:rPr>
            </w:pPr>
            <w:r>
              <w:rPr>
                <w:rFonts w:hint="default" w:ascii="Times New Roman" w:hAnsi="Times New Roman" w:eastAsia="宋体" w:cs="Times New Roman"/>
                <w:b/>
                <w:bCs/>
                <w:snapToGrid w:val="0"/>
                <w:color w:val="000000"/>
                <w:spacing w:val="4"/>
                <w:kern w:val="0"/>
                <w:sz w:val="21"/>
                <w:szCs w:val="21"/>
                <w:lang w:val="en-US" w:eastAsia="en-US" w:bidi="ar-SA"/>
              </w:rPr>
              <w:t>表4-2         多台机械设备同时运转的噪声预测值             单位：dB(A)</w:t>
            </w:r>
          </w:p>
          <w:tbl>
            <w:tblPr>
              <w:tblStyle w:val="31"/>
              <w:tblW w:w="4927"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894"/>
              <w:gridCol w:w="886"/>
              <w:gridCol w:w="885"/>
              <w:gridCol w:w="885"/>
              <w:gridCol w:w="886"/>
              <w:gridCol w:w="886"/>
              <w:gridCol w:w="886"/>
              <w:gridCol w:w="886"/>
              <w:gridCol w:w="89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89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距离（m）</w:t>
                  </w:r>
                </w:p>
              </w:tc>
              <w:tc>
                <w:tcPr>
                  <w:tcW w:w="88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10</w:t>
                  </w:r>
                </w:p>
              </w:tc>
              <w:tc>
                <w:tcPr>
                  <w:tcW w:w="88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20</w:t>
                  </w:r>
                </w:p>
              </w:tc>
              <w:tc>
                <w:tcPr>
                  <w:tcW w:w="88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30</w:t>
                  </w:r>
                </w:p>
              </w:tc>
              <w:tc>
                <w:tcPr>
                  <w:tcW w:w="88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40</w:t>
                  </w:r>
                </w:p>
              </w:tc>
              <w:tc>
                <w:tcPr>
                  <w:tcW w:w="88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50</w:t>
                  </w:r>
                </w:p>
              </w:tc>
              <w:tc>
                <w:tcPr>
                  <w:tcW w:w="88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100</w:t>
                  </w:r>
                </w:p>
              </w:tc>
              <w:tc>
                <w:tcPr>
                  <w:tcW w:w="88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150</w:t>
                  </w:r>
                </w:p>
              </w:tc>
              <w:tc>
                <w:tcPr>
                  <w:tcW w:w="897"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200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89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噪声预测值</w:t>
                  </w:r>
                </w:p>
              </w:tc>
              <w:tc>
                <w:tcPr>
                  <w:tcW w:w="88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92.3</w:t>
                  </w:r>
                </w:p>
              </w:tc>
              <w:tc>
                <w:tcPr>
                  <w:tcW w:w="88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86.3</w:t>
                  </w:r>
                </w:p>
              </w:tc>
              <w:tc>
                <w:tcPr>
                  <w:tcW w:w="88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80.3</w:t>
                  </w:r>
                </w:p>
              </w:tc>
              <w:tc>
                <w:tcPr>
                  <w:tcW w:w="88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74.3</w:t>
                  </w:r>
                </w:p>
              </w:tc>
              <w:tc>
                <w:tcPr>
                  <w:tcW w:w="88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68.3</w:t>
                  </w:r>
                </w:p>
              </w:tc>
              <w:tc>
                <w:tcPr>
                  <w:tcW w:w="88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62.3</w:t>
                  </w:r>
                </w:p>
              </w:tc>
              <w:tc>
                <w:tcPr>
                  <w:tcW w:w="88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56.3</w:t>
                  </w:r>
                </w:p>
              </w:tc>
              <w:tc>
                <w:tcPr>
                  <w:tcW w:w="897"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50.3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89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w:t>
                  </w:r>
                  <w:r>
                    <w:rPr>
                      <w:rFonts w:hint="eastAsia" w:ascii="Times New Roman" w:hAnsi="Times New Roman" w:eastAsia="宋体" w:cs="Times New Roman"/>
                      <w:color w:val="auto"/>
                      <w:spacing w:val="5"/>
                      <w:sz w:val="21"/>
                      <w:szCs w:val="21"/>
                      <w:lang w:eastAsia="zh-CN"/>
                    </w:rPr>
                    <w:t>GB 12523-2025</w:t>
                  </w:r>
                  <w:r>
                    <w:rPr>
                      <w:rFonts w:hint="default" w:ascii="Times New Roman" w:hAnsi="Times New Roman" w:eastAsia="宋体" w:cs="Times New Roman"/>
                      <w:color w:val="auto"/>
                      <w:spacing w:val="5"/>
                      <w:sz w:val="21"/>
                      <w:szCs w:val="21"/>
                    </w:rPr>
                    <w:t>)</w:t>
                  </w:r>
                </w:p>
              </w:tc>
              <w:tc>
                <w:tcPr>
                  <w:tcW w:w="7097" w:type="dxa"/>
                  <w:gridSpan w:val="8"/>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昼70、夜55</w:t>
                  </w:r>
                </w:p>
              </w:tc>
            </w:tr>
          </w:tbl>
          <w:p>
            <w:pPr>
              <w:spacing w:before="1" w:line="353" w:lineRule="auto"/>
              <w:ind w:left="108" w:right="105" w:firstLine="481"/>
              <w:rPr>
                <w:rFonts w:hint="default" w:ascii="Times New Roman" w:hAnsi="Times New Roman" w:eastAsia="宋体" w:cs="Times New Roman"/>
                <w:color w:val="auto"/>
                <w:spacing w:val="-2"/>
                <w:sz w:val="24"/>
                <w:szCs w:val="24"/>
                <w:lang w:val="en-US" w:eastAsia="en-US"/>
              </w:rPr>
            </w:pPr>
          </w:p>
          <w:p>
            <w:pPr>
              <w:keepNext w:val="0"/>
              <w:keepLines w:val="0"/>
              <w:pageBreakBefore w:val="0"/>
              <w:widowControl w:val="0"/>
              <w:kinsoku/>
              <w:wordWrap/>
              <w:overflowPunct/>
              <w:topLinePunct w:val="0"/>
              <w:autoSpaceDE/>
              <w:autoSpaceDN/>
              <w:bidi w:val="0"/>
              <w:adjustRightInd/>
              <w:snapToGrid/>
              <w:spacing w:line="360" w:lineRule="auto"/>
              <w:ind w:left="21" w:leftChars="10" w:right="21" w:rightChars="10" w:firstLine="460" w:firstLineChars="200"/>
              <w:textAlignment w:val="auto"/>
              <w:rPr>
                <w:rFonts w:hint="default" w:ascii="Times New Roman" w:hAnsi="Times New Roman" w:eastAsia="宋体" w:cs="Times New Roman"/>
                <w:color w:val="auto"/>
                <w:spacing w:val="-5"/>
                <w:sz w:val="24"/>
                <w:szCs w:val="24"/>
                <w:lang w:val="en-US" w:eastAsia="en-US"/>
              </w:rPr>
            </w:pPr>
            <w:r>
              <w:rPr>
                <w:rFonts w:hint="default" w:ascii="Times New Roman" w:hAnsi="Times New Roman" w:eastAsia="宋体" w:cs="Times New Roman"/>
                <w:color w:val="auto"/>
                <w:spacing w:val="-5"/>
                <w:sz w:val="24"/>
                <w:szCs w:val="24"/>
                <w:lang w:val="en-US" w:eastAsia="en-US"/>
              </w:rPr>
              <w:t>本项目输电线路沿线地形为山地、丘陵和平地，采用汽车和人抬相结合的运输方案。由于线路施工点呈线性分布，单个施工点铁塔组件的运输量较小，由车辆运输或人抬至施工点，所以交通运输噪声对周围环境影响较小。</w:t>
            </w:r>
          </w:p>
          <w:p>
            <w:pPr>
              <w:keepNext w:val="0"/>
              <w:keepLines w:val="0"/>
              <w:pageBreakBefore w:val="0"/>
              <w:widowControl w:val="0"/>
              <w:kinsoku/>
              <w:wordWrap/>
              <w:overflowPunct/>
              <w:topLinePunct w:val="0"/>
              <w:autoSpaceDE/>
              <w:autoSpaceDN/>
              <w:bidi w:val="0"/>
              <w:adjustRightInd/>
              <w:snapToGrid/>
              <w:spacing w:line="360" w:lineRule="auto"/>
              <w:ind w:left="21" w:leftChars="10" w:right="21" w:rightChars="10" w:firstLine="460" w:firstLineChars="200"/>
              <w:textAlignment w:val="auto"/>
              <w:rPr>
                <w:rFonts w:hint="default" w:ascii="Times New Roman" w:hAnsi="Times New Roman" w:eastAsia="宋体" w:cs="Times New Roman"/>
                <w:color w:val="auto"/>
                <w:spacing w:val="-5"/>
                <w:sz w:val="24"/>
                <w:szCs w:val="24"/>
                <w:lang w:val="en-US" w:eastAsia="en-US"/>
              </w:rPr>
            </w:pPr>
            <w:r>
              <w:rPr>
                <w:rFonts w:hint="default" w:ascii="Times New Roman" w:hAnsi="Times New Roman" w:eastAsia="宋体" w:cs="Times New Roman"/>
                <w:color w:val="auto"/>
                <w:spacing w:val="-5"/>
                <w:sz w:val="24"/>
                <w:szCs w:val="24"/>
                <w:lang w:val="en-US" w:eastAsia="en-US"/>
              </w:rPr>
              <w:t>另外，在架线施工过程中，各牵张场内的牵张机、绞盘机等设备也产生机械噪声，其声级值一般小于70dB(A)。本项目声环境敏感目标为线路塔基</w:t>
            </w:r>
            <w:r>
              <w:rPr>
                <w:rFonts w:hint="eastAsia" w:ascii="Times New Roman" w:hAnsi="Times New Roman" w:eastAsia="宋体" w:cs="Times New Roman"/>
                <w:color w:val="auto"/>
                <w:spacing w:val="-5"/>
                <w:sz w:val="24"/>
                <w:szCs w:val="24"/>
                <w:lang w:val="en-US" w:eastAsia="zh-CN"/>
              </w:rPr>
              <w:t>最近</w:t>
            </w:r>
            <w:r>
              <w:rPr>
                <w:rFonts w:hint="default" w:ascii="Times New Roman" w:hAnsi="Times New Roman" w:eastAsia="宋体" w:cs="Times New Roman"/>
                <w:color w:val="auto"/>
                <w:spacing w:val="-5"/>
                <w:sz w:val="24"/>
                <w:szCs w:val="24"/>
                <w:lang w:val="en-US" w:eastAsia="en-US"/>
              </w:rPr>
              <w:t>西侧</w:t>
            </w:r>
            <w:r>
              <w:rPr>
                <w:rFonts w:hint="eastAsia" w:ascii="Times New Roman" w:hAnsi="Times New Roman" w:eastAsia="宋体" w:cs="Times New Roman"/>
                <w:color w:val="auto"/>
                <w:spacing w:val="-5"/>
                <w:sz w:val="24"/>
                <w:szCs w:val="24"/>
                <w:lang w:val="en-US" w:eastAsia="zh-CN"/>
              </w:rPr>
              <w:t>40</w:t>
            </w:r>
            <w:r>
              <w:rPr>
                <w:rFonts w:hint="default" w:ascii="Times New Roman" w:hAnsi="Times New Roman" w:eastAsia="宋体" w:cs="Times New Roman"/>
                <w:color w:val="auto"/>
                <w:spacing w:val="-5"/>
                <w:sz w:val="24"/>
                <w:szCs w:val="24"/>
                <w:lang w:val="en-US" w:eastAsia="en-US"/>
              </w:rPr>
              <w:t>m的卧马线民房</w:t>
            </w:r>
            <w:r>
              <w:rPr>
                <w:rFonts w:hint="eastAsia" w:ascii="Times New Roman" w:hAnsi="Times New Roman" w:eastAsia="宋体" w:cs="Times New Roman"/>
                <w:color w:val="auto"/>
                <w:spacing w:val="-5"/>
                <w:sz w:val="24"/>
                <w:szCs w:val="24"/>
                <w:lang w:val="en-US" w:eastAsia="zh-CN"/>
              </w:rPr>
              <w:t>一处</w:t>
            </w:r>
            <w:r>
              <w:rPr>
                <w:rFonts w:hint="default" w:ascii="Times New Roman" w:hAnsi="Times New Roman" w:eastAsia="宋体" w:cs="Times New Roman"/>
                <w:color w:val="auto"/>
                <w:spacing w:val="-5"/>
                <w:sz w:val="24"/>
                <w:szCs w:val="24"/>
                <w:lang w:val="en-US" w:eastAsia="en-US"/>
              </w:rPr>
              <w:t>。通过预测噪声影响最大值均满足标准限值要求。牵张场一般位于公路边，各施工点施工量小，施工时间短，不会对周围环境产生明显影响。</w:t>
            </w:r>
          </w:p>
          <w:p>
            <w:pPr>
              <w:keepNext w:val="0"/>
              <w:keepLines w:val="0"/>
              <w:pageBreakBefore w:val="0"/>
              <w:widowControl w:val="0"/>
              <w:kinsoku/>
              <w:wordWrap/>
              <w:overflowPunct/>
              <w:topLinePunct w:val="0"/>
              <w:autoSpaceDE/>
              <w:autoSpaceDN/>
              <w:bidi w:val="0"/>
              <w:adjustRightInd/>
              <w:snapToGrid/>
              <w:spacing w:line="360" w:lineRule="auto"/>
              <w:ind w:left="21" w:leftChars="10" w:right="21" w:rightChars="10" w:firstLine="460" w:firstLineChars="200"/>
              <w:textAlignment w:val="auto"/>
              <w:rPr>
                <w:rFonts w:hint="default" w:ascii="Times New Roman" w:hAnsi="Times New Roman" w:eastAsia="宋体" w:cs="Times New Roman"/>
                <w:color w:val="auto"/>
                <w:spacing w:val="-5"/>
                <w:sz w:val="24"/>
                <w:szCs w:val="24"/>
                <w:lang w:val="en-US" w:eastAsia="en-US"/>
              </w:rPr>
            </w:pPr>
            <w:r>
              <w:rPr>
                <w:rFonts w:hint="default" w:ascii="Times New Roman" w:hAnsi="Times New Roman" w:eastAsia="宋体" w:cs="Times New Roman"/>
                <w:color w:val="auto"/>
                <w:spacing w:val="-5"/>
                <w:sz w:val="24"/>
                <w:szCs w:val="24"/>
                <w:lang w:val="en-US" w:eastAsia="en-US"/>
              </w:rPr>
              <w:t>施工时通过采用低噪声施工机械设备，控制设备噪声源强，设置围挡，削弱噪声传播，加强施工管理，文明施工，错开高噪声设备使用时间，限制夜间施工，可进一步降低施工噪声影响。施工单位如因工艺特殊等情况要求，确需在夜间施工而产生环境噪声污染时，应</w:t>
            </w:r>
            <w:r>
              <w:rPr>
                <w:rFonts w:hint="eastAsia" w:ascii="Times New Roman" w:hAnsi="Times New Roman" w:eastAsia="宋体" w:cs="Times New Roman"/>
                <w:color w:val="auto"/>
                <w:spacing w:val="-5"/>
                <w:sz w:val="24"/>
                <w:szCs w:val="24"/>
                <w:lang w:val="en-US" w:eastAsia="zh-CN"/>
              </w:rPr>
              <w:t>按照《中华人民共和国</w:t>
            </w:r>
            <w:r>
              <w:rPr>
                <w:rFonts w:hint="default" w:ascii="Times New Roman" w:hAnsi="Times New Roman" w:eastAsia="宋体" w:cs="Times New Roman"/>
                <w:color w:val="auto"/>
                <w:spacing w:val="-5"/>
                <w:sz w:val="24"/>
                <w:szCs w:val="24"/>
                <w:lang w:val="en-US" w:eastAsia="en-US"/>
              </w:rPr>
              <w:t>噪声污染防治法》的规定，取得县级以上人民政府或者其有关主管部门的证明，并公告附近居民，同时在夜间施工时禁止使用产生较大噪声的设备。通过采取以上噪声污染防治措施，可确保施工噪声满足《</w:t>
            </w:r>
            <w:r>
              <w:rPr>
                <w:rFonts w:hint="eastAsia" w:ascii="Times New Roman" w:hAnsi="Times New Roman" w:eastAsia="宋体" w:cs="Times New Roman"/>
                <w:color w:val="auto"/>
                <w:spacing w:val="-5"/>
                <w:sz w:val="24"/>
                <w:szCs w:val="24"/>
                <w:lang w:val="en-US" w:eastAsia="zh-CN"/>
              </w:rPr>
              <w:t>建筑施工噪声排放标准</w:t>
            </w:r>
            <w:r>
              <w:rPr>
                <w:rFonts w:hint="default" w:ascii="Times New Roman" w:hAnsi="Times New Roman" w:eastAsia="宋体" w:cs="Times New Roman"/>
                <w:color w:val="auto"/>
                <w:spacing w:val="-5"/>
                <w:sz w:val="24"/>
                <w:szCs w:val="24"/>
                <w:lang w:val="en-US" w:eastAsia="en-US"/>
              </w:rPr>
              <w:t>》（</w:t>
            </w:r>
            <w:r>
              <w:rPr>
                <w:rFonts w:hint="eastAsia" w:ascii="Times New Roman" w:hAnsi="Times New Roman" w:eastAsia="宋体" w:cs="Times New Roman"/>
                <w:color w:val="auto"/>
                <w:spacing w:val="-5"/>
                <w:sz w:val="24"/>
                <w:szCs w:val="24"/>
                <w:lang w:val="en-US" w:eastAsia="zh-CN"/>
              </w:rPr>
              <w:t>GB 12523-2025</w:t>
            </w:r>
            <w:r>
              <w:rPr>
                <w:rFonts w:hint="default" w:ascii="Times New Roman" w:hAnsi="Times New Roman" w:eastAsia="宋体" w:cs="Times New Roman"/>
                <w:color w:val="auto"/>
                <w:spacing w:val="-5"/>
                <w:sz w:val="24"/>
                <w:szCs w:val="24"/>
                <w:lang w:val="en-US" w:eastAsia="en-US"/>
              </w:rPr>
              <w:t>）的限值要求。</w:t>
            </w:r>
          </w:p>
          <w:p>
            <w:pPr>
              <w:spacing w:before="5" w:line="320" w:lineRule="auto"/>
              <w:ind w:left="107" w:right="102" w:firstLine="480"/>
              <w:jc w:val="both"/>
              <w:rPr>
                <w:rFonts w:hint="default" w:ascii="Times New Roman" w:hAnsi="Times New Roman" w:eastAsia="宋体" w:cs="Times New Roman"/>
                <w:b/>
                <w:bCs/>
                <w:color w:val="auto"/>
                <w:sz w:val="24"/>
                <w:szCs w:val="24"/>
              </w:rPr>
            </w:pPr>
            <w:r>
              <w:rPr>
                <w:rFonts w:hint="eastAsia" w:ascii="Times New Roman" w:hAnsi="Times New Roman" w:eastAsia="宋体" w:cs="Times New Roman"/>
                <w:b/>
                <w:bCs/>
                <w:color w:val="auto"/>
                <w:sz w:val="24"/>
                <w:szCs w:val="24"/>
                <w:lang w:val="en-US" w:eastAsia="zh-CN"/>
              </w:rPr>
              <w:t>5</w:t>
            </w:r>
            <w:r>
              <w:rPr>
                <w:rFonts w:hint="eastAsia" w:ascii="Times New Roman" w:hAnsi="Times New Roman" w:eastAsia="宋体" w:cs="Times New Roman"/>
                <w:b/>
                <w:bCs/>
                <w:color w:val="auto"/>
                <w:sz w:val="24"/>
                <w:szCs w:val="24"/>
              </w:rPr>
              <w:t>.</w:t>
            </w:r>
            <w:r>
              <w:rPr>
                <w:rFonts w:hint="default" w:ascii="Times New Roman" w:hAnsi="Times New Roman" w:eastAsia="宋体" w:cs="Times New Roman"/>
                <w:b/>
                <w:bCs/>
                <w:color w:val="auto"/>
                <w:sz w:val="24"/>
                <w:szCs w:val="24"/>
              </w:rPr>
              <w:t>施工固体废物影响分析</w:t>
            </w:r>
          </w:p>
          <w:p>
            <w:pPr>
              <w:pStyle w:val="51"/>
              <w:keepNext w:val="0"/>
              <w:keepLines w:val="0"/>
              <w:pageBreakBefore w:val="0"/>
              <w:widowControl w:val="0"/>
              <w:kinsoku/>
              <w:wordWrap/>
              <w:overflowPunct/>
              <w:topLinePunct/>
              <w:autoSpaceDE/>
              <w:autoSpaceDN/>
              <w:bidi w:val="0"/>
              <w:adjustRightInd/>
              <w:snapToGrid/>
              <w:spacing w:line="360" w:lineRule="auto"/>
              <w:ind w:left="42" w:right="42" w:firstLine="420"/>
              <w:textAlignment w:val="auto"/>
              <w:rPr>
                <w:rFonts w:hint="default" w:ascii="Times New Roman" w:hAnsi="Times New Roman" w:eastAsia="宋体" w:cs="Times New Roman"/>
                <w:color w:val="auto"/>
                <w:spacing w:val="-5"/>
                <w:kern w:val="2"/>
                <w:sz w:val="24"/>
                <w:szCs w:val="24"/>
                <w:lang w:val="en-US" w:eastAsia="en-US" w:bidi="ar-SA"/>
              </w:rPr>
            </w:pPr>
            <w:r>
              <w:rPr>
                <w:rFonts w:hint="default" w:ascii="Times New Roman" w:hAnsi="Times New Roman" w:eastAsia="宋体" w:cs="Times New Roman"/>
                <w:color w:val="auto"/>
                <w:spacing w:val="-5"/>
                <w:kern w:val="2"/>
                <w:sz w:val="24"/>
                <w:szCs w:val="24"/>
                <w:lang w:val="en-US" w:eastAsia="en-US" w:bidi="ar-SA"/>
              </w:rPr>
              <w:t>施工期产生的固体废物为建筑垃圾和施工人员产生的生活垃圾，建筑垃圾主要是施工过</w:t>
            </w:r>
            <w:r>
              <w:rPr>
                <w:rFonts w:hint="eastAsia" w:eastAsia="宋体" w:cs="Times New Roman"/>
                <w:color w:val="auto"/>
                <w:spacing w:val="-5"/>
                <w:kern w:val="2"/>
                <w:sz w:val="24"/>
                <w:szCs w:val="24"/>
                <w:lang w:val="en-US" w:eastAsia="zh-CN" w:bidi="ar-SA"/>
              </w:rPr>
              <w:t>程中</w:t>
            </w:r>
            <w:r>
              <w:rPr>
                <w:rFonts w:hint="default" w:ascii="Times New Roman" w:hAnsi="Times New Roman" w:eastAsia="宋体" w:cs="Times New Roman"/>
                <w:color w:val="auto"/>
                <w:spacing w:val="-5"/>
                <w:kern w:val="2"/>
                <w:sz w:val="24"/>
                <w:szCs w:val="24"/>
                <w:lang w:val="en-US" w:eastAsia="en-US" w:bidi="ar-SA"/>
              </w:rPr>
              <w:t>产生的各种废建筑材料，如碎砖块、水泥块、工程土等，集中收集后运往指定地点进行无害化处置；施工人员产生的生活垃圾应袋装存放，委托当地环卫部门定期清运，统一清运至垃圾场。在采取上述环保措施后，本项目施工期间产生的固体废物能够有效</w:t>
            </w:r>
            <w:r>
              <w:rPr>
                <w:rFonts w:hint="eastAsia" w:ascii="Times New Roman" w:hAnsi="Times New Roman" w:eastAsia="宋体" w:cs="Times New Roman"/>
                <w:color w:val="auto"/>
                <w:spacing w:val="-5"/>
                <w:kern w:val="2"/>
                <w:sz w:val="24"/>
                <w:szCs w:val="24"/>
                <w:lang w:val="en-US" w:eastAsia="zh-CN" w:bidi="ar-SA"/>
              </w:rPr>
              <w:t>地</w:t>
            </w:r>
            <w:r>
              <w:rPr>
                <w:rFonts w:hint="default" w:ascii="Times New Roman" w:hAnsi="Times New Roman" w:eastAsia="宋体" w:cs="Times New Roman"/>
                <w:color w:val="auto"/>
                <w:spacing w:val="-5"/>
                <w:kern w:val="2"/>
                <w:sz w:val="24"/>
                <w:szCs w:val="24"/>
                <w:lang w:val="en-US" w:eastAsia="en-US" w:bidi="ar-SA"/>
              </w:rPr>
              <w:t>处理，对周围环境影响较小。</w:t>
            </w:r>
          </w:p>
          <w:p>
            <w:pPr>
              <w:pStyle w:val="51"/>
              <w:ind w:left="42" w:right="42" w:firstLine="420"/>
              <w:rPr>
                <w:rFonts w:hint="default" w:ascii="Times New Roman" w:hAnsi="Times New Roman" w:eastAsia="宋体" w:cs="Times New Roman"/>
                <w:color w:val="auto"/>
                <w:spacing w:val="-2"/>
                <w:kern w:val="2"/>
                <w:sz w:val="24"/>
                <w:szCs w:val="24"/>
                <w:lang w:val="en-US" w:eastAsia="en-US" w:bidi="ar-SA"/>
              </w:rPr>
            </w:pPr>
          </w:p>
          <w:p>
            <w:pPr>
              <w:pStyle w:val="51"/>
              <w:ind w:left="42" w:right="42" w:firstLine="420"/>
              <w:rPr>
                <w:rFonts w:hint="default" w:ascii="Times New Roman" w:hAnsi="Times New Roman" w:eastAsia="宋体" w:cs="Times New Roman"/>
                <w:color w:val="auto"/>
                <w:spacing w:val="-2"/>
                <w:kern w:val="2"/>
                <w:sz w:val="24"/>
                <w:szCs w:val="24"/>
                <w:lang w:val="en-US" w:eastAsia="en-US" w:bidi="ar-SA"/>
              </w:rPr>
            </w:pPr>
          </w:p>
          <w:p>
            <w:pPr>
              <w:pStyle w:val="51"/>
              <w:ind w:left="42" w:right="42" w:firstLine="420"/>
              <w:rPr>
                <w:rFonts w:hint="default" w:ascii="Times New Roman" w:hAnsi="Times New Roman" w:eastAsia="宋体" w:cs="Times New Roman"/>
                <w:color w:val="auto"/>
                <w:spacing w:val="-2"/>
                <w:kern w:val="2"/>
                <w:sz w:val="24"/>
                <w:szCs w:val="24"/>
                <w:lang w:val="en-US" w:eastAsia="en-US" w:bidi="ar-SA"/>
              </w:rPr>
            </w:pPr>
          </w:p>
          <w:p>
            <w:pPr>
              <w:pStyle w:val="51"/>
              <w:ind w:left="42" w:right="42" w:firstLine="420"/>
              <w:rPr>
                <w:rFonts w:hint="default" w:ascii="Times New Roman" w:hAnsi="Times New Roman" w:eastAsia="宋体" w:cs="Times New Roman"/>
                <w:color w:val="auto"/>
                <w:spacing w:val="-2"/>
                <w:kern w:val="2"/>
                <w:sz w:val="24"/>
                <w:szCs w:val="24"/>
                <w:lang w:val="en-US" w:eastAsia="en-US" w:bidi="ar-SA"/>
              </w:rPr>
            </w:pPr>
          </w:p>
          <w:p>
            <w:pPr>
              <w:pStyle w:val="51"/>
              <w:ind w:left="42" w:right="42" w:firstLine="420"/>
              <w:rPr>
                <w:rFonts w:hint="default" w:ascii="Times New Roman" w:hAnsi="Times New Roman" w:eastAsia="宋体" w:cs="Times New Roman"/>
                <w:color w:val="auto"/>
                <w:spacing w:val="-2"/>
                <w:kern w:val="2"/>
                <w:sz w:val="24"/>
                <w:szCs w:val="24"/>
                <w:lang w:val="en-US" w:eastAsia="en-US" w:bidi="ar-SA"/>
              </w:rPr>
            </w:pPr>
          </w:p>
          <w:p>
            <w:pPr>
              <w:pStyle w:val="51"/>
              <w:ind w:left="42" w:right="42" w:firstLine="420"/>
              <w:rPr>
                <w:rFonts w:hint="default" w:ascii="Times New Roman" w:hAnsi="Times New Roman" w:eastAsia="宋体" w:cs="Times New Roman"/>
                <w:color w:val="auto"/>
                <w:spacing w:val="-2"/>
                <w:kern w:val="2"/>
                <w:sz w:val="24"/>
                <w:szCs w:val="24"/>
                <w:lang w:val="en-US" w:eastAsia="en-US" w:bidi="ar-SA"/>
              </w:rPr>
            </w:pPr>
          </w:p>
          <w:p>
            <w:pPr>
              <w:pStyle w:val="51"/>
              <w:ind w:left="42" w:right="42" w:firstLine="420"/>
              <w:rPr>
                <w:rFonts w:hint="default" w:ascii="Times New Roman" w:hAnsi="Times New Roman" w:eastAsia="宋体" w:cs="Times New Roman"/>
                <w:color w:val="auto"/>
                <w:spacing w:val="-2"/>
                <w:kern w:val="2"/>
                <w:sz w:val="24"/>
                <w:szCs w:val="24"/>
                <w:lang w:val="en-US" w:eastAsia="en-US" w:bidi="ar-SA"/>
              </w:rPr>
            </w:pPr>
          </w:p>
          <w:p>
            <w:pPr>
              <w:pStyle w:val="51"/>
              <w:ind w:left="42" w:right="42" w:firstLine="420"/>
              <w:rPr>
                <w:rFonts w:hint="default" w:ascii="Times New Roman" w:hAnsi="Times New Roman" w:eastAsia="宋体" w:cs="Times New Roman"/>
                <w:color w:val="auto"/>
                <w:spacing w:val="-2"/>
                <w:kern w:val="2"/>
                <w:sz w:val="24"/>
                <w:szCs w:val="24"/>
                <w:lang w:val="en-US" w:eastAsia="en-US" w:bidi="ar-SA"/>
              </w:rPr>
            </w:pPr>
          </w:p>
          <w:p>
            <w:pPr>
              <w:pStyle w:val="51"/>
              <w:ind w:left="42" w:right="42" w:firstLine="420"/>
              <w:rPr>
                <w:rFonts w:hint="default" w:ascii="Times New Roman" w:hAnsi="Times New Roman" w:eastAsia="宋体" w:cs="Times New Roman"/>
                <w:color w:val="auto"/>
                <w:spacing w:val="-2"/>
                <w:kern w:val="2"/>
                <w:sz w:val="24"/>
                <w:szCs w:val="24"/>
                <w:lang w:val="en-US" w:eastAsia="en-US" w:bidi="ar-SA"/>
              </w:rPr>
            </w:pPr>
          </w:p>
          <w:p>
            <w:pPr>
              <w:pStyle w:val="51"/>
              <w:ind w:left="42" w:right="42" w:firstLine="420"/>
              <w:rPr>
                <w:rFonts w:hint="default" w:ascii="Times New Roman" w:hAnsi="Times New Roman" w:eastAsia="宋体" w:cs="Times New Roman"/>
                <w:color w:val="auto"/>
                <w:spacing w:val="-2"/>
                <w:kern w:val="2"/>
                <w:sz w:val="24"/>
                <w:szCs w:val="24"/>
                <w:lang w:val="en-US" w:eastAsia="en-US" w:bidi="ar-SA"/>
              </w:rPr>
            </w:pPr>
          </w:p>
          <w:p>
            <w:pPr>
              <w:pStyle w:val="51"/>
              <w:ind w:left="42" w:right="42" w:firstLine="420"/>
              <w:rPr>
                <w:rFonts w:hint="default" w:ascii="Times New Roman" w:hAnsi="Times New Roman" w:eastAsia="宋体" w:cs="Times New Roman"/>
                <w:color w:val="auto"/>
                <w:spacing w:val="-2"/>
                <w:kern w:val="2"/>
                <w:sz w:val="24"/>
                <w:szCs w:val="24"/>
                <w:lang w:val="en-US" w:eastAsia="en-US" w:bidi="ar-SA"/>
              </w:rPr>
            </w:pPr>
          </w:p>
          <w:p>
            <w:pPr>
              <w:pStyle w:val="51"/>
              <w:ind w:left="42" w:right="42" w:firstLine="420"/>
              <w:rPr>
                <w:rFonts w:hint="default" w:ascii="Times New Roman" w:hAnsi="Times New Roman" w:eastAsia="宋体" w:cs="Times New Roman"/>
                <w:color w:val="auto"/>
                <w:spacing w:val="-2"/>
                <w:kern w:val="2"/>
                <w:sz w:val="24"/>
                <w:szCs w:val="24"/>
                <w:lang w:val="en-US" w:eastAsia="en-US" w:bidi="ar-SA"/>
              </w:rPr>
            </w:pPr>
          </w:p>
          <w:p>
            <w:pPr>
              <w:pStyle w:val="51"/>
              <w:ind w:left="42" w:right="42" w:firstLine="420"/>
              <w:rPr>
                <w:rFonts w:hint="default" w:ascii="Times New Roman" w:hAnsi="Times New Roman" w:eastAsia="宋体" w:cs="Times New Roman"/>
                <w:color w:val="auto"/>
                <w:spacing w:val="-2"/>
                <w:kern w:val="2"/>
                <w:sz w:val="24"/>
                <w:szCs w:val="24"/>
                <w:lang w:val="en-US" w:eastAsia="en-US" w:bidi="ar-SA"/>
              </w:rPr>
            </w:pPr>
          </w:p>
          <w:p>
            <w:pPr>
              <w:pStyle w:val="51"/>
              <w:ind w:left="42" w:right="42" w:firstLine="420"/>
              <w:rPr>
                <w:rFonts w:hint="default" w:ascii="Times New Roman" w:hAnsi="Times New Roman" w:eastAsia="宋体" w:cs="Times New Roman"/>
                <w:color w:val="auto"/>
                <w:spacing w:val="-2"/>
                <w:kern w:val="2"/>
                <w:sz w:val="24"/>
                <w:szCs w:val="24"/>
                <w:lang w:val="en-US" w:eastAsia="en-US" w:bidi="ar-SA"/>
              </w:rPr>
            </w:pPr>
          </w:p>
          <w:p>
            <w:pPr>
              <w:pStyle w:val="51"/>
              <w:ind w:left="42" w:right="42" w:firstLine="420"/>
              <w:rPr>
                <w:rFonts w:hint="default" w:ascii="Times New Roman" w:hAnsi="Times New Roman" w:eastAsia="宋体" w:cs="Times New Roman"/>
                <w:color w:val="auto"/>
                <w:spacing w:val="-2"/>
                <w:kern w:val="2"/>
                <w:sz w:val="24"/>
                <w:szCs w:val="24"/>
                <w:lang w:val="en-US" w:eastAsia="en-US" w:bidi="ar-SA"/>
              </w:rPr>
            </w:pPr>
          </w:p>
          <w:p>
            <w:pPr>
              <w:pStyle w:val="51"/>
              <w:ind w:left="42" w:right="42" w:firstLine="420"/>
              <w:rPr>
                <w:rFonts w:hint="default" w:ascii="Times New Roman" w:hAnsi="Times New Roman" w:eastAsia="宋体" w:cs="Times New Roman"/>
                <w:color w:val="auto"/>
                <w:spacing w:val="-2"/>
                <w:kern w:val="2"/>
                <w:sz w:val="24"/>
                <w:szCs w:val="24"/>
                <w:lang w:val="en-US" w:eastAsia="en-US" w:bidi="ar-SA"/>
              </w:rPr>
            </w:pPr>
          </w:p>
          <w:p>
            <w:pPr>
              <w:pStyle w:val="51"/>
              <w:ind w:left="42" w:right="42" w:firstLine="420"/>
              <w:rPr>
                <w:rFonts w:hint="default" w:ascii="Times New Roman" w:hAnsi="Times New Roman" w:eastAsia="宋体" w:cs="Times New Roman"/>
                <w:color w:val="auto"/>
                <w:spacing w:val="-2"/>
                <w:kern w:val="2"/>
                <w:sz w:val="24"/>
                <w:szCs w:val="24"/>
                <w:lang w:val="en-US" w:eastAsia="en-US" w:bidi="ar-SA"/>
              </w:rPr>
            </w:pPr>
          </w:p>
          <w:p>
            <w:pPr>
              <w:spacing w:before="5" w:line="320" w:lineRule="auto"/>
              <w:ind w:left="107" w:right="102" w:firstLine="480"/>
              <w:jc w:val="both"/>
              <w:rPr>
                <w:rFonts w:hint="default" w:ascii="宋体" w:hAnsi="宋体" w:eastAsia="宋体" w:cs="宋体"/>
                <w:b/>
                <w:bCs/>
                <w:color w:val="auto"/>
                <w:spacing w:val="-3"/>
                <w:sz w:val="24"/>
                <w:szCs w:val="24"/>
              </w:rPr>
            </w:pPr>
          </w:p>
        </w:tc>
      </w:tr>
    </w:tbl>
    <w:p>
      <w:pPr>
        <w:rPr>
          <w:color w:val="auto"/>
        </w:rPr>
        <w:sectPr>
          <w:footerReference r:id="rId7" w:type="default"/>
          <w:pgSz w:w="11906" w:h="16839"/>
          <w:pgMar w:top="1440" w:right="1080" w:bottom="1440" w:left="1080" w:header="0" w:footer="1078" w:gutter="0"/>
          <w:pgBorders>
            <w:top w:val="none" w:sz="0" w:space="0"/>
            <w:left w:val="none" w:sz="0" w:space="0"/>
            <w:bottom w:val="none" w:sz="0" w:space="0"/>
            <w:right w:val="none" w:sz="0" w:space="0"/>
          </w:pgBorders>
          <w:pgNumType w:fmt="decimal"/>
          <w:cols w:space="720" w:num="1"/>
        </w:sectPr>
      </w:pPr>
    </w:p>
    <w:tbl>
      <w:tblPr>
        <w:tblStyle w:val="31"/>
        <w:tblW w:w="9209" w:type="dxa"/>
        <w:tblInd w:w="-70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635"/>
        <w:gridCol w:w="8574"/>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99" w:hRule="atLeast"/>
        </w:trPr>
        <w:tc>
          <w:tcPr>
            <w:tcW w:w="635" w:type="dxa"/>
            <w:tcBorders>
              <w:top w:val="single" w:color="000000" w:sz="2" w:space="0"/>
              <w:right w:val="single" w:color="000000" w:sz="2" w:space="0"/>
            </w:tcBorders>
            <w:textDirection w:val="tbRlV"/>
            <w:vAlign w:val="top"/>
          </w:tcPr>
          <w:p>
            <w:pPr>
              <w:spacing w:before="132" w:line="216" w:lineRule="auto"/>
              <w:ind w:left="3596"/>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8"/>
                <w:sz w:val="24"/>
                <w:szCs w:val="24"/>
              </w:rPr>
              <w:t>运</w:t>
            </w:r>
            <w:r>
              <w:rPr>
                <w:rFonts w:hint="default" w:ascii="Times New Roman" w:hAnsi="Times New Roman" w:eastAsia="宋体" w:cs="Times New Roman"/>
                <w:color w:val="auto"/>
                <w:spacing w:val="-28"/>
                <w:sz w:val="24"/>
                <w:szCs w:val="24"/>
              </w:rPr>
              <w:t xml:space="preserve"> </w:t>
            </w:r>
            <w:r>
              <w:rPr>
                <w:rFonts w:hint="default" w:ascii="Times New Roman" w:hAnsi="Times New Roman" w:eastAsia="宋体" w:cs="Times New Roman"/>
                <w:color w:val="auto"/>
                <w:spacing w:val="8"/>
                <w:sz w:val="24"/>
                <w:szCs w:val="24"/>
              </w:rPr>
              <w:t>营</w:t>
            </w:r>
            <w:r>
              <w:rPr>
                <w:rFonts w:hint="default" w:ascii="Times New Roman" w:hAnsi="Times New Roman" w:eastAsia="宋体" w:cs="Times New Roman"/>
                <w:color w:val="auto"/>
                <w:spacing w:val="-38"/>
                <w:sz w:val="24"/>
                <w:szCs w:val="24"/>
              </w:rPr>
              <w:t xml:space="preserve"> </w:t>
            </w:r>
            <w:r>
              <w:rPr>
                <w:rFonts w:hint="default" w:ascii="Times New Roman" w:hAnsi="Times New Roman" w:eastAsia="宋体" w:cs="Times New Roman"/>
                <w:color w:val="auto"/>
                <w:spacing w:val="8"/>
                <w:sz w:val="24"/>
                <w:szCs w:val="24"/>
              </w:rPr>
              <w:t>期</w:t>
            </w:r>
            <w:r>
              <w:rPr>
                <w:rFonts w:hint="default" w:ascii="Times New Roman" w:hAnsi="Times New Roman" w:eastAsia="宋体" w:cs="Times New Roman"/>
                <w:color w:val="auto"/>
                <w:spacing w:val="-35"/>
                <w:sz w:val="24"/>
                <w:szCs w:val="24"/>
              </w:rPr>
              <w:t xml:space="preserve"> </w:t>
            </w:r>
            <w:r>
              <w:rPr>
                <w:rFonts w:hint="default" w:ascii="Times New Roman" w:hAnsi="Times New Roman" w:eastAsia="宋体" w:cs="Times New Roman"/>
                <w:color w:val="auto"/>
                <w:spacing w:val="8"/>
                <w:sz w:val="24"/>
                <w:szCs w:val="24"/>
              </w:rPr>
              <w:t>生</w:t>
            </w:r>
            <w:r>
              <w:rPr>
                <w:rFonts w:hint="default" w:ascii="Times New Roman" w:hAnsi="Times New Roman" w:eastAsia="宋体" w:cs="Times New Roman"/>
                <w:color w:val="auto"/>
                <w:spacing w:val="-37"/>
                <w:sz w:val="24"/>
                <w:szCs w:val="24"/>
              </w:rPr>
              <w:t xml:space="preserve"> </w:t>
            </w:r>
            <w:r>
              <w:rPr>
                <w:rFonts w:hint="default" w:ascii="Times New Roman" w:hAnsi="Times New Roman" w:eastAsia="宋体" w:cs="Times New Roman"/>
                <w:color w:val="auto"/>
                <w:spacing w:val="8"/>
                <w:sz w:val="24"/>
                <w:szCs w:val="24"/>
              </w:rPr>
              <w:t>态</w:t>
            </w:r>
            <w:r>
              <w:rPr>
                <w:rFonts w:hint="default" w:ascii="Times New Roman" w:hAnsi="Times New Roman" w:eastAsia="宋体" w:cs="Times New Roman"/>
                <w:color w:val="auto"/>
                <w:spacing w:val="-36"/>
                <w:sz w:val="24"/>
                <w:szCs w:val="24"/>
              </w:rPr>
              <w:t xml:space="preserve"> </w:t>
            </w:r>
            <w:r>
              <w:rPr>
                <w:rFonts w:hint="default" w:ascii="Times New Roman" w:hAnsi="Times New Roman" w:eastAsia="宋体" w:cs="Times New Roman"/>
                <w:color w:val="auto"/>
                <w:spacing w:val="8"/>
                <w:sz w:val="24"/>
                <w:szCs w:val="24"/>
              </w:rPr>
              <w:t>环</w:t>
            </w:r>
            <w:r>
              <w:rPr>
                <w:rFonts w:hint="default" w:ascii="Times New Roman" w:hAnsi="Times New Roman" w:eastAsia="宋体" w:cs="Times New Roman"/>
                <w:color w:val="auto"/>
                <w:spacing w:val="-37"/>
                <w:sz w:val="24"/>
                <w:szCs w:val="24"/>
              </w:rPr>
              <w:t xml:space="preserve"> </w:t>
            </w:r>
            <w:r>
              <w:rPr>
                <w:rFonts w:hint="default" w:ascii="Times New Roman" w:hAnsi="Times New Roman" w:eastAsia="宋体" w:cs="Times New Roman"/>
                <w:color w:val="auto"/>
                <w:spacing w:val="8"/>
                <w:sz w:val="24"/>
                <w:szCs w:val="24"/>
              </w:rPr>
              <w:t>境</w:t>
            </w:r>
            <w:r>
              <w:rPr>
                <w:rFonts w:hint="default" w:ascii="Times New Roman" w:hAnsi="Times New Roman" w:eastAsia="宋体" w:cs="Times New Roman"/>
                <w:color w:val="auto"/>
                <w:spacing w:val="-35"/>
                <w:sz w:val="24"/>
                <w:szCs w:val="24"/>
              </w:rPr>
              <w:t xml:space="preserve"> </w:t>
            </w:r>
            <w:r>
              <w:rPr>
                <w:rFonts w:hint="default" w:ascii="Times New Roman" w:hAnsi="Times New Roman" w:eastAsia="宋体" w:cs="Times New Roman"/>
                <w:color w:val="auto"/>
                <w:spacing w:val="8"/>
                <w:sz w:val="24"/>
                <w:szCs w:val="24"/>
              </w:rPr>
              <w:t>影</w:t>
            </w:r>
            <w:r>
              <w:rPr>
                <w:rFonts w:hint="default" w:ascii="Times New Roman" w:hAnsi="Times New Roman" w:eastAsia="宋体" w:cs="Times New Roman"/>
                <w:color w:val="auto"/>
                <w:spacing w:val="-38"/>
                <w:sz w:val="24"/>
                <w:szCs w:val="24"/>
              </w:rPr>
              <w:t xml:space="preserve"> </w:t>
            </w:r>
            <w:r>
              <w:rPr>
                <w:rFonts w:hint="default" w:ascii="Times New Roman" w:hAnsi="Times New Roman" w:eastAsia="宋体" w:cs="Times New Roman"/>
                <w:color w:val="auto"/>
                <w:spacing w:val="8"/>
                <w:sz w:val="24"/>
                <w:szCs w:val="24"/>
              </w:rPr>
              <w:t>响</w:t>
            </w:r>
            <w:r>
              <w:rPr>
                <w:rFonts w:hint="default" w:ascii="Times New Roman" w:hAnsi="Times New Roman" w:eastAsia="宋体" w:cs="Times New Roman"/>
                <w:color w:val="auto"/>
                <w:spacing w:val="-35"/>
                <w:sz w:val="24"/>
                <w:szCs w:val="24"/>
              </w:rPr>
              <w:t xml:space="preserve"> </w:t>
            </w:r>
            <w:r>
              <w:rPr>
                <w:rFonts w:hint="default" w:ascii="Times New Roman" w:hAnsi="Times New Roman" w:eastAsia="宋体" w:cs="Times New Roman"/>
                <w:color w:val="auto"/>
                <w:spacing w:val="8"/>
                <w:sz w:val="24"/>
                <w:szCs w:val="24"/>
              </w:rPr>
              <w:t>分</w:t>
            </w:r>
            <w:r>
              <w:rPr>
                <w:rFonts w:hint="default" w:ascii="Times New Roman" w:hAnsi="Times New Roman" w:eastAsia="宋体" w:cs="Times New Roman"/>
                <w:color w:val="auto"/>
                <w:spacing w:val="-38"/>
                <w:sz w:val="24"/>
                <w:szCs w:val="24"/>
              </w:rPr>
              <w:t xml:space="preserve"> </w:t>
            </w:r>
            <w:r>
              <w:rPr>
                <w:rFonts w:hint="default" w:ascii="Times New Roman" w:hAnsi="Times New Roman" w:eastAsia="宋体" w:cs="Times New Roman"/>
                <w:color w:val="auto"/>
                <w:spacing w:val="8"/>
                <w:sz w:val="24"/>
                <w:szCs w:val="24"/>
              </w:rPr>
              <w:t>析</w:t>
            </w:r>
          </w:p>
        </w:tc>
        <w:tc>
          <w:tcPr>
            <w:tcW w:w="8574" w:type="dxa"/>
            <w:tcBorders>
              <w:top w:val="single" w:color="000000" w:sz="2" w:space="0"/>
              <w:left w:val="single" w:color="000000" w:sz="2" w:space="0"/>
            </w:tcBorders>
            <w:vAlign w:val="top"/>
          </w:tcPr>
          <w:p>
            <w:pPr>
              <w:keepNext w:val="0"/>
              <w:keepLines w:val="0"/>
              <w:pageBreakBefore w:val="0"/>
              <w:widowControl w:val="0"/>
              <w:kinsoku/>
              <w:wordWrap/>
              <w:overflowPunct/>
              <w:topLinePunct w:val="0"/>
              <w:autoSpaceDE/>
              <w:autoSpaceDN/>
              <w:bidi w:val="0"/>
              <w:adjustRightInd/>
              <w:snapToGrid/>
              <w:spacing w:line="360" w:lineRule="auto"/>
              <w:ind w:left="21" w:leftChars="10" w:right="21" w:rightChars="10" w:firstLine="462" w:firstLineChars="200"/>
              <w:textAlignment w:val="auto"/>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4"/>
                <w:szCs w:val="24"/>
              </w:rPr>
              <w:t>1</w:t>
            </w:r>
            <w:r>
              <w:rPr>
                <w:rFonts w:hint="eastAsia" w:ascii="Times New Roman" w:hAnsi="Times New Roman" w:eastAsia="宋体" w:cs="Times New Roman"/>
                <w:b/>
                <w:bCs/>
                <w:color w:val="auto"/>
                <w:spacing w:val="-5"/>
                <w:sz w:val="24"/>
                <w:szCs w:val="24"/>
                <w:lang w:eastAsia="zh-CN"/>
              </w:rPr>
              <w:t>.</w:t>
            </w:r>
            <w:r>
              <w:rPr>
                <w:rFonts w:hint="default" w:ascii="Times New Roman" w:hAnsi="Times New Roman" w:eastAsia="宋体" w:cs="Times New Roman"/>
                <w:b/>
                <w:bCs/>
                <w:color w:val="auto"/>
                <w:spacing w:val="-5"/>
                <w:sz w:val="24"/>
                <w:szCs w:val="24"/>
              </w:rPr>
              <w:t>工频电场、工频磁场</w:t>
            </w:r>
          </w:p>
          <w:p>
            <w:pPr>
              <w:keepNext w:val="0"/>
              <w:keepLines w:val="0"/>
              <w:pageBreakBefore w:val="0"/>
              <w:widowControl w:val="0"/>
              <w:kinsoku/>
              <w:wordWrap/>
              <w:overflowPunct/>
              <w:topLinePunct w:val="0"/>
              <w:autoSpaceDE/>
              <w:autoSpaceDN/>
              <w:bidi w:val="0"/>
              <w:adjustRightInd/>
              <w:snapToGrid/>
              <w:spacing w:line="360" w:lineRule="auto"/>
              <w:ind w:left="21" w:leftChars="10" w:right="21" w:rightChars="10" w:firstLine="460" w:firstLineChars="200"/>
              <w:textAlignment w:val="auto"/>
              <w:rPr>
                <w:rFonts w:hint="default" w:ascii="Times New Roman" w:hAnsi="Times New Roman" w:eastAsia="宋体" w:cs="Times New Roman"/>
                <w:color w:val="auto"/>
                <w:spacing w:val="-5"/>
                <w:sz w:val="24"/>
                <w:szCs w:val="24"/>
              </w:rPr>
            </w:pPr>
            <w:r>
              <w:rPr>
                <w:rFonts w:hint="default" w:ascii="Times New Roman" w:hAnsi="Times New Roman" w:eastAsia="宋体" w:cs="Times New Roman"/>
                <w:color w:val="auto"/>
                <w:spacing w:val="-5"/>
                <w:sz w:val="24"/>
                <w:szCs w:val="24"/>
              </w:rPr>
              <w:t>根据《环境影响评价技术导则 输变电》（HJ24-2020），本项目输电线路架空线路边导线地面投影外</w:t>
            </w:r>
            <w:r>
              <w:rPr>
                <w:rFonts w:hint="eastAsia" w:ascii="Times New Roman" w:hAnsi="Times New Roman" w:eastAsia="宋体" w:cs="Times New Roman"/>
                <w:color w:val="auto"/>
                <w:spacing w:val="-5"/>
                <w:sz w:val="24"/>
                <w:szCs w:val="24"/>
                <w:lang w:val="en-US" w:eastAsia="zh-CN"/>
              </w:rPr>
              <w:t>西侧40m有一处民房。</w:t>
            </w:r>
            <w:r>
              <w:rPr>
                <w:rFonts w:hint="default" w:ascii="Times New Roman" w:hAnsi="Times New Roman" w:eastAsia="宋体" w:cs="Times New Roman"/>
                <w:color w:val="auto"/>
                <w:spacing w:val="-5"/>
                <w:sz w:val="24"/>
                <w:szCs w:val="24"/>
              </w:rPr>
              <w:t>根据本项目电磁环境影响专题评价，通过分析，预计本项目220kV架空线路运行期间的工频电场强度、工频磁场均能满足《电磁环境控制限值》（GB8702-2014）相应限值要求。评价详细内容参见本项目电磁环境影响专题评价。</w:t>
            </w:r>
          </w:p>
          <w:p>
            <w:pPr>
              <w:keepNext w:val="0"/>
              <w:keepLines w:val="0"/>
              <w:pageBreakBefore w:val="0"/>
              <w:widowControl w:val="0"/>
              <w:kinsoku/>
              <w:wordWrap/>
              <w:overflowPunct/>
              <w:topLinePunct w:val="0"/>
              <w:autoSpaceDE/>
              <w:autoSpaceDN/>
              <w:bidi w:val="0"/>
              <w:adjustRightInd/>
              <w:snapToGrid/>
              <w:spacing w:line="360" w:lineRule="auto"/>
              <w:ind w:left="21" w:leftChars="10" w:right="21" w:rightChars="10" w:firstLine="462" w:firstLineChars="200"/>
              <w:textAlignment w:val="auto"/>
              <w:rPr>
                <w:rFonts w:hint="default" w:ascii="Times New Roman" w:hAnsi="Times New Roman" w:eastAsia="宋体" w:cs="Times New Roman"/>
                <w:b/>
                <w:bCs/>
                <w:color w:val="auto"/>
                <w:spacing w:val="-5"/>
                <w:sz w:val="24"/>
                <w:szCs w:val="24"/>
              </w:rPr>
            </w:pPr>
            <w:r>
              <w:rPr>
                <w:rFonts w:hint="eastAsia" w:ascii="Times New Roman" w:hAnsi="Times New Roman" w:eastAsia="宋体" w:cs="Times New Roman"/>
                <w:b/>
                <w:bCs/>
                <w:color w:val="auto"/>
                <w:spacing w:val="-5"/>
                <w:sz w:val="24"/>
                <w:szCs w:val="24"/>
                <w:lang w:val="en-US" w:eastAsia="zh-CN"/>
              </w:rPr>
              <w:t>2</w:t>
            </w:r>
            <w:r>
              <w:rPr>
                <w:rFonts w:hint="default" w:ascii="Times New Roman" w:hAnsi="Times New Roman" w:eastAsia="宋体" w:cs="Times New Roman"/>
                <w:b/>
                <w:bCs/>
                <w:color w:val="auto"/>
                <w:spacing w:val="-5"/>
                <w:sz w:val="24"/>
                <w:szCs w:val="24"/>
              </w:rPr>
              <w:t>.运营期声环境影响分析</w:t>
            </w:r>
          </w:p>
          <w:p>
            <w:pPr>
              <w:keepNext w:val="0"/>
              <w:keepLines w:val="0"/>
              <w:pageBreakBefore w:val="0"/>
              <w:widowControl w:val="0"/>
              <w:kinsoku/>
              <w:wordWrap/>
              <w:overflowPunct/>
              <w:topLinePunct w:val="0"/>
              <w:autoSpaceDE/>
              <w:autoSpaceDN/>
              <w:bidi w:val="0"/>
              <w:adjustRightInd/>
              <w:snapToGrid/>
              <w:spacing w:line="360" w:lineRule="auto"/>
              <w:ind w:left="21" w:leftChars="10" w:right="21" w:rightChars="10" w:firstLine="460" w:firstLineChars="200"/>
              <w:textAlignment w:val="auto"/>
              <w:rPr>
                <w:rFonts w:hint="default" w:ascii="Times New Roman" w:hAnsi="Times New Roman" w:eastAsia="宋体" w:cs="Times New Roman"/>
                <w:color w:val="auto"/>
                <w:spacing w:val="-5"/>
                <w:sz w:val="24"/>
                <w:szCs w:val="24"/>
              </w:rPr>
            </w:pPr>
            <w:r>
              <w:rPr>
                <w:rFonts w:hint="default" w:ascii="Times New Roman" w:hAnsi="Times New Roman" w:eastAsia="宋体" w:cs="Times New Roman"/>
                <w:color w:val="auto"/>
                <w:spacing w:val="-5"/>
                <w:sz w:val="24"/>
                <w:szCs w:val="24"/>
              </w:rPr>
              <w:t>本项目220kV输电线路主要采用架空方式架设，220kV架空输电线路运行，电晕会产生一定的可听噪声，一般输电线路走廊下的噪声对声环境贡献值较小，不会改变线路周围的声环境质量现状。</w:t>
            </w:r>
          </w:p>
          <w:p>
            <w:pPr>
              <w:keepNext w:val="0"/>
              <w:keepLines w:val="0"/>
              <w:pageBreakBefore w:val="0"/>
              <w:widowControl w:val="0"/>
              <w:kinsoku/>
              <w:wordWrap/>
              <w:overflowPunct/>
              <w:topLinePunct w:val="0"/>
              <w:autoSpaceDE/>
              <w:autoSpaceDN/>
              <w:bidi w:val="0"/>
              <w:adjustRightInd/>
              <w:snapToGrid/>
              <w:spacing w:line="360" w:lineRule="auto"/>
              <w:ind w:left="21" w:leftChars="10" w:right="21" w:rightChars="10" w:firstLine="460" w:firstLineChars="200"/>
              <w:textAlignment w:val="auto"/>
              <w:rPr>
                <w:rFonts w:hint="default" w:ascii="Times New Roman" w:hAnsi="Times New Roman" w:eastAsia="宋体" w:cs="Times New Roman"/>
                <w:color w:val="auto"/>
                <w:spacing w:val="-5"/>
                <w:sz w:val="24"/>
                <w:szCs w:val="24"/>
              </w:rPr>
            </w:pPr>
            <w:r>
              <w:rPr>
                <w:rFonts w:hint="default" w:ascii="Times New Roman" w:hAnsi="Times New Roman" w:eastAsia="宋体" w:cs="Times New Roman"/>
                <w:color w:val="auto"/>
                <w:spacing w:val="-5"/>
                <w:sz w:val="24"/>
                <w:szCs w:val="24"/>
              </w:rPr>
              <w:t>（1）类比对象</w:t>
            </w:r>
          </w:p>
          <w:p>
            <w:pPr>
              <w:keepNext w:val="0"/>
              <w:keepLines w:val="0"/>
              <w:pageBreakBefore w:val="0"/>
              <w:widowControl w:val="0"/>
              <w:kinsoku/>
              <w:wordWrap/>
              <w:overflowPunct/>
              <w:topLinePunct w:val="0"/>
              <w:autoSpaceDE/>
              <w:autoSpaceDN/>
              <w:bidi w:val="0"/>
              <w:adjustRightInd/>
              <w:snapToGrid/>
              <w:spacing w:line="360" w:lineRule="auto"/>
              <w:ind w:left="21" w:leftChars="10" w:right="21" w:rightChars="10" w:firstLine="460" w:firstLineChars="200"/>
              <w:textAlignment w:val="auto"/>
              <w:rPr>
                <w:rFonts w:hint="default" w:ascii="Times New Roman" w:hAnsi="Times New Roman" w:eastAsia="宋体" w:cs="Times New Roman"/>
                <w:color w:val="auto"/>
                <w:spacing w:val="-5"/>
                <w:sz w:val="24"/>
                <w:szCs w:val="24"/>
              </w:rPr>
            </w:pPr>
            <w:r>
              <w:rPr>
                <w:rFonts w:hint="default" w:ascii="Times New Roman" w:hAnsi="Times New Roman" w:eastAsia="宋体" w:cs="Times New Roman"/>
                <w:color w:val="auto"/>
                <w:spacing w:val="-5"/>
                <w:sz w:val="24"/>
                <w:szCs w:val="24"/>
              </w:rPr>
              <w:t>为预测本项目220kV架空线路运行后产生的声环境影响，选取与本项目电压等级、导线类型、架线形式及线高类似线路，拟建220kV单回线路选择湖南长沙市浏阳市220kV鼎丛线</w:t>
            </w:r>
            <w:r>
              <w:rPr>
                <w:rFonts w:hint="eastAsia" w:ascii="Times New Roman" w:hAnsi="Times New Roman" w:eastAsia="宋体" w:cs="Times New Roman"/>
                <w:color w:val="auto"/>
                <w:spacing w:val="-5"/>
                <w:sz w:val="24"/>
                <w:szCs w:val="24"/>
                <w:lang w:eastAsia="zh-CN"/>
              </w:rPr>
              <w:t>Ⅱ</w:t>
            </w:r>
            <w:r>
              <w:rPr>
                <w:rFonts w:hint="default" w:ascii="Times New Roman" w:hAnsi="Times New Roman" w:eastAsia="宋体" w:cs="Times New Roman"/>
                <w:color w:val="auto"/>
                <w:spacing w:val="-5"/>
                <w:sz w:val="24"/>
                <w:szCs w:val="24"/>
              </w:rPr>
              <w:t>线作为类比对象。线路类比情况见</w:t>
            </w:r>
            <w:r>
              <w:rPr>
                <w:rFonts w:hint="eastAsia" w:ascii="Times New Roman" w:hAnsi="Times New Roman" w:eastAsia="宋体" w:cs="Times New Roman"/>
                <w:color w:val="auto"/>
                <w:spacing w:val="-5"/>
                <w:sz w:val="24"/>
                <w:szCs w:val="24"/>
                <w:lang w:val="en-US" w:eastAsia="zh-CN"/>
              </w:rPr>
              <w:t>下</w:t>
            </w:r>
            <w:r>
              <w:rPr>
                <w:rFonts w:hint="default" w:ascii="Times New Roman" w:hAnsi="Times New Roman" w:eastAsia="宋体" w:cs="Times New Roman"/>
                <w:color w:val="auto"/>
                <w:spacing w:val="-5"/>
                <w:sz w:val="24"/>
                <w:szCs w:val="24"/>
              </w:rPr>
              <w:t>表。</w:t>
            </w:r>
          </w:p>
          <w:p>
            <w:pPr>
              <w:pStyle w:val="38"/>
              <w:spacing w:line="213" w:lineRule="auto"/>
              <w:ind w:left="2747"/>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pacing w:val="-3"/>
                <w:sz w:val="21"/>
                <w:szCs w:val="21"/>
              </w:rPr>
              <w:t>表</w:t>
            </w:r>
            <w:r>
              <w:rPr>
                <w:rFonts w:hint="default" w:ascii="Times New Roman" w:hAnsi="Times New Roman" w:eastAsia="宋体" w:cs="Times New Roman"/>
                <w:color w:val="auto"/>
                <w:spacing w:val="-43"/>
                <w:sz w:val="21"/>
                <w:szCs w:val="21"/>
              </w:rPr>
              <w:t xml:space="preserve"> </w:t>
            </w:r>
            <w:r>
              <w:rPr>
                <w:rFonts w:hint="default" w:ascii="Times New Roman" w:hAnsi="Times New Roman" w:eastAsia="宋体" w:cs="Times New Roman"/>
                <w:b/>
                <w:bCs/>
                <w:color w:val="auto"/>
                <w:spacing w:val="-3"/>
                <w:sz w:val="21"/>
                <w:szCs w:val="21"/>
              </w:rPr>
              <w:t>4-</w:t>
            </w:r>
            <w:r>
              <w:rPr>
                <w:rFonts w:hint="eastAsia" w:ascii="Times New Roman" w:hAnsi="Times New Roman" w:eastAsia="宋体" w:cs="Times New Roman"/>
                <w:b/>
                <w:bCs/>
                <w:color w:val="auto"/>
                <w:spacing w:val="-3"/>
                <w:sz w:val="21"/>
                <w:szCs w:val="21"/>
                <w:lang w:val="en-US" w:eastAsia="zh-CN"/>
              </w:rPr>
              <w:t>3</w:t>
            </w:r>
            <w:r>
              <w:rPr>
                <w:rFonts w:hint="default" w:ascii="Times New Roman" w:hAnsi="Times New Roman" w:eastAsia="宋体" w:cs="Times New Roman"/>
                <w:b/>
                <w:bCs/>
                <w:color w:val="auto"/>
                <w:spacing w:val="-3"/>
                <w:sz w:val="21"/>
                <w:szCs w:val="21"/>
              </w:rPr>
              <w:t xml:space="preserve"> </w:t>
            </w:r>
            <w:r>
              <w:rPr>
                <w:rFonts w:hint="eastAsia" w:ascii="Times New Roman" w:hAnsi="Times New Roman" w:eastAsia="宋体" w:cs="Times New Roman"/>
                <w:b/>
                <w:bCs/>
                <w:color w:val="auto"/>
                <w:spacing w:val="-3"/>
                <w:sz w:val="21"/>
                <w:szCs w:val="21"/>
                <w:lang w:val="en-US" w:eastAsia="zh-CN"/>
              </w:rPr>
              <w:t xml:space="preserve">   </w:t>
            </w:r>
            <w:r>
              <w:rPr>
                <w:rFonts w:hint="default" w:ascii="Times New Roman" w:hAnsi="Times New Roman" w:eastAsia="宋体" w:cs="Times New Roman"/>
                <w:b/>
                <w:bCs/>
                <w:color w:val="auto"/>
                <w:spacing w:val="-3"/>
                <w:sz w:val="21"/>
                <w:szCs w:val="21"/>
              </w:rPr>
              <w:t>单回线路类比情况一览表</w:t>
            </w:r>
          </w:p>
          <w:tbl>
            <w:tblPr>
              <w:tblStyle w:val="31"/>
              <w:tblW w:w="488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07"/>
              <w:gridCol w:w="1920"/>
              <w:gridCol w:w="2012"/>
              <w:gridCol w:w="321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jc w:val="center"/>
              </w:trPr>
              <w:tc>
                <w:tcPr>
                  <w:tcW w:w="722"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val="0"/>
                      <w:bCs w:val="0"/>
                      <w:color w:val="auto"/>
                      <w:sz w:val="20"/>
                      <w:szCs w:val="20"/>
                    </w:rPr>
                  </w:pPr>
                  <w:r>
                    <w:rPr>
                      <w:rFonts w:hint="default" w:ascii="Times New Roman" w:hAnsi="Times New Roman" w:eastAsia="宋体" w:cs="Times New Roman"/>
                      <w:b w:val="0"/>
                      <w:bCs w:val="0"/>
                      <w:color w:val="auto"/>
                      <w:spacing w:val="5"/>
                      <w:sz w:val="20"/>
                      <w:szCs w:val="20"/>
                    </w:rPr>
                    <w:t>项目名称</w:t>
                  </w:r>
                </w:p>
              </w:tc>
              <w:tc>
                <w:tcPr>
                  <w:tcW w:w="1149"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val="0"/>
                      <w:bCs w:val="0"/>
                      <w:color w:val="auto"/>
                      <w:sz w:val="20"/>
                      <w:szCs w:val="20"/>
                    </w:rPr>
                  </w:pPr>
                  <w:r>
                    <w:rPr>
                      <w:rFonts w:hint="default" w:ascii="Times New Roman" w:hAnsi="Times New Roman" w:eastAsia="宋体" w:cs="Times New Roman"/>
                      <w:b w:val="0"/>
                      <w:bCs w:val="0"/>
                      <w:color w:val="auto"/>
                      <w:spacing w:val="7"/>
                      <w:sz w:val="20"/>
                      <w:szCs w:val="20"/>
                    </w:rPr>
                    <w:t>本项目架空线路</w:t>
                  </w:r>
                </w:p>
              </w:tc>
              <w:tc>
                <w:tcPr>
                  <w:tcW w:w="1204"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val="0"/>
                      <w:bCs w:val="0"/>
                      <w:color w:val="auto"/>
                      <w:sz w:val="20"/>
                      <w:szCs w:val="20"/>
                    </w:rPr>
                  </w:pPr>
                  <w:r>
                    <w:rPr>
                      <w:rFonts w:hint="default" w:ascii="Times New Roman" w:hAnsi="Times New Roman" w:eastAsia="宋体" w:cs="Times New Roman"/>
                      <w:b w:val="0"/>
                      <w:bCs w:val="0"/>
                      <w:color w:val="auto"/>
                      <w:spacing w:val="6"/>
                      <w:sz w:val="20"/>
                      <w:szCs w:val="20"/>
                    </w:rPr>
                    <w:t>220</w:t>
                  </w:r>
                  <w:r>
                    <w:rPr>
                      <w:rFonts w:hint="default" w:ascii="Times New Roman" w:hAnsi="Times New Roman" w:eastAsia="宋体" w:cs="Times New Roman"/>
                      <w:b w:val="0"/>
                      <w:bCs w:val="0"/>
                      <w:color w:val="auto"/>
                      <w:sz w:val="20"/>
                      <w:szCs w:val="20"/>
                    </w:rPr>
                    <w:t>kV</w:t>
                  </w:r>
                  <w:r>
                    <w:rPr>
                      <w:rFonts w:hint="default" w:ascii="Times New Roman" w:hAnsi="Times New Roman" w:eastAsia="宋体" w:cs="Times New Roman"/>
                      <w:b w:val="0"/>
                      <w:bCs w:val="0"/>
                      <w:color w:val="auto"/>
                      <w:spacing w:val="6"/>
                      <w:sz w:val="20"/>
                      <w:szCs w:val="20"/>
                    </w:rPr>
                    <w:t>鼎丛线</w:t>
                  </w:r>
                  <w:r>
                    <w:rPr>
                      <w:rFonts w:hint="default" w:ascii="Times New Roman" w:hAnsi="Times New Roman" w:eastAsia="宋体" w:cs="Times New Roman"/>
                      <w:b w:val="0"/>
                      <w:bCs w:val="0"/>
                      <w:color w:val="auto"/>
                      <w:spacing w:val="-41"/>
                      <w:sz w:val="20"/>
                      <w:szCs w:val="20"/>
                    </w:rPr>
                    <w:t xml:space="preserve"> </w:t>
                  </w:r>
                  <w:r>
                    <w:rPr>
                      <w:rFonts w:hint="eastAsia" w:ascii="Times New Roman" w:hAnsi="Times New Roman" w:eastAsia="宋体" w:cs="Times New Roman"/>
                      <w:b w:val="0"/>
                      <w:bCs w:val="0"/>
                      <w:color w:val="auto"/>
                      <w:spacing w:val="-41"/>
                      <w:sz w:val="20"/>
                      <w:szCs w:val="20"/>
                      <w:lang w:eastAsia="zh-CN"/>
                    </w:rPr>
                    <w:t>Ⅱ</w:t>
                  </w:r>
                  <w:r>
                    <w:rPr>
                      <w:rFonts w:hint="default" w:ascii="Times New Roman" w:hAnsi="Times New Roman" w:eastAsia="宋体" w:cs="Times New Roman"/>
                      <w:b w:val="0"/>
                      <w:bCs w:val="0"/>
                      <w:color w:val="auto"/>
                      <w:spacing w:val="6"/>
                      <w:sz w:val="20"/>
                      <w:szCs w:val="20"/>
                    </w:rPr>
                    <w:t>线</w:t>
                  </w:r>
                </w:p>
              </w:tc>
              <w:tc>
                <w:tcPr>
                  <w:tcW w:w="1923"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val="0"/>
                      <w:bCs w:val="0"/>
                      <w:color w:val="auto"/>
                      <w:sz w:val="20"/>
                      <w:szCs w:val="20"/>
                    </w:rPr>
                  </w:pPr>
                  <w:r>
                    <w:rPr>
                      <w:rFonts w:hint="default" w:ascii="Times New Roman" w:hAnsi="Times New Roman" w:eastAsia="宋体" w:cs="Times New Roman"/>
                      <w:b w:val="0"/>
                      <w:bCs w:val="0"/>
                      <w:color w:val="auto"/>
                      <w:spacing w:val="6"/>
                      <w:sz w:val="20"/>
                      <w:szCs w:val="20"/>
                    </w:rPr>
                    <w:t>可比性分析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7" w:hRule="atLeast"/>
                <w:jc w:val="center"/>
              </w:trPr>
              <w:tc>
                <w:tcPr>
                  <w:tcW w:w="722"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0"/>
                      <w:szCs w:val="20"/>
                    </w:rPr>
                  </w:pPr>
                  <w:r>
                    <w:rPr>
                      <w:rFonts w:hint="default" w:ascii="Times New Roman" w:hAnsi="Times New Roman" w:eastAsia="宋体" w:cs="Times New Roman"/>
                      <w:color w:val="auto"/>
                      <w:spacing w:val="1"/>
                      <w:sz w:val="20"/>
                      <w:szCs w:val="20"/>
                    </w:rPr>
                    <w:t>电压等级</w:t>
                  </w:r>
                </w:p>
              </w:tc>
              <w:tc>
                <w:tcPr>
                  <w:tcW w:w="1149"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0"/>
                      <w:szCs w:val="20"/>
                    </w:rPr>
                  </w:pPr>
                  <w:r>
                    <w:rPr>
                      <w:rFonts w:hint="default" w:ascii="Times New Roman" w:hAnsi="Times New Roman" w:eastAsia="宋体" w:cs="Times New Roman"/>
                      <w:color w:val="auto"/>
                      <w:spacing w:val="7"/>
                      <w:sz w:val="20"/>
                      <w:szCs w:val="20"/>
                    </w:rPr>
                    <w:t>220</w:t>
                  </w:r>
                  <w:r>
                    <w:rPr>
                      <w:rFonts w:hint="default" w:ascii="Times New Roman" w:hAnsi="Times New Roman" w:eastAsia="宋体" w:cs="Times New Roman"/>
                      <w:color w:val="auto"/>
                      <w:sz w:val="20"/>
                      <w:szCs w:val="20"/>
                    </w:rPr>
                    <w:t>kV</w:t>
                  </w:r>
                </w:p>
              </w:tc>
              <w:tc>
                <w:tcPr>
                  <w:tcW w:w="1204"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0"/>
                      <w:szCs w:val="20"/>
                    </w:rPr>
                  </w:pPr>
                  <w:r>
                    <w:rPr>
                      <w:rFonts w:hint="default" w:ascii="Times New Roman" w:hAnsi="Times New Roman" w:eastAsia="宋体" w:cs="Times New Roman"/>
                      <w:color w:val="auto"/>
                      <w:spacing w:val="6"/>
                      <w:sz w:val="20"/>
                      <w:szCs w:val="20"/>
                    </w:rPr>
                    <w:t>220</w:t>
                  </w:r>
                  <w:r>
                    <w:rPr>
                      <w:rFonts w:hint="default" w:ascii="Times New Roman" w:hAnsi="Times New Roman" w:eastAsia="宋体" w:cs="Times New Roman"/>
                      <w:color w:val="auto"/>
                      <w:sz w:val="20"/>
                      <w:szCs w:val="20"/>
                    </w:rPr>
                    <w:t>kV</w:t>
                  </w:r>
                </w:p>
              </w:tc>
              <w:tc>
                <w:tcPr>
                  <w:tcW w:w="1923"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0"/>
                      <w:szCs w:val="20"/>
                    </w:rPr>
                  </w:pPr>
                  <w:r>
                    <w:rPr>
                      <w:rFonts w:hint="default" w:ascii="Times New Roman" w:hAnsi="Times New Roman" w:eastAsia="宋体" w:cs="Times New Roman"/>
                      <w:color w:val="auto"/>
                      <w:spacing w:val="4"/>
                      <w:sz w:val="20"/>
                      <w:szCs w:val="20"/>
                    </w:rPr>
                    <w:t>电压等级相同</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6" w:hRule="atLeast"/>
                <w:jc w:val="center"/>
              </w:trPr>
              <w:tc>
                <w:tcPr>
                  <w:tcW w:w="722"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0"/>
                      <w:szCs w:val="20"/>
                    </w:rPr>
                  </w:pPr>
                  <w:r>
                    <w:rPr>
                      <w:rFonts w:hint="default" w:ascii="Times New Roman" w:hAnsi="Times New Roman" w:eastAsia="宋体" w:cs="Times New Roman"/>
                      <w:color w:val="auto"/>
                      <w:spacing w:val="7"/>
                      <w:sz w:val="20"/>
                      <w:szCs w:val="20"/>
                    </w:rPr>
                    <w:t>架线形式</w:t>
                  </w:r>
                </w:p>
              </w:tc>
              <w:tc>
                <w:tcPr>
                  <w:tcW w:w="1149"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0"/>
                      <w:szCs w:val="20"/>
                    </w:rPr>
                  </w:pPr>
                  <w:r>
                    <w:rPr>
                      <w:rFonts w:hint="default" w:ascii="Times New Roman" w:hAnsi="Times New Roman" w:eastAsia="宋体" w:cs="Times New Roman"/>
                      <w:color w:val="auto"/>
                      <w:spacing w:val="3"/>
                      <w:sz w:val="20"/>
                      <w:szCs w:val="20"/>
                    </w:rPr>
                    <w:t>单回</w:t>
                  </w:r>
                </w:p>
              </w:tc>
              <w:tc>
                <w:tcPr>
                  <w:tcW w:w="1204"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0"/>
                      <w:szCs w:val="20"/>
                    </w:rPr>
                  </w:pPr>
                  <w:r>
                    <w:rPr>
                      <w:rFonts w:hint="default" w:ascii="Times New Roman" w:hAnsi="Times New Roman" w:eastAsia="宋体" w:cs="Times New Roman"/>
                      <w:color w:val="auto"/>
                      <w:spacing w:val="3"/>
                      <w:sz w:val="20"/>
                      <w:szCs w:val="20"/>
                    </w:rPr>
                    <w:t>单回</w:t>
                  </w:r>
                </w:p>
              </w:tc>
              <w:tc>
                <w:tcPr>
                  <w:tcW w:w="1923"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0"/>
                      <w:szCs w:val="20"/>
                    </w:rPr>
                  </w:pPr>
                  <w:r>
                    <w:rPr>
                      <w:rFonts w:hint="default" w:ascii="Times New Roman" w:hAnsi="Times New Roman" w:eastAsia="宋体" w:cs="Times New Roman"/>
                      <w:color w:val="auto"/>
                      <w:spacing w:val="8"/>
                      <w:sz w:val="20"/>
                      <w:szCs w:val="20"/>
                    </w:rPr>
                    <w:t>架线形式相同</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8" w:hRule="atLeast"/>
                <w:jc w:val="center"/>
              </w:trPr>
              <w:tc>
                <w:tcPr>
                  <w:tcW w:w="722"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0"/>
                      <w:szCs w:val="20"/>
                    </w:rPr>
                  </w:pPr>
                  <w:r>
                    <w:rPr>
                      <w:rFonts w:hint="default" w:ascii="Times New Roman" w:hAnsi="Times New Roman" w:eastAsia="宋体" w:cs="Times New Roman"/>
                      <w:color w:val="auto"/>
                      <w:spacing w:val="5"/>
                      <w:sz w:val="20"/>
                      <w:szCs w:val="20"/>
                    </w:rPr>
                    <w:t>导线型号</w:t>
                  </w:r>
                </w:p>
              </w:tc>
              <w:tc>
                <w:tcPr>
                  <w:tcW w:w="1149"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vertAlign w:val="baseline"/>
                      <w:lang w:val="en-US" w:eastAsia="zh-CN"/>
                    </w:rPr>
                    <w:t>1×JL3/G1A-400/35</w:t>
                  </w:r>
                </w:p>
              </w:tc>
              <w:tc>
                <w:tcPr>
                  <w:tcW w:w="1204"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vertAlign w:val="baseline"/>
                      <w:lang w:val="en-US" w:eastAsia="zh-CN"/>
                    </w:rPr>
                    <w:t>1×JL3/G1A-400/35</w:t>
                  </w:r>
                </w:p>
              </w:tc>
              <w:tc>
                <w:tcPr>
                  <w:tcW w:w="1923"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0"/>
                      <w:szCs w:val="20"/>
                    </w:rPr>
                  </w:pPr>
                  <w:r>
                    <w:rPr>
                      <w:rFonts w:hint="default" w:ascii="Times New Roman" w:hAnsi="Times New Roman" w:eastAsia="宋体" w:cs="Times New Roman"/>
                      <w:color w:val="auto"/>
                      <w:spacing w:val="7"/>
                      <w:sz w:val="20"/>
                      <w:szCs w:val="20"/>
                    </w:rPr>
                    <w:t>导线截面积相同</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11" w:hRule="atLeast"/>
                <w:jc w:val="center"/>
              </w:trPr>
              <w:tc>
                <w:tcPr>
                  <w:tcW w:w="722"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0"/>
                      <w:szCs w:val="20"/>
                    </w:rPr>
                  </w:pPr>
                  <w:r>
                    <w:rPr>
                      <w:rFonts w:hint="default" w:ascii="Times New Roman" w:hAnsi="Times New Roman" w:eastAsia="宋体" w:cs="Times New Roman"/>
                      <w:color w:val="auto"/>
                      <w:spacing w:val="3"/>
                      <w:sz w:val="20"/>
                      <w:szCs w:val="20"/>
                    </w:rPr>
                    <w:t>线高</w:t>
                  </w:r>
                </w:p>
              </w:tc>
              <w:tc>
                <w:tcPr>
                  <w:tcW w:w="1149"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0"/>
                      <w:szCs w:val="20"/>
                    </w:rPr>
                  </w:pPr>
                  <w:r>
                    <w:rPr>
                      <w:rFonts w:hint="default" w:ascii="Times New Roman" w:hAnsi="Times New Roman" w:eastAsia="宋体" w:cs="Times New Roman"/>
                      <w:color w:val="auto"/>
                      <w:spacing w:val="8"/>
                      <w:sz w:val="20"/>
                      <w:szCs w:val="20"/>
                    </w:rPr>
                    <w:t>经过居民区最低</w:t>
                  </w:r>
                  <w:r>
                    <w:rPr>
                      <w:rFonts w:hint="default" w:ascii="Times New Roman" w:hAnsi="Times New Roman" w:eastAsia="宋体" w:cs="Times New Roman"/>
                      <w:color w:val="auto"/>
                      <w:spacing w:val="-3"/>
                      <w:sz w:val="20"/>
                      <w:szCs w:val="20"/>
                    </w:rPr>
                    <w:t>约</w:t>
                  </w:r>
                  <w:r>
                    <w:rPr>
                      <w:rFonts w:hint="default" w:ascii="Times New Roman" w:hAnsi="Times New Roman" w:eastAsia="宋体" w:cs="Times New Roman"/>
                      <w:color w:val="auto"/>
                      <w:spacing w:val="-23"/>
                      <w:sz w:val="20"/>
                      <w:szCs w:val="20"/>
                      <w:lang w:val="en-US" w:eastAsia="zh-CN"/>
                    </w:rPr>
                    <w:t>15</w:t>
                  </w:r>
                  <w:r>
                    <w:rPr>
                      <w:rFonts w:hint="default" w:ascii="Times New Roman" w:hAnsi="Times New Roman" w:eastAsia="宋体" w:cs="Times New Roman"/>
                      <w:color w:val="auto"/>
                      <w:spacing w:val="-3"/>
                      <w:sz w:val="20"/>
                      <w:szCs w:val="20"/>
                    </w:rPr>
                    <w:t>m</w:t>
                  </w:r>
                </w:p>
              </w:tc>
              <w:tc>
                <w:tcPr>
                  <w:tcW w:w="1204"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0"/>
                      <w:szCs w:val="20"/>
                    </w:rPr>
                  </w:pPr>
                  <w:r>
                    <w:rPr>
                      <w:rFonts w:hint="default" w:ascii="Times New Roman" w:hAnsi="Times New Roman" w:eastAsia="宋体" w:cs="Times New Roman"/>
                      <w:color w:val="auto"/>
                      <w:spacing w:val="1"/>
                      <w:sz w:val="20"/>
                      <w:szCs w:val="20"/>
                    </w:rPr>
                    <w:t>最低约15m</w:t>
                  </w:r>
                </w:p>
              </w:tc>
              <w:tc>
                <w:tcPr>
                  <w:tcW w:w="1923"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eastAsia" w:ascii="Times New Roman" w:hAnsi="Times New Roman" w:eastAsia="宋体" w:cs="Times New Roman"/>
                      <w:color w:val="auto"/>
                      <w:sz w:val="20"/>
                      <w:szCs w:val="20"/>
                      <w:lang w:eastAsia="zh-CN"/>
                    </w:rPr>
                  </w:pPr>
                  <w:r>
                    <w:rPr>
                      <w:rFonts w:hint="default" w:ascii="Times New Roman" w:hAnsi="Times New Roman" w:eastAsia="宋体" w:cs="Times New Roman"/>
                      <w:color w:val="auto"/>
                      <w:spacing w:val="9"/>
                      <w:sz w:val="20"/>
                      <w:szCs w:val="20"/>
                    </w:rPr>
                    <w:t>类比线路导线高度为监测处的</w:t>
                  </w:r>
                  <w:r>
                    <w:rPr>
                      <w:rFonts w:hint="default" w:ascii="Times New Roman" w:hAnsi="Times New Roman" w:eastAsia="宋体" w:cs="Times New Roman"/>
                      <w:color w:val="auto"/>
                      <w:spacing w:val="7"/>
                      <w:sz w:val="20"/>
                      <w:szCs w:val="20"/>
                    </w:rPr>
                    <w:t>实际架设高度；而本项目线路高</w:t>
                  </w:r>
                  <w:r>
                    <w:rPr>
                      <w:rFonts w:hint="default" w:ascii="Times New Roman" w:hAnsi="Times New Roman" w:eastAsia="宋体" w:cs="Times New Roman"/>
                      <w:color w:val="auto"/>
                      <w:spacing w:val="9"/>
                      <w:sz w:val="20"/>
                      <w:szCs w:val="20"/>
                    </w:rPr>
                    <w:t>度为设计规范规定的导线对地</w:t>
                  </w:r>
                  <w:r>
                    <w:rPr>
                      <w:rFonts w:hint="default" w:ascii="Times New Roman" w:hAnsi="Times New Roman" w:eastAsia="宋体" w:cs="Times New Roman"/>
                      <w:color w:val="auto"/>
                      <w:spacing w:val="7"/>
                      <w:sz w:val="20"/>
                      <w:szCs w:val="20"/>
                    </w:rPr>
                    <w:t>最低高度，通过理论预测与实际监测结果对比，可以反映出理论预测的准确性</w:t>
                  </w:r>
                  <w:r>
                    <w:rPr>
                      <w:rFonts w:hint="eastAsia" w:ascii="Times New Roman" w:hAnsi="Times New Roman" w:eastAsia="宋体" w:cs="Times New Roman"/>
                      <w:color w:val="auto"/>
                      <w:spacing w:val="7"/>
                      <w:sz w:val="20"/>
                      <w:szCs w:val="20"/>
                      <w:lang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1" w:hRule="atLeast"/>
                <w:jc w:val="center"/>
              </w:trPr>
              <w:tc>
                <w:tcPr>
                  <w:tcW w:w="722"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0"/>
                      <w:szCs w:val="20"/>
                    </w:rPr>
                  </w:pPr>
                  <w:r>
                    <w:rPr>
                      <w:rFonts w:hint="default" w:ascii="Times New Roman" w:hAnsi="Times New Roman" w:eastAsia="宋体" w:cs="Times New Roman"/>
                      <w:color w:val="auto"/>
                      <w:spacing w:val="7"/>
                      <w:sz w:val="20"/>
                      <w:szCs w:val="20"/>
                    </w:rPr>
                    <w:t>所在区域</w:t>
                  </w:r>
                </w:p>
              </w:tc>
              <w:tc>
                <w:tcPr>
                  <w:tcW w:w="1149"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0"/>
                      <w:szCs w:val="20"/>
                      <w:lang w:val="en-US" w:eastAsia="zh-CN"/>
                    </w:rPr>
                  </w:pPr>
                  <w:r>
                    <w:rPr>
                      <w:rFonts w:hint="default" w:ascii="Times New Roman" w:hAnsi="Times New Roman" w:eastAsia="宋体" w:cs="Times New Roman"/>
                      <w:color w:val="auto"/>
                      <w:spacing w:val="8"/>
                      <w:sz w:val="20"/>
                      <w:szCs w:val="20"/>
                      <w:lang w:val="en-US" w:eastAsia="zh-CN"/>
                    </w:rPr>
                    <w:t>辽宁朝阳区</w:t>
                  </w:r>
                </w:p>
              </w:tc>
              <w:tc>
                <w:tcPr>
                  <w:tcW w:w="1204"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0"/>
                      <w:szCs w:val="20"/>
                    </w:rPr>
                  </w:pPr>
                  <w:r>
                    <w:rPr>
                      <w:rFonts w:hint="default" w:ascii="Times New Roman" w:hAnsi="Times New Roman" w:eastAsia="宋体" w:cs="Times New Roman"/>
                      <w:color w:val="auto"/>
                      <w:spacing w:val="7"/>
                      <w:sz w:val="20"/>
                      <w:szCs w:val="20"/>
                    </w:rPr>
                    <w:t>湖南常德</w:t>
                  </w:r>
                </w:p>
              </w:tc>
              <w:tc>
                <w:tcPr>
                  <w:tcW w:w="1923"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0"/>
                      <w:szCs w:val="20"/>
                    </w:rPr>
                  </w:pPr>
                  <w:r>
                    <w:rPr>
                      <w:rFonts w:hint="default" w:ascii="Times New Roman" w:hAnsi="Times New Roman" w:eastAsia="宋体" w:cs="Times New Roman"/>
                      <w:color w:val="auto"/>
                      <w:spacing w:val="2"/>
                      <w:sz w:val="20"/>
                      <w:szCs w:val="20"/>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722"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0"/>
                      <w:szCs w:val="20"/>
                    </w:rPr>
                  </w:pPr>
                  <w:r>
                    <w:rPr>
                      <w:rFonts w:hint="default" w:ascii="Times New Roman" w:hAnsi="Times New Roman" w:eastAsia="宋体" w:cs="Times New Roman"/>
                      <w:color w:val="auto"/>
                      <w:spacing w:val="3"/>
                      <w:sz w:val="20"/>
                      <w:szCs w:val="20"/>
                    </w:rPr>
                    <w:t>区域环境</w:t>
                  </w:r>
                </w:p>
              </w:tc>
              <w:tc>
                <w:tcPr>
                  <w:tcW w:w="1149"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0"/>
                      <w:szCs w:val="20"/>
                    </w:rPr>
                  </w:pPr>
                  <w:r>
                    <w:rPr>
                      <w:rFonts w:hint="default" w:ascii="Times New Roman" w:hAnsi="Times New Roman" w:eastAsia="宋体" w:cs="Times New Roman"/>
                      <w:color w:val="auto"/>
                      <w:spacing w:val="4"/>
                      <w:sz w:val="20"/>
                      <w:szCs w:val="20"/>
                    </w:rPr>
                    <w:t>农村</w:t>
                  </w:r>
                </w:p>
              </w:tc>
              <w:tc>
                <w:tcPr>
                  <w:tcW w:w="1204"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0"/>
                      <w:szCs w:val="20"/>
                    </w:rPr>
                  </w:pPr>
                  <w:r>
                    <w:rPr>
                      <w:rFonts w:hint="default" w:ascii="Times New Roman" w:hAnsi="Times New Roman" w:eastAsia="宋体" w:cs="Times New Roman"/>
                      <w:color w:val="auto"/>
                      <w:spacing w:val="4"/>
                      <w:sz w:val="20"/>
                      <w:szCs w:val="20"/>
                    </w:rPr>
                    <w:t>农村</w:t>
                  </w:r>
                </w:p>
              </w:tc>
              <w:tc>
                <w:tcPr>
                  <w:tcW w:w="1923"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0"/>
                      <w:szCs w:val="20"/>
                    </w:rPr>
                  </w:pPr>
                  <w:r>
                    <w:rPr>
                      <w:rFonts w:hint="default" w:ascii="Times New Roman" w:hAnsi="Times New Roman" w:eastAsia="宋体" w:cs="Times New Roman"/>
                      <w:color w:val="auto"/>
                      <w:spacing w:val="5"/>
                      <w:sz w:val="20"/>
                      <w:szCs w:val="20"/>
                    </w:rPr>
                    <w:t>区域环境类似</w:t>
                  </w:r>
                </w:p>
              </w:tc>
            </w:tr>
          </w:tbl>
          <w:p>
            <w:pPr>
              <w:keepNext w:val="0"/>
              <w:keepLines w:val="0"/>
              <w:pageBreakBefore w:val="0"/>
              <w:widowControl w:val="0"/>
              <w:kinsoku/>
              <w:wordWrap/>
              <w:overflowPunct/>
              <w:topLinePunct w:val="0"/>
              <w:autoSpaceDE/>
              <w:autoSpaceDN/>
              <w:bidi w:val="0"/>
              <w:adjustRightInd/>
              <w:snapToGrid/>
              <w:spacing w:line="360" w:lineRule="auto"/>
              <w:ind w:left="21" w:leftChars="10" w:right="21" w:rightChars="10" w:firstLine="460" w:firstLineChars="200"/>
              <w:textAlignment w:val="auto"/>
              <w:rPr>
                <w:rFonts w:hint="default" w:ascii="Times New Roman" w:hAnsi="Times New Roman" w:eastAsia="宋体" w:cs="Times New Roman"/>
                <w:color w:val="auto"/>
                <w:spacing w:val="-5"/>
                <w:sz w:val="24"/>
                <w:szCs w:val="24"/>
              </w:rPr>
            </w:pPr>
            <w:r>
              <w:rPr>
                <w:rFonts w:hint="default" w:ascii="Times New Roman" w:hAnsi="Times New Roman" w:eastAsia="宋体" w:cs="Times New Roman"/>
                <w:color w:val="auto"/>
                <w:spacing w:val="-5"/>
                <w:sz w:val="24"/>
                <w:szCs w:val="24"/>
              </w:rPr>
              <w:t>（2）类比检测</w:t>
            </w:r>
          </w:p>
          <w:p>
            <w:pPr>
              <w:keepNext w:val="0"/>
              <w:keepLines w:val="0"/>
              <w:pageBreakBefore w:val="0"/>
              <w:widowControl w:val="0"/>
              <w:kinsoku/>
              <w:wordWrap/>
              <w:overflowPunct/>
              <w:topLinePunct w:val="0"/>
              <w:autoSpaceDE/>
              <w:autoSpaceDN/>
              <w:bidi w:val="0"/>
              <w:adjustRightInd/>
              <w:snapToGrid/>
              <w:spacing w:line="360" w:lineRule="auto"/>
              <w:ind w:left="21" w:leftChars="10" w:right="21" w:rightChars="10" w:firstLine="460" w:firstLineChars="200"/>
              <w:textAlignment w:val="auto"/>
              <w:rPr>
                <w:rFonts w:hint="default" w:ascii="Times New Roman" w:hAnsi="Times New Roman" w:eastAsia="宋体" w:cs="Times New Roman"/>
                <w:color w:val="auto"/>
                <w:spacing w:val="-5"/>
                <w:sz w:val="24"/>
                <w:szCs w:val="24"/>
              </w:rPr>
            </w:pPr>
            <w:r>
              <w:rPr>
                <w:rFonts w:hint="default" w:ascii="Times New Roman" w:hAnsi="Times New Roman" w:eastAsia="宋体" w:cs="Times New Roman"/>
                <w:color w:val="auto"/>
                <w:spacing w:val="-5"/>
                <w:sz w:val="24"/>
                <w:szCs w:val="24"/>
              </w:rPr>
              <w:t>①检测位置：湖南长沙市浏阳市</w:t>
            </w:r>
          </w:p>
          <w:p>
            <w:pPr>
              <w:keepNext w:val="0"/>
              <w:keepLines w:val="0"/>
              <w:pageBreakBefore w:val="0"/>
              <w:widowControl w:val="0"/>
              <w:kinsoku/>
              <w:wordWrap/>
              <w:overflowPunct/>
              <w:topLinePunct w:val="0"/>
              <w:autoSpaceDE/>
              <w:autoSpaceDN/>
              <w:bidi w:val="0"/>
              <w:adjustRightInd/>
              <w:snapToGrid/>
              <w:spacing w:line="360" w:lineRule="auto"/>
              <w:ind w:left="21" w:leftChars="10" w:right="21" w:rightChars="10" w:firstLine="460" w:firstLineChars="200"/>
              <w:textAlignment w:val="auto"/>
              <w:rPr>
                <w:rFonts w:hint="default" w:ascii="Times New Roman" w:hAnsi="Times New Roman" w:eastAsia="宋体" w:cs="Times New Roman"/>
                <w:color w:val="auto"/>
                <w:spacing w:val="-5"/>
                <w:sz w:val="24"/>
                <w:szCs w:val="24"/>
              </w:rPr>
            </w:pPr>
            <w:r>
              <w:rPr>
                <w:rFonts w:hint="default" w:ascii="Times New Roman" w:hAnsi="Times New Roman" w:eastAsia="宋体" w:cs="Times New Roman"/>
                <w:color w:val="auto"/>
                <w:spacing w:val="-5"/>
                <w:sz w:val="24"/>
                <w:szCs w:val="24"/>
              </w:rPr>
              <w:t>220kV鼎丛Ⅱ线81号～82号杆塔之间；</w:t>
            </w:r>
          </w:p>
          <w:p>
            <w:pPr>
              <w:keepNext w:val="0"/>
              <w:keepLines w:val="0"/>
              <w:pageBreakBefore w:val="0"/>
              <w:widowControl w:val="0"/>
              <w:kinsoku/>
              <w:wordWrap/>
              <w:overflowPunct/>
              <w:topLinePunct w:val="0"/>
              <w:autoSpaceDE/>
              <w:autoSpaceDN/>
              <w:bidi w:val="0"/>
              <w:adjustRightInd/>
              <w:snapToGrid/>
              <w:spacing w:line="360" w:lineRule="auto"/>
              <w:ind w:left="21" w:leftChars="10" w:right="21" w:rightChars="10" w:firstLine="460" w:firstLineChars="200"/>
              <w:textAlignment w:val="auto"/>
              <w:rPr>
                <w:rFonts w:hint="default" w:ascii="Times New Roman" w:hAnsi="Times New Roman" w:eastAsia="宋体" w:cs="Times New Roman"/>
                <w:color w:val="auto"/>
                <w:spacing w:val="-5"/>
                <w:sz w:val="24"/>
                <w:szCs w:val="24"/>
              </w:rPr>
            </w:pPr>
            <w:r>
              <w:rPr>
                <w:rFonts w:hint="default" w:ascii="Times New Roman" w:hAnsi="Times New Roman" w:eastAsia="宋体" w:cs="Times New Roman"/>
                <w:color w:val="auto"/>
                <w:spacing w:val="-5"/>
                <w:sz w:val="24"/>
                <w:szCs w:val="24"/>
              </w:rPr>
              <w:t>②检测内容：等效连续A声级</w:t>
            </w:r>
          </w:p>
          <w:p>
            <w:pPr>
              <w:keepNext w:val="0"/>
              <w:keepLines w:val="0"/>
              <w:pageBreakBefore w:val="0"/>
              <w:widowControl w:val="0"/>
              <w:kinsoku/>
              <w:wordWrap/>
              <w:overflowPunct/>
              <w:topLinePunct w:val="0"/>
              <w:autoSpaceDE/>
              <w:autoSpaceDN/>
              <w:bidi w:val="0"/>
              <w:adjustRightInd/>
              <w:snapToGrid/>
              <w:spacing w:line="360" w:lineRule="auto"/>
              <w:ind w:left="21" w:leftChars="10" w:right="21" w:rightChars="10" w:firstLine="460" w:firstLineChars="200"/>
              <w:textAlignment w:val="auto"/>
              <w:rPr>
                <w:rFonts w:hint="default" w:ascii="Times New Roman" w:hAnsi="Times New Roman" w:eastAsia="宋体" w:cs="Times New Roman"/>
                <w:color w:val="auto"/>
                <w:spacing w:val="-5"/>
                <w:sz w:val="24"/>
                <w:szCs w:val="24"/>
              </w:rPr>
            </w:pPr>
            <w:r>
              <w:rPr>
                <w:rFonts w:hint="default" w:ascii="Times New Roman" w:hAnsi="Times New Roman" w:eastAsia="宋体" w:cs="Times New Roman"/>
                <w:color w:val="auto"/>
                <w:spacing w:val="-5"/>
                <w:sz w:val="24"/>
                <w:szCs w:val="24"/>
              </w:rPr>
              <w:t>③检测方法及检测频次：</w:t>
            </w:r>
          </w:p>
          <w:p>
            <w:pPr>
              <w:keepNext w:val="0"/>
              <w:keepLines w:val="0"/>
              <w:pageBreakBefore w:val="0"/>
              <w:widowControl w:val="0"/>
              <w:kinsoku/>
              <w:wordWrap/>
              <w:overflowPunct/>
              <w:topLinePunct w:val="0"/>
              <w:autoSpaceDE/>
              <w:autoSpaceDN/>
              <w:bidi w:val="0"/>
              <w:adjustRightInd/>
              <w:snapToGrid/>
              <w:spacing w:line="360" w:lineRule="auto"/>
              <w:ind w:left="21" w:leftChars="10" w:right="21" w:rightChars="10" w:firstLine="460" w:firstLineChars="200"/>
              <w:textAlignment w:val="auto"/>
              <w:rPr>
                <w:rFonts w:hint="default" w:ascii="Times New Roman" w:hAnsi="Times New Roman" w:eastAsia="宋体" w:cs="Times New Roman"/>
                <w:color w:val="auto"/>
                <w:spacing w:val="-5"/>
                <w:sz w:val="24"/>
                <w:szCs w:val="24"/>
              </w:rPr>
            </w:pPr>
            <w:r>
              <w:rPr>
                <w:rFonts w:hint="default" w:ascii="Times New Roman" w:hAnsi="Times New Roman" w:eastAsia="宋体" w:cs="Times New Roman"/>
                <w:color w:val="auto"/>
                <w:spacing w:val="-5"/>
                <w:sz w:val="24"/>
                <w:szCs w:val="24"/>
              </w:rPr>
              <w:t>按HJ24-2020中规定的监测方法进行监测，以导线弧垂最大处线路中心的地面投影点为监测原点，沿垂直于线路方向进行，测点间距5m，依次监测至距边导线地面投影水平50m处。</w:t>
            </w:r>
          </w:p>
          <w:p>
            <w:pPr>
              <w:keepNext w:val="0"/>
              <w:keepLines w:val="0"/>
              <w:pageBreakBefore w:val="0"/>
              <w:widowControl w:val="0"/>
              <w:kinsoku/>
              <w:wordWrap/>
              <w:overflowPunct/>
              <w:topLinePunct w:val="0"/>
              <w:autoSpaceDE/>
              <w:autoSpaceDN/>
              <w:bidi w:val="0"/>
              <w:adjustRightInd/>
              <w:snapToGrid/>
              <w:spacing w:line="360" w:lineRule="auto"/>
              <w:ind w:left="0" w:right="0" w:firstLine="460" w:firstLineChars="200"/>
              <w:textAlignment w:val="auto"/>
              <w:rPr>
                <w:rFonts w:hint="default" w:ascii="Times New Roman" w:hAnsi="Times New Roman" w:eastAsia="宋体" w:cs="Times New Roman"/>
                <w:color w:val="auto"/>
                <w:spacing w:val="-5"/>
                <w:sz w:val="24"/>
                <w:szCs w:val="24"/>
              </w:rPr>
            </w:pPr>
            <w:r>
              <w:rPr>
                <w:rFonts w:hint="default" w:ascii="Times New Roman" w:hAnsi="Times New Roman" w:eastAsia="宋体" w:cs="Times New Roman"/>
                <w:color w:val="auto"/>
                <w:spacing w:val="-5"/>
                <w:sz w:val="24"/>
                <w:szCs w:val="24"/>
              </w:rPr>
              <w:t>昼间、夜间各检测一次。</w:t>
            </w:r>
          </w:p>
          <w:p>
            <w:pPr>
              <w:keepNext w:val="0"/>
              <w:keepLines w:val="0"/>
              <w:pageBreakBefore w:val="0"/>
              <w:widowControl w:val="0"/>
              <w:kinsoku/>
              <w:wordWrap/>
              <w:overflowPunct/>
              <w:topLinePunct w:val="0"/>
              <w:autoSpaceDE/>
              <w:autoSpaceDN/>
              <w:bidi w:val="0"/>
              <w:adjustRightInd/>
              <w:snapToGrid/>
              <w:spacing w:line="360" w:lineRule="auto"/>
              <w:ind w:left="0" w:right="0" w:firstLine="460" w:firstLineChars="200"/>
              <w:textAlignment w:val="auto"/>
              <w:rPr>
                <w:rFonts w:hint="default" w:ascii="Times New Roman" w:hAnsi="Times New Roman" w:eastAsia="宋体" w:cs="Times New Roman"/>
                <w:color w:val="auto"/>
                <w:spacing w:val="-5"/>
                <w:sz w:val="24"/>
                <w:szCs w:val="24"/>
              </w:rPr>
            </w:pPr>
            <w:r>
              <w:rPr>
                <w:rFonts w:hint="default" w:ascii="Times New Roman" w:hAnsi="Times New Roman" w:eastAsia="宋体" w:cs="Times New Roman"/>
                <w:color w:val="auto"/>
                <w:spacing w:val="-5"/>
                <w:sz w:val="24"/>
                <w:szCs w:val="24"/>
              </w:rPr>
              <w:t>④测量仪器：噪声频谱分析仪（AWA6228+）、声级校准器（AWA6021A）</w:t>
            </w:r>
          </w:p>
          <w:p>
            <w:pPr>
              <w:keepNext w:val="0"/>
              <w:keepLines w:val="0"/>
              <w:pageBreakBefore w:val="0"/>
              <w:widowControl w:val="0"/>
              <w:kinsoku/>
              <w:wordWrap/>
              <w:overflowPunct/>
              <w:topLinePunct w:val="0"/>
              <w:autoSpaceDE/>
              <w:autoSpaceDN/>
              <w:bidi w:val="0"/>
              <w:adjustRightInd/>
              <w:snapToGrid/>
              <w:spacing w:line="360" w:lineRule="auto"/>
              <w:ind w:left="0" w:right="0" w:firstLine="460" w:firstLineChars="200"/>
              <w:textAlignment w:val="auto"/>
              <w:rPr>
                <w:rFonts w:hint="default" w:ascii="Times New Roman" w:hAnsi="Times New Roman" w:eastAsia="宋体" w:cs="Times New Roman"/>
                <w:color w:val="auto"/>
                <w:spacing w:val="-5"/>
                <w:sz w:val="24"/>
                <w:szCs w:val="24"/>
              </w:rPr>
            </w:pPr>
            <w:r>
              <w:rPr>
                <w:rFonts w:hint="default" w:ascii="Times New Roman" w:hAnsi="Times New Roman" w:eastAsia="宋体" w:cs="Times New Roman"/>
                <w:color w:val="auto"/>
                <w:spacing w:val="-5"/>
                <w:sz w:val="24"/>
                <w:szCs w:val="24"/>
              </w:rPr>
              <w:t>⑤检测时间、检测环境。</w:t>
            </w:r>
          </w:p>
          <w:p>
            <w:pPr>
              <w:keepNext w:val="0"/>
              <w:keepLines w:val="0"/>
              <w:pageBreakBefore w:val="0"/>
              <w:widowControl w:val="0"/>
              <w:kinsoku/>
              <w:wordWrap/>
              <w:overflowPunct/>
              <w:topLinePunct w:val="0"/>
              <w:autoSpaceDE/>
              <w:autoSpaceDN/>
              <w:bidi w:val="0"/>
              <w:adjustRightInd/>
              <w:snapToGrid/>
              <w:spacing w:line="360" w:lineRule="auto"/>
              <w:ind w:left="0" w:right="0" w:firstLine="460" w:firstLineChars="200"/>
              <w:textAlignment w:val="auto"/>
              <w:rPr>
                <w:rFonts w:hint="default" w:ascii="Times New Roman" w:hAnsi="Times New Roman" w:eastAsia="宋体" w:cs="Times New Roman"/>
                <w:color w:val="auto"/>
                <w:spacing w:val="-5"/>
                <w:sz w:val="24"/>
                <w:szCs w:val="24"/>
              </w:rPr>
            </w:pPr>
            <w:r>
              <w:rPr>
                <w:rFonts w:hint="default" w:ascii="Times New Roman" w:hAnsi="Times New Roman" w:eastAsia="宋体" w:cs="Times New Roman"/>
                <w:color w:val="auto"/>
                <w:spacing w:val="-5"/>
                <w:sz w:val="24"/>
                <w:szCs w:val="24"/>
              </w:rPr>
              <w:t>类比监测时间、监测环境详见表4-</w:t>
            </w:r>
            <w:r>
              <w:rPr>
                <w:rFonts w:hint="default" w:ascii="Times New Roman" w:hAnsi="Times New Roman" w:eastAsia="宋体" w:cs="Times New Roman"/>
                <w:color w:val="auto"/>
                <w:spacing w:val="-5"/>
                <w:sz w:val="24"/>
                <w:szCs w:val="24"/>
                <w:lang w:val="en-US" w:eastAsia="zh-CN"/>
              </w:rPr>
              <w:t>4</w:t>
            </w:r>
            <w:r>
              <w:rPr>
                <w:rFonts w:hint="default" w:ascii="Times New Roman" w:hAnsi="Times New Roman" w:eastAsia="宋体" w:cs="Times New Roman"/>
                <w:color w:val="auto"/>
                <w:spacing w:val="-5"/>
                <w:sz w:val="24"/>
                <w:szCs w:val="24"/>
              </w:rPr>
              <w:t>。</w:t>
            </w:r>
          </w:p>
          <w:p>
            <w:pPr>
              <w:keepNext w:val="0"/>
              <w:keepLines w:val="0"/>
              <w:pageBreakBefore w:val="0"/>
              <w:widowControl w:val="0"/>
              <w:kinsoku/>
              <w:wordWrap/>
              <w:overflowPunct/>
              <w:topLinePunct w:val="0"/>
              <w:autoSpaceDE/>
              <w:autoSpaceDN/>
              <w:bidi w:val="0"/>
              <w:adjustRightInd/>
              <w:snapToGrid/>
              <w:spacing w:line="240" w:lineRule="auto"/>
              <w:ind w:left="0" w:right="0" w:firstLine="402" w:firstLineChars="200"/>
              <w:jc w:val="center"/>
              <w:textAlignment w:val="auto"/>
              <w:rPr>
                <w:rFonts w:hint="default" w:ascii="Times New Roman" w:hAnsi="Times New Roman" w:eastAsia="宋体" w:cs="Times New Roman"/>
                <w:b/>
                <w:bCs/>
                <w:color w:val="auto"/>
                <w:spacing w:val="-5"/>
                <w:sz w:val="24"/>
                <w:szCs w:val="24"/>
              </w:rPr>
            </w:pPr>
            <w:r>
              <w:rPr>
                <w:rFonts w:hint="default" w:ascii="Times New Roman" w:hAnsi="Times New Roman" w:eastAsia="宋体" w:cs="Times New Roman"/>
                <w:b/>
                <w:bCs/>
                <w:color w:val="auto"/>
                <w:spacing w:val="-5"/>
                <w:sz w:val="21"/>
                <w:szCs w:val="21"/>
              </w:rPr>
              <w:t>表 4-</w:t>
            </w:r>
            <w:r>
              <w:rPr>
                <w:rFonts w:hint="eastAsia" w:ascii="Times New Roman" w:hAnsi="Times New Roman" w:eastAsia="宋体" w:cs="Times New Roman"/>
                <w:b/>
                <w:bCs/>
                <w:color w:val="auto"/>
                <w:spacing w:val="-5"/>
                <w:sz w:val="21"/>
                <w:szCs w:val="21"/>
                <w:lang w:val="en-US" w:eastAsia="zh-CN"/>
              </w:rPr>
              <w:t xml:space="preserve">4    </w:t>
            </w:r>
            <w:r>
              <w:rPr>
                <w:rFonts w:hint="default" w:ascii="Times New Roman" w:hAnsi="Times New Roman" w:eastAsia="宋体" w:cs="Times New Roman"/>
                <w:b/>
                <w:bCs/>
                <w:color w:val="auto"/>
                <w:spacing w:val="-5"/>
                <w:sz w:val="21"/>
                <w:szCs w:val="21"/>
              </w:rPr>
              <w:t>类比监测时间及气象条件</w:t>
            </w:r>
          </w:p>
          <w:tbl>
            <w:tblPr>
              <w:tblStyle w:val="31"/>
              <w:tblW w:w="4859"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3076"/>
              <w:gridCol w:w="2287"/>
              <w:gridCol w:w="295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6" w:hRule="atLeast"/>
                <w:jc w:val="center"/>
              </w:trPr>
              <w:tc>
                <w:tcPr>
                  <w:tcW w:w="1849"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6"/>
                      <w:sz w:val="21"/>
                      <w:szCs w:val="21"/>
                    </w:rPr>
                    <w:t>测量时间</w:t>
                  </w:r>
                </w:p>
              </w:tc>
              <w:tc>
                <w:tcPr>
                  <w:tcW w:w="1375"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sz w:val="21"/>
                      <w:szCs w:val="21"/>
                    </w:rPr>
                    <w:t>天气</w:t>
                  </w:r>
                </w:p>
              </w:tc>
              <w:tc>
                <w:tcPr>
                  <w:tcW w:w="1775"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3"/>
                      <w:sz w:val="21"/>
                      <w:szCs w:val="21"/>
                    </w:rPr>
                    <w:t>风速</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3" w:hRule="atLeast"/>
                <w:jc w:val="center"/>
              </w:trPr>
              <w:tc>
                <w:tcPr>
                  <w:tcW w:w="1849"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2024年12月18日</w:t>
                  </w:r>
                </w:p>
              </w:tc>
              <w:tc>
                <w:tcPr>
                  <w:tcW w:w="1375"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晴</w:t>
                  </w:r>
                </w:p>
              </w:tc>
              <w:tc>
                <w:tcPr>
                  <w:tcW w:w="1775"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position w:val="1"/>
                      <w:sz w:val="21"/>
                      <w:szCs w:val="21"/>
                    </w:rPr>
                    <w:t>0.7～1.9m/s</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9" w:hRule="atLeast"/>
                <w:jc w:val="center"/>
              </w:trPr>
              <w:tc>
                <w:tcPr>
                  <w:tcW w:w="1849"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2024年12月19日</w:t>
                  </w:r>
                </w:p>
              </w:tc>
              <w:tc>
                <w:tcPr>
                  <w:tcW w:w="1375"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晴</w:t>
                  </w:r>
                </w:p>
              </w:tc>
              <w:tc>
                <w:tcPr>
                  <w:tcW w:w="1775"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position w:val="1"/>
                      <w:sz w:val="21"/>
                      <w:szCs w:val="21"/>
                    </w:rPr>
                    <w:t>0.7～1.5m/s</w:t>
                  </w:r>
                </w:p>
              </w:tc>
            </w:tr>
          </w:tbl>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460" w:firstLineChars="200"/>
              <w:jc w:val="both"/>
              <w:textAlignment w:val="auto"/>
              <w:rPr>
                <w:rFonts w:hint="default" w:ascii="Times New Roman" w:hAnsi="Times New Roman" w:eastAsia="宋体" w:cs="Times New Roman"/>
                <w:color w:val="auto"/>
                <w:spacing w:val="-5"/>
                <w:kern w:val="2"/>
                <w:sz w:val="24"/>
                <w:szCs w:val="24"/>
                <w:lang w:val="en-US" w:eastAsia="zh-CN" w:bidi="ar-SA"/>
              </w:rPr>
            </w:pPr>
            <w:r>
              <w:rPr>
                <w:rFonts w:hint="default" w:ascii="Times New Roman" w:hAnsi="Times New Roman" w:eastAsia="宋体" w:cs="Times New Roman"/>
                <w:color w:val="auto"/>
                <w:spacing w:val="-5"/>
                <w:kern w:val="2"/>
                <w:sz w:val="24"/>
                <w:szCs w:val="24"/>
                <w:lang w:val="en-US" w:eastAsia="zh-CN" w:bidi="ar-SA"/>
              </w:rPr>
              <w:t>监测环境：类比线路监测点附近为农田，平坦开阔，无其他架空线、构架和高大植物，符合监测技术条件要求。</w:t>
            </w:r>
          </w:p>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460" w:firstLineChars="200"/>
              <w:jc w:val="both"/>
              <w:textAlignment w:val="auto"/>
              <w:rPr>
                <w:rFonts w:hint="default" w:ascii="Times New Roman" w:hAnsi="Times New Roman" w:eastAsia="宋体" w:cs="Times New Roman"/>
                <w:color w:val="auto"/>
                <w:spacing w:val="-5"/>
                <w:kern w:val="2"/>
                <w:sz w:val="24"/>
                <w:szCs w:val="24"/>
                <w:lang w:val="en-US" w:eastAsia="zh-CN" w:bidi="ar-SA"/>
              </w:rPr>
            </w:pPr>
            <w:r>
              <w:rPr>
                <w:rFonts w:hint="default" w:ascii="Times New Roman" w:hAnsi="Times New Roman" w:eastAsia="宋体" w:cs="Times New Roman"/>
                <w:color w:val="auto"/>
                <w:spacing w:val="-5"/>
                <w:kern w:val="2"/>
                <w:sz w:val="24"/>
                <w:szCs w:val="24"/>
                <w:lang w:val="en-US" w:eastAsia="zh-CN" w:bidi="ar-SA"/>
              </w:rPr>
              <w:t>⑥类比检测线路运行工况。</w:t>
            </w:r>
          </w:p>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460" w:firstLineChars="200"/>
              <w:jc w:val="both"/>
              <w:textAlignment w:val="auto"/>
              <w:rPr>
                <w:rFonts w:hint="default" w:ascii="Times New Roman" w:hAnsi="Times New Roman" w:eastAsia="宋体" w:cs="Times New Roman"/>
                <w:color w:val="auto"/>
                <w:spacing w:val="-5"/>
                <w:kern w:val="2"/>
                <w:sz w:val="24"/>
                <w:szCs w:val="24"/>
                <w:lang w:val="en-US" w:eastAsia="zh-CN" w:bidi="ar-SA"/>
              </w:rPr>
            </w:pPr>
            <w:r>
              <w:rPr>
                <w:rFonts w:hint="default" w:ascii="Times New Roman" w:hAnsi="Times New Roman" w:eastAsia="宋体" w:cs="Times New Roman"/>
                <w:color w:val="auto"/>
                <w:spacing w:val="-5"/>
                <w:kern w:val="2"/>
                <w:sz w:val="24"/>
                <w:szCs w:val="24"/>
                <w:lang w:val="en-US" w:eastAsia="zh-CN" w:bidi="ar-SA"/>
              </w:rPr>
              <w:t>类比线路监测时的运行工况见表4-</w:t>
            </w:r>
            <w:r>
              <w:rPr>
                <w:rFonts w:hint="eastAsia" w:ascii="Times New Roman" w:hAnsi="Times New Roman" w:eastAsia="宋体" w:cs="Times New Roman"/>
                <w:color w:val="auto"/>
                <w:spacing w:val="-5"/>
                <w:kern w:val="2"/>
                <w:sz w:val="24"/>
                <w:szCs w:val="24"/>
                <w:lang w:val="en-US" w:eastAsia="zh-CN" w:bidi="ar-SA"/>
              </w:rPr>
              <w:t>5</w:t>
            </w:r>
            <w:r>
              <w:rPr>
                <w:rFonts w:hint="default" w:ascii="Times New Roman" w:hAnsi="Times New Roman" w:eastAsia="宋体" w:cs="Times New Roman"/>
                <w:color w:val="auto"/>
                <w:spacing w:val="-5"/>
                <w:kern w:val="2"/>
                <w:sz w:val="24"/>
                <w:szCs w:val="24"/>
                <w:lang w:val="en-US" w:eastAsia="zh-CN" w:bidi="ar-SA"/>
              </w:rPr>
              <w:t>。</w:t>
            </w:r>
          </w:p>
          <w:p>
            <w:pPr>
              <w:keepNext w:val="0"/>
              <w:keepLines w:val="0"/>
              <w:pageBreakBefore w:val="0"/>
              <w:widowControl w:val="0"/>
              <w:kinsoku/>
              <w:wordWrap/>
              <w:overflowPunct/>
              <w:topLinePunct w:val="0"/>
              <w:autoSpaceDE/>
              <w:autoSpaceDN/>
              <w:bidi w:val="0"/>
              <w:adjustRightInd/>
              <w:snapToGrid/>
              <w:spacing w:line="240" w:lineRule="auto"/>
              <w:ind w:left="0" w:right="0" w:firstLine="402" w:firstLineChars="200"/>
              <w:jc w:val="center"/>
              <w:textAlignment w:val="auto"/>
              <w:rPr>
                <w:rFonts w:hint="default" w:ascii="Times New Roman" w:hAnsi="Times New Roman" w:eastAsia="宋体" w:cs="Times New Roman"/>
                <w:b/>
                <w:bCs/>
                <w:color w:val="auto"/>
                <w:spacing w:val="-5"/>
                <w:sz w:val="21"/>
                <w:szCs w:val="21"/>
              </w:rPr>
            </w:pPr>
            <w:r>
              <w:rPr>
                <w:rFonts w:hint="default" w:ascii="Times New Roman" w:hAnsi="Times New Roman" w:eastAsia="宋体" w:cs="Times New Roman"/>
                <w:b/>
                <w:bCs/>
                <w:color w:val="auto"/>
                <w:spacing w:val="-5"/>
                <w:sz w:val="21"/>
                <w:szCs w:val="21"/>
              </w:rPr>
              <w:t>表 4-</w:t>
            </w:r>
            <w:r>
              <w:rPr>
                <w:rFonts w:hint="eastAsia" w:ascii="Times New Roman" w:hAnsi="Times New Roman" w:eastAsia="宋体" w:cs="Times New Roman"/>
                <w:b/>
                <w:bCs/>
                <w:color w:val="auto"/>
                <w:spacing w:val="-5"/>
                <w:sz w:val="21"/>
                <w:szCs w:val="21"/>
                <w:lang w:val="en-US" w:eastAsia="zh-CN"/>
              </w:rPr>
              <w:t>5</w:t>
            </w:r>
            <w:r>
              <w:rPr>
                <w:rFonts w:hint="default" w:ascii="Times New Roman" w:hAnsi="Times New Roman" w:eastAsia="宋体" w:cs="Times New Roman"/>
                <w:b/>
                <w:bCs/>
                <w:color w:val="auto"/>
                <w:spacing w:val="-5"/>
                <w:sz w:val="21"/>
                <w:szCs w:val="21"/>
              </w:rPr>
              <w:t xml:space="preserve"> </w:t>
            </w:r>
            <w:r>
              <w:rPr>
                <w:rFonts w:hint="eastAsia" w:ascii="Times New Roman" w:hAnsi="Times New Roman" w:eastAsia="宋体" w:cs="Times New Roman"/>
                <w:b/>
                <w:bCs/>
                <w:color w:val="auto"/>
                <w:spacing w:val="-5"/>
                <w:sz w:val="21"/>
                <w:szCs w:val="21"/>
                <w:lang w:val="en-US" w:eastAsia="zh-CN"/>
              </w:rPr>
              <w:t xml:space="preserve">     </w:t>
            </w:r>
            <w:r>
              <w:rPr>
                <w:rFonts w:hint="default" w:ascii="Times New Roman" w:hAnsi="Times New Roman" w:eastAsia="宋体" w:cs="Times New Roman"/>
                <w:b/>
                <w:bCs/>
                <w:color w:val="auto"/>
                <w:spacing w:val="-5"/>
                <w:sz w:val="21"/>
                <w:szCs w:val="21"/>
              </w:rPr>
              <w:t>类比线路监测时运行工况</w:t>
            </w:r>
          </w:p>
          <w:tbl>
            <w:tblPr>
              <w:tblStyle w:val="31"/>
              <w:tblW w:w="8176"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12"/>
              <w:gridCol w:w="1522"/>
              <w:gridCol w:w="1215"/>
              <w:gridCol w:w="1025"/>
              <w:gridCol w:w="1268"/>
              <w:gridCol w:w="143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2" w:hRule="atLeast"/>
                <w:jc w:val="center"/>
              </w:trPr>
              <w:tc>
                <w:tcPr>
                  <w:tcW w:w="1712" w:type="dxa"/>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监测时间</w:t>
                  </w:r>
                </w:p>
              </w:tc>
              <w:tc>
                <w:tcPr>
                  <w:tcW w:w="1522" w:type="dxa"/>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线路名称</w:t>
                  </w:r>
                </w:p>
              </w:tc>
              <w:tc>
                <w:tcPr>
                  <w:tcW w:w="1215" w:type="dxa"/>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电压（kV）</w:t>
                  </w:r>
                </w:p>
              </w:tc>
              <w:tc>
                <w:tcPr>
                  <w:tcW w:w="1025" w:type="dxa"/>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电流（A）</w:t>
                  </w:r>
                </w:p>
              </w:tc>
              <w:tc>
                <w:tcPr>
                  <w:tcW w:w="1268" w:type="dxa"/>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有功P(MW)</w:t>
                  </w:r>
                </w:p>
              </w:tc>
              <w:tc>
                <w:tcPr>
                  <w:tcW w:w="1434" w:type="dxa"/>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无功Q(Mvar)</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2" w:hRule="atLeast"/>
                <w:jc w:val="center"/>
              </w:trPr>
              <w:tc>
                <w:tcPr>
                  <w:tcW w:w="1712" w:type="dxa"/>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2024年12月18日</w:t>
                  </w:r>
                </w:p>
              </w:tc>
              <w:tc>
                <w:tcPr>
                  <w:tcW w:w="1522" w:type="dxa"/>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220kV鼎丛Ⅱ线</w:t>
                  </w:r>
                </w:p>
              </w:tc>
              <w:tc>
                <w:tcPr>
                  <w:tcW w:w="1215" w:type="dxa"/>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227.43</w:t>
                  </w:r>
                </w:p>
              </w:tc>
              <w:tc>
                <w:tcPr>
                  <w:tcW w:w="1025" w:type="dxa"/>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103.56</w:t>
                  </w:r>
                </w:p>
              </w:tc>
              <w:tc>
                <w:tcPr>
                  <w:tcW w:w="1268" w:type="dxa"/>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40.39</w:t>
                  </w:r>
                </w:p>
              </w:tc>
              <w:tc>
                <w:tcPr>
                  <w:tcW w:w="1434" w:type="dxa"/>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-5.73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0" w:hRule="atLeast"/>
                <w:jc w:val="center"/>
              </w:trPr>
              <w:tc>
                <w:tcPr>
                  <w:tcW w:w="1712" w:type="dxa"/>
                  <w:tcBorders>
                    <w:tl2br w:val="nil"/>
                    <w:tr2bl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2024年12月19日</w:t>
                  </w:r>
                </w:p>
              </w:tc>
              <w:tc>
                <w:tcPr>
                  <w:tcW w:w="1522" w:type="dxa"/>
                  <w:tcBorders>
                    <w:tl2br w:val="nil"/>
                    <w:tr2bl w:val="nil"/>
                  </w:tcBorders>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2"/>
                      <w:sz w:val="21"/>
                      <w:szCs w:val="21"/>
                      <w:lang w:val="en-US" w:eastAsia="en-US"/>
                    </w:rPr>
                  </w:pPr>
                  <w:r>
                    <w:rPr>
                      <w:rFonts w:hint="default" w:ascii="Times New Roman" w:hAnsi="Times New Roman" w:eastAsia="宋体" w:cs="Times New Roman"/>
                      <w:color w:val="auto"/>
                      <w:spacing w:val="-2"/>
                      <w:sz w:val="21"/>
                      <w:szCs w:val="21"/>
                    </w:rPr>
                    <w:t>220kV鼎丛Ⅱ线</w:t>
                  </w:r>
                </w:p>
              </w:tc>
              <w:tc>
                <w:tcPr>
                  <w:tcW w:w="1215" w:type="dxa"/>
                  <w:tcBorders>
                    <w:tl2br w:val="nil"/>
                    <w:tr2bl w:val="nil"/>
                  </w:tcBorders>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2"/>
                      <w:sz w:val="21"/>
                      <w:szCs w:val="21"/>
                      <w:lang w:val="en-US" w:eastAsia="zh-CN"/>
                    </w:rPr>
                  </w:pPr>
                  <w:r>
                    <w:rPr>
                      <w:rFonts w:hint="default" w:ascii="Times New Roman" w:hAnsi="Times New Roman" w:eastAsia="宋体" w:cs="Times New Roman"/>
                      <w:color w:val="auto"/>
                      <w:spacing w:val="-2"/>
                      <w:sz w:val="21"/>
                      <w:szCs w:val="21"/>
                    </w:rPr>
                    <w:t>227.51</w:t>
                  </w:r>
                </w:p>
              </w:tc>
              <w:tc>
                <w:tcPr>
                  <w:tcW w:w="1025" w:type="dxa"/>
                  <w:tcBorders>
                    <w:tl2br w:val="nil"/>
                    <w:tr2bl w:val="nil"/>
                  </w:tcBorders>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2"/>
                      <w:sz w:val="21"/>
                      <w:szCs w:val="21"/>
                      <w:lang w:val="en-US" w:eastAsia="zh-CN"/>
                    </w:rPr>
                  </w:pPr>
                  <w:r>
                    <w:rPr>
                      <w:rFonts w:hint="default" w:ascii="Times New Roman" w:hAnsi="Times New Roman" w:eastAsia="宋体" w:cs="Times New Roman"/>
                      <w:color w:val="auto"/>
                      <w:spacing w:val="-2"/>
                      <w:sz w:val="21"/>
                      <w:szCs w:val="21"/>
                    </w:rPr>
                    <w:t>98.84</w:t>
                  </w:r>
                </w:p>
              </w:tc>
              <w:tc>
                <w:tcPr>
                  <w:tcW w:w="1268" w:type="dxa"/>
                  <w:tcBorders>
                    <w:tl2br w:val="nil"/>
                    <w:tr2bl w:val="nil"/>
                  </w:tcBorders>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2"/>
                      <w:sz w:val="21"/>
                      <w:szCs w:val="21"/>
                      <w:lang w:val="en-US" w:eastAsia="zh-CN"/>
                    </w:rPr>
                  </w:pPr>
                  <w:r>
                    <w:rPr>
                      <w:rFonts w:hint="default" w:ascii="Times New Roman" w:hAnsi="Times New Roman" w:eastAsia="宋体" w:cs="Times New Roman"/>
                      <w:color w:val="auto"/>
                      <w:spacing w:val="-2"/>
                      <w:sz w:val="21"/>
                      <w:szCs w:val="21"/>
                    </w:rPr>
                    <w:t>38.85</w:t>
                  </w:r>
                </w:p>
              </w:tc>
              <w:tc>
                <w:tcPr>
                  <w:tcW w:w="1434" w:type="dxa"/>
                  <w:tcBorders>
                    <w:tl2br w:val="nil"/>
                    <w:tr2bl w:val="nil"/>
                  </w:tcBorders>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2"/>
                      <w:sz w:val="21"/>
                      <w:szCs w:val="21"/>
                      <w:lang w:val="en-US" w:eastAsia="zh-CN"/>
                    </w:rPr>
                  </w:pPr>
                  <w:r>
                    <w:rPr>
                      <w:rFonts w:hint="default" w:ascii="Times New Roman" w:hAnsi="Times New Roman" w:eastAsia="宋体" w:cs="Times New Roman"/>
                      <w:color w:val="auto"/>
                      <w:spacing w:val="-2"/>
                      <w:sz w:val="21"/>
                      <w:szCs w:val="21"/>
                    </w:rPr>
                    <w:t>-2.77</w:t>
                  </w:r>
                </w:p>
              </w:tc>
            </w:tr>
          </w:tbl>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460" w:firstLineChars="200"/>
              <w:jc w:val="both"/>
              <w:textAlignment w:val="auto"/>
              <w:rPr>
                <w:rFonts w:hint="eastAsia" w:ascii="Times New Roman" w:hAnsi="Times New Roman" w:eastAsia="宋体" w:cs="Times New Roman"/>
                <w:color w:val="auto"/>
                <w:spacing w:val="-5"/>
                <w:kern w:val="2"/>
                <w:sz w:val="24"/>
                <w:szCs w:val="24"/>
                <w:lang w:val="en-US" w:eastAsia="zh-CN" w:bidi="ar-SA"/>
              </w:rPr>
            </w:pPr>
          </w:p>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460" w:firstLineChars="200"/>
              <w:jc w:val="both"/>
              <w:textAlignment w:val="auto"/>
              <w:rPr>
                <w:rFonts w:hint="eastAsia" w:ascii="Times New Roman" w:hAnsi="Times New Roman" w:eastAsia="宋体" w:cs="Times New Roman"/>
                <w:color w:val="auto"/>
                <w:spacing w:val="-5"/>
                <w:kern w:val="2"/>
                <w:sz w:val="24"/>
                <w:szCs w:val="24"/>
                <w:lang w:val="en-US" w:eastAsia="zh-CN" w:bidi="ar-SA"/>
              </w:rPr>
            </w:pPr>
            <w:r>
              <w:rPr>
                <w:rFonts w:hint="eastAsia" w:ascii="Times New Roman" w:hAnsi="Times New Roman" w:eastAsia="宋体" w:cs="Times New Roman"/>
                <w:color w:val="auto"/>
                <w:spacing w:val="-5"/>
                <w:kern w:val="2"/>
                <w:sz w:val="24"/>
                <w:szCs w:val="24"/>
                <w:lang w:val="en-US" w:eastAsia="zh-CN" w:bidi="ar-SA"/>
              </w:rPr>
              <w:t>（3）监测结果</w:t>
            </w:r>
          </w:p>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460" w:firstLineChars="200"/>
              <w:jc w:val="both"/>
              <w:textAlignment w:val="auto"/>
              <w:rPr>
                <w:rFonts w:hint="eastAsia" w:ascii="Times New Roman" w:hAnsi="Times New Roman" w:eastAsia="宋体" w:cs="Times New Roman"/>
                <w:color w:val="auto"/>
                <w:spacing w:val="-5"/>
                <w:kern w:val="2"/>
                <w:sz w:val="24"/>
                <w:szCs w:val="24"/>
                <w:lang w:val="en-US" w:eastAsia="zh-CN" w:bidi="ar-SA"/>
              </w:rPr>
            </w:pPr>
            <w:r>
              <w:rPr>
                <w:rFonts w:hint="eastAsia" w:ascii="Times New Roman" w:hAnsi="Times New Roman" w:eastAsia="宋体" w:cs="Times New Roman"/>
                <w:color w:val="auto"/>
                <w:spacing w:val="-5"/>
                <w:kern w:val="2"/>
                <w:sz w:val="24"/>
                <w:szCs w:val="24"/>
                <w:lang w:val="en-US" w:eastAsia="zh-CN" w:bidi="ar-SA"/>
              </w:rPr>
              <w:t>220kV鼎丛线Ⅱ线#81~#82塔噪声类比监测结果见表4-6。</w:t>
            </w:r>
          </w:p>
          <w:p>
            <w:pPr>
              <w:keepNext w:val="0"/>
              <w:keepLines w:val="0"/>
              <w:pageBreakBefore w:val="0"/>
              <w:widowControl w:val="0"/>
              <w:kinsoku/>
              <w:wordWrap/>
              <w:overflowPunct/>
              <w:topLinePunct w:val="0"/>
              <w:autoSpaceDE/>
              <w:autoSpaceDN/>
              <w:bidi w:val="0"/>
              <w:adjustRightInd/>
              <w:snapToGrid/>
              <w:spacing w:line="240" w:lineRule="auto"/>
              <w:ind w:left="0" w:right="0" w:firstLine="402" w:firstLineChars="200"/>
              <w:jc w:val="center"/>
              <w:textAlignment w:val="auto"/>
              <w:rPr>
                <w:rFonts w:hint="eastAsia" w:ascii="Times New Roman" w:hAnsi="Times New Roman" w:eastAsia="宋体" w:cs="Times New Roman"/>
                <w:b/>
                <w:bCs/>
                <w:color w:val="auto"/>
                <w:spacing w:val="-5"/>
                <w:sz w:val="21"/>
                <w:szCs w:val="21"/>
                <w:lang w:val="en-US" w:eastAsia="zh-CN"/>
              </w:rPr>
            </w:pPr>
            <w:r>
              <w:rPr>
                <w:rFonts w:hint="eastAsia" w:ascii="Times New Roman" w:hAnsi="Times New Roman" w:eastAsia="宋体" w:cs="Times New Roman"/>
                <w:b/>
                <w:bCs/>
                <w:color w:val="auto"/>
                <w:spacing w:val="-5"/>
                <w:sz w:val="21"/>
                <w:szCs w:val="21"/>
                <w:lang w:val="en-US" w:eastAsia="zh-CN"/>
              </w:rPr>
              <w:t>表4-6   220kV鼎丛线Ⅱ线噪声类比监测结果</w:t>
            </w:r>
          </w:p>
          <w:tbl>
            <w:tblPr>
              <w:tblStyle w:val="31"/>
              <w:tblW w:w="4816"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810"/>
              <w:gridCol w:w="2740"/>
              <w:gridCol w:w="1799"/>
              <w:gridCol w:w="189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2760" w:type="pct"/>
                  <w:gridSpan w:val="2"/>
                  <w:vMerge w:val="restart"/>
                  <w:tcBorders>
                    <w:bottom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测点位置</w:t>
                  </w:r>
                </w:p>
              </w:tc>
              <w:tc>
                <w:tcPr>
                  <w:tcW w:w="2239" w:type="pct"/>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监测结果dB(A)</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2760" w:type="pct"/>
                  <w:gridSpan w:val="2"/>
                  <w:vMerge w:val="continue"/>
                  <w:tcBorders>
                    <w:top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p>
              </w:tc>
              <w:tc>
                <w:tcPr>
                  <w:tcW w:w="1091"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昼间</w:t>
                  </w:r>
                </w:p>
              </w:tc>
              <w:tc>
                <w:tcPr>
                  <w:tcW w:w="1147"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夜间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098" w:type="pct"/>
                  <w:vMerge w:val="restart"/>
                  <w:tcBorders>
                    <w:bottom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220kV鼎丛线Ⅱ线#81~#82</w:t>
                  </w:r>
                </w:p>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塔单回路段，距弧垂最低位</w:t>
                  </w:r>
                </w:p>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置处中相导线对地投影点</w:t>
                  </w:r>
                </w:p>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（线高15m）</w:t>
                  </w:r>
                </w:p>
              </w:tc>
              <w:tc>
                <w:tcPr>
                  <w:tcW w:w="1662"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中心线下</w:t>
                  </w:r>
                </w:p>
              </w:tc>
              <w:tc>
                <w:tcPr>
                  <w:tcW w:w="1091"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40.2</w:t>
                  </w:r>
                </w:p>
              </w:tc>
              <w:tc>
                <w:tcPr>
                  <w:tcW w:w="1147"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37.4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098" w:type="pct"/>
                  <w:vMerge w:val="continue"/>
                  <w:tcBorders>
                    <w:top w:val="nil"/>
                    <w:bottom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p>
              </w:tc>
              <w:tc>
                <w:tcPr>
                  <w:tcW w:w="1662"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东侧边导线下</w:t>
                  </w:r>
                </w:p>
              </w:tc>
              <w:tc>
                <w:tcPr>
                  <w:tcW w:w="1091"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39.8</w:t>
                  </w:r>
                </w:p>
              </w:tc>
              <w:tc>
                <w:tcPr>
                  <w:tcW w:w="1147"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36.7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098" w:type="pct"/>
                  <w:vMerge w:val="continue"/>
                  <w:tcBorders>
                    <w:top w:val="nil"/>
                    <w:bottom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p>
              </w:tc>
              <w:tc>
                <w:tcPr>
                  <w:tcW w:w="1662"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距东侧边导线5m</w:t>
                  </w:r>
                </w:p>
              </w:tc>
              <w:tc>
                <w:tcPr>
                  <w:tcW w:w="1091"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40.5</w:t>
                  </w:r>
                </w:p>
              </w:tc>
              <w:tc>
                <w:tcPr>
                  <w:tcW w:w="1147"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36.5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098" w:type="pct"/>
                  <w:vMerge w:val="continue"/>
                  <w:tcBorders>
                    <w:top w:val="nil"/>
                    <w:bottom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p>
              </w:tc>
              <w:tc>
                <w:tcPr>
                  <w:tcW w:w="1662"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距东侧边导线10m</w:t>
                  </w:r>
                </w:p>
              </w:tc>
              <w:tc>
                <w:tcPr>
                  <w:tcW w:w="1091"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40.1</w:t>
                  </w:r>
                </w:p>
              </w:tc>
              <w:tc>
                <w:tcPr>
                  <w:tcW w:w="1147"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37.5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098" w:type="pct"/>
                  <w:vMerge w:val="continue"/>
                  <w:tcBorders>
                    <w:top w:val="nil"/>
                    <w:bottom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p>
              </w:tc>
              <w:tc>
                <w:tcPr>
                  <w:tcW w:w="1662"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距东侧边导线15m</w:t>
                  </w:r>
                </w:p>
              </w:tc>
              <w:tc>
                <w:tcPr>
                  <w:tcW w:w="1091"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40.9</w:t>
                  </w:r>
                </w:p>
              </w:tc>
              <w:tc>
                <w:tcPr>
                  <w:tcW w:w="1147"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37.2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098" w:type="pct"/>
                  <w:vMerge w:val="continue"/>
                  <w:tcBorders>
                    <w:top w:val="nil"/>
                    <w:bottom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p>
              </w:tc>
              <w:tc>
                <w:tcPr>
                  <w:tcW w:w="1662"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距东侧边导线20m</w:t>
                  </w:r>
                </w:p>
              </w:tc>
              <w:tc>
                <w:tcPr>
                  <w:tcW w:w="1091"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40.8</w:t>
                  </w:r>
                </w:p>
              </w:tc>
              <w:tc>
                <w:tcPr>
                  <w:tcW w:w="1147"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36.7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098" w:type="pct"/>
                  <w:vMerge w:val="continue"/>
                  <w:tcBorders>
                    <w:top w:val="nil"/>
                    <w:bottom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p>
              </w:tc>
              <w:tc>
                <w:tcPr>
                  <w:tcW w:w="1662"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距东侧边导线25m</w:t>
                  </w:r>
                </w:p>
              </w:tc>
              <w:tc>
                <w:tcPr>
                  <w:tcW w:w="1091"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41.7</w:t>
                  </w:r>
                </w:p>
              </w:tc>
              <w:tc>
                <w:tcPr>
                  <w:tcW w:w="1147"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36.2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098" w:type="pct"/>
                  <w:vMerge w:val="continue"/>
                  <w:tcBorders>
                    <w:top w:val="nil"/>
                    <w:bottom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p>
              </w:tc>
              <w:tc>
                <w:tcPr>
                  <w:tcW w:w="1662"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距东侧边导线30m</w:t>
                  </w:r>
                </w:p>
              </w:tc>
              <w:tc>
                <w:tcPr>
                  <w:tcW w:w="1091"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40.4</w:t>
                  </w:r>
                </w:p>
              </w:tc>
              <w:tc>
                <w:tcPr>
                  <w:tcW w:w="1147"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37.6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098" w:type="pct"/>
                  <w:vMerge w:val="continue"/>
                  <w:tcBorders>
                    <w:top w:val="nil"/>
                    <w:bottom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p>
              </w:tc>
              <w:tc>
                <w:tcPr>
                  <w:tcW w:w="1662"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距东侧边导线35m</w:t>
                  </w:r>
                </w:p>
              </w:tc>
              <w:tc>
                <w:tcPr>
                  <w:tcW w:w="1091"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41.3</w:t>
                  </w:r>
                </w:p>
              </w:tc>
              <w:tc>
                <w:tcPr>
                  <w:tcW w:w="1147"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36.4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098" w:type="pct"/>
                  <w:vMerge w:val="continue"/>
                  <w:tcBorders>
                    <w:top w:val="nil"/>
                    <w:bottom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p>
              </w:tc>
              <w:tc>
                <w:tcPr>
                  <w:tcW w:w="1662"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距东侧边导线40m</w:t>
                  </w:r>
                </w:p>
              </w:tc>
              <w:tc>
                <w:tcPr>
                  <w:tcW w:w="1091"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40.0</w:t>
                  </w:r>
                </w:p>
              </w:tc>
              <w:tc>
                <w:tcPr>
                  <w:tcW w:w="1147"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38.2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098" w:type="pct"/>
                  <w:vMerge w:val="continue"/>
                  <w:tcBorders>
                    <w:top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p>
              </w:tc>
              <w:tc>
                <w:tcPr>
                  <w:tcW w:w="1662"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房屋A（测点位于边导线下）</w:t>
                  </w:r>
                </w:p>
              </w:tc>
              <w:tc>
                <w:tcPr>
                  <w:tcW w:w="1091"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39.9</w:t>
                  </w:r>
                </w:p>
              </w:tc>
              <w:tc>
                <w:tcPr>
                  <w:tcW w:w="1147"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37.9</w:t>
                  </w:r>
                </w:p>
              </w:tc>
            </w:tr>
          </w:tbl>
          <w:p>
            <w:pPr>
              <w:pStyle w:val="38"/>
              <w:keepNext w:val="0"/>
              <w:keepLines w:val="0"/>
              <w:pageBreakBefore w:val="0"/>
              <w:widowControl w:val="0"/>
              <w:kinsoku/>
              <w:wordWrap/>
              <w:overflowPunct/>
              <w:topLinePunct w:val="0"/>
              <w:autoSpaceDE/>
              <w:autoSpaceDN/>
              <w:bidi w:val="0"/>
              <w:adjustRightInd/>
              <w:snapToGrid/>
              <w:spacing w:line="360" w:lineRule="auto"/>
              <w:ind w:left="105" w:leftChars="50" w:right="105" w:rightChars="50" w:firstLine="460" w:firstLineChars="200"/>
              <w:jc w:val="both"/>
              <w:textAlignment w:val="auto"/>
              <w:rPr>
                <w:rFonts w:hint="eastAsia" w:ascii="Times New Roman" w:hAnsi="Times New Roman" w:eastAsia="宋体" w:cs="Times New Roman"/>
                <w:color w:val="auto"/>
                <w:spacing w:val="-5"/>
                <w:kern w:val="2"/>
                <w:sz w:val="24"/>
                <w:szCs w:val="24"/>
                <w:lang w:val="en-US" w:eastAsia="zh-CN" w:bidi="ar-SA"/>
              </w:rPr>
            </w:pPr>
            <w:r>
              <w:rPr>
                <w:rFonts w:hint="eastAsia" w:ascii="Times New Roman" w:hAnsi="Times New Roman" w:eastAsia="宋体" w:cs="Times New Roman"/>
                <w:color w:val="auto"/>
                <w:spacing w:val="-5"/>
                <w:kern w:val="2"/>
                <w:sz w:val="24"/>
                <w:szCs w:val="24"/>
                <w:lang w:val="en-US" w:eastAsia="zh-CN" w:bidi="ar-SA"/>
              </w:rPr>
              <w:t>由表4-6可知，类比项目220kV鼎丛线Ⅱ线路运行在线路中心弛垂断面50m范围内的噪声值昼间为（39.8～41.7）dB（A），夜间为（36.2～38.2）dB（A）。</w:t>
            </w:r>
          </w:p>
          <w:p>
            <w:pPr>
              <w:pStyle w:val="38"/>
              <w:keepNext w:val="0"/>
              <w:keepLines w:val="0"/>
              <w:pageBreakBefore w:val="0"/>
              <w:widowControl w:val="0"/>
              <w:kinsoku/>
              <w:wordWrap/>
              <w:overflowPunct/>
              <w:topLinePunct w:val="0"/>
              <w:autoSpaceDE/>
              <w:autoSpaceDN/>
              <w:bidi w:val="0"/>
              <w:adjustRightInd/>
              <w:snapToGrid/>
              <w:spacing w:line="360" w:lineRule="auto"/>
              <w:ind w:left="105" w:leftChars="50" w:right="105" w:rightChars="50" w:firstLine="460" w:firstLineChars="200"/>
              <w:jc w:val="both"/>
              <w:textAlignment w:val="auto"/>
              <w:rPr>
                <w:rFonts w:hint="eastAsia" w:ascii="Times New Roman" w:hAnsi="Times New Roman" w:eastAsia="宋体" w:cs="Times New Roman"/>
                <w:color w:val="auto"/>
                <w:spacing w:val="-5"/>
                <w:kern w:val="2"/>
                <w:sz w:val="24"/>
                <w:szCs w:val="24"/>
                <w:lang w:val="en-US" w:eastAsia="zh-CN" w:bidi="ar-SA"/>
              </w:rPr>
            </w:pPr>
            <w:r>
              <w:rPr>
                <w:rFonts w:hint="eastAsia" w:ascii="Times New Roman" w:hAnsi="Times New Roman" w:eastAsia="宋体" w:cs="Times New Roman"/>
                <w:color w:val="auto"/>
                <w:spacing w:val="-5"/>
                <w:kern w:val="2"/>
                <w:sz w:val="24"/>
                <w:szCs w:val="24"/>
                <w:lang w:val="en-US" w:eastAsia="zh-CN" w:bidi="ar-SA"/>
              </w:rPr>
              <w:t>输电线路走廊下的噪声对声环境贡献值较小，不会改变线路周围的声环境质量现状。对于位于线路走廊外的居民住宅而言，考虑到距离衰减因素后其区域环境噪声小于《声环境质量标准》（GB3096-2008）中1类标准昼间55dB（A）、夜间45dB（A）的要求。</w:t>
            </w:r>
          </w:p>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460" w:firstLineChars="200"/>
              <w:jc w:val="both"/>
              <w:textAlignment w:val="auto"/>
              <w:rPr>
                <w:rFonts w:hint="eastAsia" w:ascii="Times New Roman" w:hAnsi="Times New Roman" w:eastAsia="宋体" w:cs="Times New Roman"/>
                <w:color w:val="auto"/>
                <w:spacing w:val="-5"/>
                <w:kern w:val="2"/>
                <w:sz w:val="24"/>
                <w:szCs w:val="24"/>
                <w:lang w:val="en-US" w:eastAsia="zh-CN" w:bidi="ar-SA"/>
              </w:rPr>
            </w:pPr>
            <w:r>
              <w:rPr>
                <w:rFonts w:hint="eastAsia" w:ascii="Times New Roman" w:hAnsi="Times New Roman" w:eastAsia="宋体" w:cs="Times New Roman"/>
                <w:color w:val="auto"/>
                <w:spacing w:val="-5"/>
                <w:kern w:val="2"/>
                <w:sz w:val="24"/>
                <w:szCs w:val="24"/>
                <w:lang w:val="en-US" w:eastAsia="zh-CN" w:bidi="ar-SA"/>
              </w:rPr>
              <w:t>（5）类比监测结果分析</w:t>
            </w:r>
          </w:p>
          <w:p>
            <w:pPr>
              <w:pStyle w:val="38"/>
              <w:keepNext w:val="0"/>
              <w:keepLines w:val="0"/>
              <w:pageBreakBefore w:val="0"/>
              <w:widowControl w:val="0"/>
              <w:kinsoku/>
              <w:wordWrap/>
              <w:overflowPunct/>
              <w:topLinePunct w:val="0"/>
              <w:autoSpaceDE/>
              <w:autoSpaceDN/>
              <w:bidi w:val="0"/>
              <w:adjustRightInd/>
              <w:snapToGrid/>
              <w:spacing w:line="360" w:lineRule="auto"/>
              <w:ind w:left="105" w:leftChars="50" w:right="105" w:rightChars="50" w:firstLine="460" w:firstLineChars="200"/>
              <w:jc w:val="both"/>
              <w:textAlignment w:val="auto"/>
              <w:rPr>
                <w:rFonts w:hint="eastAsia" w:ascii="Times New Roman" w:hAnsi="Times New Roman" w:eastAsia="宋体" w:cs="Times New Roman"/>
                <w:color w:val="auto"/>
                <w:spacing w:val="-5"/>
                <w:kern w:val="2"/>
                <w:sz w:val="24"/>
                <w:szCs w:val="24"/>
                <w:lang w:val="en-US" w:eastAsia="zh-CN" w:bidi="ar-SA"/>
              </w:rPr>
            </w:pPr>
            <w:r>
              <w:rPr>
                <w:rFonts w:hint="eastAsia" w:ascii="Times New Roman" w:hAnsi="Times New Roman" w:eastAsia="宋体" w:cs="Times New Roman"/>
                <w:color w:val="auto"/>
                <w:spacing w:val="-5"/>
                <w:kern w:val="2"/>
                <w:sz w:val="24"/>
                <w:szCs w:val="24"/>
                <w:lang w:val="en-US" w:eastAsia="zh-CN" w:bidi="ar-SA"/>
              </w:rPr>
              <w:t>由表4-6可知，单回路线路断面噪声监测结果为昼间39.8-41.7dB(A），夜间36.7-38.2dB(A），均可满足《声环境质量标准》（GB3096－2008）中1类标准要求。</w:t>
            </w:r>
          </w:p>
          <w:p>
            <w:pPr>
              <w:pStyle w:val="38"/>
              <w:keepNext w:val="0"/>
              <w:keepLines w:val="0"/>
              <w:pageBreakBefore w:val="0"/>
              <w:widowControl w:val="0"/>
              <w:kinsoku/>
              <w:wordWrap/>
              <w:overflowPunct/>
              <w:topLinePunct w:val="0"/>
              <w:autoSpaceDE/>
              <w:autoSpaceDN/>
              <w:bidi w:val="0"/>
              <w:adjustRightInd/>
              <w:snapToGrid/>
              <w:spacing w:line="360" w:lineRule="auto"/>
              <w:ind w:left="105" w:leftChars="50" w:right="105" w:rightChars="50" w:firstLine="460" w:firstLineChars="200"/>
              <w:jc w:val="both"/>
              <w:textAlignment w:val="auto"/>
              <w:rPr>
                <w:rFonts w:hint="default" w:ascii="Times New Roman" w:hAnsi="Times New Roman" w:eastAsia="宋体" w:cs="Times New Roman"/>
                <w:color w:val="auto"/>
                <w:spacing w:val="-5"/>
                <w:kern w:val="2"/>
                <w:sz w:val="24"/>
                <w:szCs w:val="24"/>
                <w:lang w:val="en-US" w:eastAsia="zh-CN" w:bidi="ar-SA"/>
              </w:rPr>
            </w:pPr>
            <w:r>
              <w:rPr>
                <w:rFonts w:hint="eastAsia" w:ascii="Times New Roman" w:hAnsi="Times New Roman" w:eastAsia="宋体" w:cs="Times New Roman"/>
                <w:color w:val="auto"/>
                <w:spacing w:val="-5"/>
                <w:kern w:val="2"/>
                <w:sz w:val="24"/>
                <w:szCs w:val="24"/>
                <w:lang w:val="en-US" w:eastAsia="zh-CN" w:bidi="ar-SA"/>
              </w:rPr>
              <w:t>本项目输电线路最近的敏感目标为40m，噪声类比监测结果为昼间40dB(A），夜间为382.2dB(A）。通过表4-6可知，本项目投运后该环境敏感目标处噪声为昼、夜间均可满足《声环境质量标准》（GB3096－2008）中1类标准要求。</w:t>
            </w:r>
          </w:p>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506" w:firstLineChars="200"/>
              <w:jc w:val="both"/>
              <w:textAlignment w:val="auto"/>
              <w:rPr>
                <w:rFonts w:hint="default" w:ascii="Times New Roman" w:hAnsi="Times New Roman" w:eastAsia="宋体" w:cs="Times New Roman"/>
                <w:b/>
                <w:bCs/>
                <w:color w:val="auto"/>
                <w:spacing w:val="6"/>
                <w:sz w:val="24"/>
                <w:szCs w:val="24"/>
                <w:lang w:val="en-US" w:eastAsia="zh-CN"/>
              </w:rPr>
            </w:pPr>
            <w:r>
              <w:rPr>
                <w:rFonts w:hint="eastAsia" w:ascii="Times New Roman" w:hAnsi="Times New Roman" w:eastAsia="宋体" w:cs="Times New Roman"/>
                <w:b/>
                <w:bCs/>
                <w:color w:val="auto"/>
                <w:spacing w:val="6"/>
                <w:sz w:val="24"/>
                <w:szCs w:val="24"/>
                <w:lang w:val="en-US" w:eastAsia="zh-CN"/>
              </w:rPr>
              <w:t>3.运营期水环境影响分析</w:t>
            </w:r>
          </w:p>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460" w:firstLineChars="200"/>
              <w:jc w:val="both"/>
              <w:textAlignment w:val="auto"/>
              <w:rPr>
                <w:rFonts w:hint="default" w:ascii="Times New Roman" w:hAnsi="Times New Roman" w:eastAsia="宋体" w:cs="Times New Roman"/>
                <w:color w:val="auto"/>
                <w:spacing w:val="-5"/>
                <w:kern w:val="2"/>
                <w:sz w:val="24"/>
                <w:szCs w:val="24"/>
                <w:lang w:val="en-US" w:eastAsia="zh-CN" w:bidi="ar-SA"/>
              </w:rPr>
            </w:pPr>
            <w:r>
              <w:rPr>
                <w:rFonts w:hint="default" w:ascii="Times New Roman" w:hAnsi="Times New Roman" w:eastAsia="宋体" w:cs="Times New Roman"/>
                <w:color w:val="auto"/>
                <w:spacing w:val="-5"/>
                <w:kern w:val="2"/>
                <w:sz w:val="24"/>
                <w:szCs w:val="24"/>
                <w:lang w:val="en-US" w:eastAsia="zh-CN" w:bidi="ar-SA"/>
              </w:rPr>
              <w:t>本次评价范围内无饮用水水源保护区，线路跨越</w:t>
            </w:r>
            <w:r>
              <w:rPr>
                <w:rFonts w:hint="eastAsia" w:ascii="Times New Roman" w:hAnsi="Times New Roman" w:eastAsia="宋体" w:cs="Times New Roman"/>
                <w:color w:val="auto"/>
                <w:spacing w:val="-5"/>
                <w:kern w:val="2"/>
                <w:sz w:val="24"/>
                <w:szCs w:val="24"/>
                <w:lang w:val="en-US" w:eastAsia="zh-CN" w:bidi="ar-SA"/>
              </w:rPr>
              <w:t>西大营子河1</w:t>
            </w:r>
            <w:r>
              <w:rPr>
                <w:rFonts w:hint="default" w:ascii="Times New Roman" w:hAnsi="Times New Roman" w:eastAsia="宋体" w:cs="Times New Roman"/>
                <w:color w:val="auto"/>
                <w:spacing w:val="-5"/>
                <w:kern w:val="2"/>
                <w:sz w:val="24"/>
                <w:szCs w:val="24"/>
                <w:lang w:val="en-US" w:eastAsia="zh-CN" w:bidi="ar-SA"/>
              </w:rPr>
              <w:t>处，</w:t>
            </w:r>
            <w:r>
              <w:rPr>
                <w:rFonts w:hint="eastAsia" w:ascii="Times New Roman" w:hAnsi="Times New Roman" w:eastAsia="宋体" w:cs="Times New Roman"/>
                <w:color w:val="auto"/>
                <w:spacing w:val="-5"/>
                <w:kern w:val="2"/>
                <w:sz w:val="24"/>
                <w:szCs w:val="24"/>
                <w:lang w:val="en-US" w:eastAsia="zh-CN" w:bidi="ar-SA"/>
              </w:rPr>
              <w:t>自然地表径流</w:t>
            </w:r>
            <w:r>
              <w:rPr>
                <w:rFonts w:hint="default" w:ascii="Times New Roman" w:hAnsi="Times New Roman" w:eastAsia="宋体" w:cs="Times New Roman"/>
                <w:color w:val="auto"/>
                <w:spacing w:val="-5"/>
                <w:kern w:val="2"/>
                <w:sz w:val="24"/>
                <w:szCs w:val="24"/>
                <w:lang w:val="en-US" w:eastAsia="zh-CN" w:bidi="ar-SA"/>
              </w:rPr>
              <w:t>1处，但河道管理范围内不设置塔基，且输电线路在运营期不产生生产废水，不会对河流产生污染，输电线路运行期不会对水环境产生不良影响。</w:t>
            </w:r>
          </w:p>
          <w:p>
            <w:pPr>
              <w:pStyle w:val="38"/>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502" w:firstLineChars="200"/>
              <w:textAlignment w:val="auto"/>
              <w:rPr>
                <w:rFonts w:hint="default" w:ascii="Times New Roman" w:hAnsi="Times New Roman" w:eastAsia="宋体" w:cs="Times New Roman"/>
                <w:b/>
                <w:bCs/>
                <w:color w:val="auto"/>
                <w:spacing w:val="5"/>
                <w:sz w:val="24"/>
                <w:szCs w:val="24"/>
              </w:rPr>
            </w:pPr>
            <w:r>
              <w:rPr>
                <w:rFonts w:hint="eastAsia" w:ascii="Times New Roman" w:hAnsi="Times New Roman" w:eastAsia="宋体" w:cs="Times New Roman"/>
                <w:b/>
                <w:bCs/>
                <w:color w:val="auto"/>
                <w:spacing w:val="5"/>
                <w:kern w:val="2"/>
                <w:sz w:val="24"/>
                <w:szCs w:val="24"/>
                <w:lang w:val="en-US" w:eastAsia="zh-CN" w:bidi="ar-SA"/>
              </w:rPr>
              <w:t>4.</w:t>
            </w:r>
            <w:r>
              <w:rPr>
                <w:rFonts w:hint="default" w:ascii="Times New Roman" w:hAnsi="Times New Roman" w:eastAsia="宋体" w:cs="Times New Roman"/>
                <w:b/>
                <w:bCs/>
                <w:color w:val="auto"/>
                <w:spacing w:val="5"/>
                <w:sz w:val="24"/>
                <w:szCs w:val="24"/>
              </w:rPr>
              <w:t>固体废弃物环境影响分析</w:t>
            </w:r>
          </w:p>
          <w:p>
            <w:pPr>
              <w:keepNext w:val="0"/>
              <w:keepLines w:val="0"/>
              <w:pageBreakBefore w:val="0"/>
              <w:widowControl w:val="0"/>
              <w:kinsoku/>
              <w:wordWrap/>
              <w:overflowPunct/>
              <w:topLinePunct w:val="0"/>
              <w:autoSpaceDE/>
              <w:autoSpaceDN/>
              <w:bidi w:val="0"/>
              <w:adjustRightInd/>
              <w:snapToGrid/>
              <w:spacing w:line="360" w:lineRule="auto"/>
              <w:ind w:left="0" w:right="0" w:firstLine="460" w:firstLineChars="200"/>
              <w:textAlignment w:val="auto"/>
              <w:rPr>
                <w:rFonts w:hint="default" w:ascii="Times New Roman" w:hAnsi="Times New Roman" w:eastAsia="宋体" w:cs="Times New Roman"/>
                <w:color w:val="auto"/>
                <w:spacing w:val="-5"/>
                <w:sz w:val="24"/>
                <w:szCs w:val="24"/>
              </w:rPr>
            </w:pPr>
            <w:r>
              <w:rPr>
                <w:rFonts w:hint="eastAsia" w:ascii="Times New Roman" w:hAnsi="Times New Roman" w:eastAsia="宋体" w:cs="Times New Roman"/>
                <w:color w:val="auto"/>
                <w:spacing w:val="-5"/>
                <w:sz w:val="24"/>
                <w:szCs w:val="24"/>
                <w:lang w:val="en-US" w:eastAsia="zh-CN"/>
              </w:rPr>
              <w:t>本工程</w:t>
            </w:r>
            <w:r>
              <w:rPr>
                <w:rFonts w:hint="default" w:ascii="Times New Roman" w:hAnsi="Times New Roman" w:eastAsia="宋体" w:cs="Times New Roman"/>
                <w:color w:val="auto"/>
                <w:spacing w:val="-5"/>
                <w:sz w:val="24"/>
                <w:szCs w:val="24"/>
              </w:rPr>
              <w:t>运营期</w:t>
            </w:r>
            <w:r>
              <w:rPr>
                <w:rFonts w:hint="eastAsia" w:ascii="Times New Roman" w:hAnsi="Times New Roman" w:eastAsia="宋体" w:cs="Times New Roman"/>
                <w:color w:val="auto"/>
                <w:spacing w:val="-5"/>
                <w:sz w:val="24"/>
                <w:szCs w:val="24"/>
                <w:lang w:val="en-US" w:eastAsia="zh-CN"/>
              </w:rPr>
              <w:t>无固废产生</w:t>
            </w:r>
            <w:r>
              <w:rPr>
                <w:rFonts w:hint="default" w:ascii="Times New Roman" w:hAnsi="Times New Roman" w:eastAsia="宋体" w:cs="Times New Roman"/>
                <w:color w:val="auto"/>
                <w:spacing w:val="-5"/>
                <w:sz w:val="24"/>
                <w:szCs w:val="24"/>
              </w:rPr>
              <w:t>。</w:t>
            </w:r>
          </w:p>
          <w:p>
            <w:pPr>
              <w:pStyle w:val="38"/>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502" w:firstLineChars="200"/>
              <w:textAlignment w:val="auto"/>
              <w:rPr>
                <w:rFonts w:hint="default" w:ascii="Times New Roman" w:hAnsi="Times New Roman" w:eastAsia="宋体" w:cs="Times New Roman"/>
                <w:b/>
                <w:bCs/>
                <w:color w:val="auto"/>
                <w:spacing w:val="5"/>
                <w:kern w:val="2"/>
                <w:sz w:val="24"/>
                <w:szCs w:val="24"/>
                <w:lang w:val="en-US" w:eastAsia="zh-CN" w:bidi="ar-SA"/>
              </w:rPr>
            </w:pPr>
            <w:r>
              <w:rPr>
                <w:rFonts w:hint="eastAsia" w:ascii="Times New Roman" w:hAnsi="Times New Roman" w:eastAsia="宋体" w:cs="Times New Roman"/>
                <w:b/>
                <w:bCs/>
                <w:color w:val="auto"/>
                <w:spacing w:val="5"/>
                <w:kern w:val="2"/>
                <w:sz w:val="24"/>
                <w:szCs w:val="24"/>
                <w:lang w:val="en-US" w:eastAsia="zh-CN" w:bidi="ar-SA"/>
              </w:rPr>
              <w:t>5.</w:t>
            </w:r>
            <w:r>
              <w:rPr>
                <w:rFonts w:hint="default" w:ascii="Times New Roman" w:hAnsi="Times New Roman" w:eastAsia="宋体" w:cs="Times New Roman"/>
                <w:b/>
                <w:bCs/>
                <w:color w:val="auto"/>
                <w:spacing w:val="5"/>
                <w:kern w:val="2"/>
                <w:sz w:val="24"/>
                <w:szCs w:val="24"/>
                <w:lang w:val="en-US" w:eastAsia="zh-CN" w:bidi="ar-SA"/>
              </w:rPr>
              <w:t>生态环境</w:t>
            </w:r>
          </w:p>
          <w:p>
            <w:pPr>
              <w:keepNext w:val="0"/>
              <w:keepLines w:val="0"/>
              <w:pageBreakBefore w:val="0"/>
              <w:widowControl w:val="0"/>
              <w:kinsoku/>
              <w:wordWrap/>
              <w:overflowPunct/>
              <w:topLinePunct w:val="0"/>
              <w:autoSpaceDE/>
              <w:autoSpaceDN/>
              <w:bidi w:val="0"/>
              <w:adjustRightInd/>
              <w:snapToGrid/>
              <w:spacing w:line="360" w:lineRule="auto"/>
              <w:ind w:left="105" w:leftChars="50" w:right="105" w:rightChars="50" w:firstLine="460" w:firstLineChars="200"/>
              <w:textAlignment w:val="auto"/>
              <w:rPr>
                <w:rFonts w:hint="default" w:ascii="Times New Roman" w:hAnsi="Times New Roman" w:eastAsia="宋体" w:cs="Times New Roman"/>
                <w:color w:val="auto"/>
                <w:spacing w:val="-5"/>
                <w:sz w:val="24"/>
                <w:szCs w:val="24"/>
              </w:rPr>
            </w:pPr>
            <w:r>
              <w:rPr>
                <w:rFonts w:hint="default" w:ascii="Times New Roman" w:hAnsi="Times New Roman" w:eastAsia="宋体" w:cs="Times New Roman"/>
                <w:color w:val="auto"/>
                <w:spacing w:val="-5"/>
                <w:sz w:val="24"/>
                <w:szCs w:val="24"/>
              </w:rPr>
              <w:t>本项目为高压输电网工程，运行期将产生一定的电磁影响和电晕噪声，无废气、废水和固体废物等污染物的排放。施工结束后，建设单位及时做好土地平整、植被恢复等工作，对临时占地采取工程措施以恢复水土保持功能，可将生态环境影响尽可能减小。因此本项目营运期对周边的生态环境影响较小。</w:t>
            </w:r>
          </w:p>
          <w:p>
            <w:pPr>
              <w:keepNext w:val="0"/>
              <w:keepLines w:val="0"/>
              <w:pageBreakBefore w:val="0"/>
              <w:widowControl w:val="0"/>
              <w:kinsoku/>
              <w:wordWrap/>
              <w:overflowPunct/>
              <w:topLinePunct w:val="0"/>
              <w:autoSpaceDE/>
              <w:autoSpaceDN/>
              <w:bidi w:val="0"/>
              <w:adjustRightInd/>
              <w:snapToGrid/>
              <w:spacing w:line="360" w:lineRule="auto"/>
              <w:ind w:left="105" w:leftChars="50" w:right="105" w:rightChars="50" w:firstLine="460" w:firstLineChars="200"/>
              <w:textAlignment w:val="auto"/>
              <w:rPr>
                <w:rFonts w:hint="default" w:ascii="Times New Roman" w:hAnsi="Times New Roman" w:eastAsia="宋体" w:cs="Times New Roman"/>
                <w:color w:val="auto"/>
                <w:spacing w:val="-5"/>
                <w:sz w:val="24"/>
                <w:szCs w:val="24"/>
              </w:rPr>
            </w:pPr>
            <w:r>
              <w:rPr>
                <w:rFonts w:hint="default" w:ascii="Times New Roman" w:hAnsi="Times New Roman" w:eastAsia="宋体" w:cs="Times New Roman"/>
                <w:color w:val="auto"/>
                <w:spacing w:val="-5"/>
                <w:sz w:val="24"/>
                <w:szCs w:val="24"/>
              </w:rPr>
              <w:t>建成投入使用后，应注重巡线，避免发生事故。运行期对植被恢复措施栽植完成后的管护，确保林、草的成活率、保存率、生长情况及覆盖度。</w:t>
            </w:r>
          </w:p>
          <w:p>
            <w:pPr>
              <w:pStyle w:val="38"/>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502" w:firstLineChars="200"/>
              <w:textAlignment w:val="auto"/>
              <w:rPr>
                <w:rFonts w:hint="default" w:ascii="Times New Roman" w:hAnsi="Times New Roman" w:eastAsia="宋体" w:cs="Times New Roman"/>
                <w:b/>
                <w:bCs/>
                <w:color w:val="auto"/>
                <w:spacing w:val="5"/>
                <w:kern w:val="2"/>
                <w:sz w:val="24"/>
                <w:szCs w:val="24"/>
                <w:lang w:val="en-US" w:eastAsia="zh-CN" w:bidi="ar-SA"/>
              </w:rPr>
            </w:pPr>
            <w:r>
              <w:rPr>
                <w:rFonts w:hint="default" w:ascii="Times New Roman" w:hAnsi="Times New Roman" w:eastAsia="宋体" w:cs="Times New Roman"/>
                <w:b/>
                <w:bCs/>
                <w:color w:val="auto"/>
                <w:spacing w:val="5"/>
                <w:kern w:val="2"/>
                <w:sz w:val="24"/>
                <w:szCs w:val="24"/>
                <w:lang w:val="en-US" w:eastAsia="zh-CN" w:bidi="ar-SA"/>
              </w:rPr>
              <w:t>6.环境风险简要分析</w:t>
            </w:r>
          </w:p>
          <w:p>
            <w:pPr>
              <w:keepNext w:val="0"/>
              <w:keepLines w:val="0"/>
              <w:pageBreakBefore w:val="0"/>
              <w:widowControl w:val="0"/>
              <w:kinsoku/>
              <w:wordWrap/>
              <w:overflowPunct/>
              <w:topLinePunct w:val="0"/>
              <w:autoSpaceDE/>
              <w:autoSpaceDN/>
              <w:bidi w:val="0"/>
              <w:adjustRightInd/>
              <w:snapToGrid/>
              <w:spacing w:line="360" w:lineRule="auto"/>
              <w:ind w:left="0" w:right="0" w:firstLine="460" w:firstLineChars="200"/>
              <w:textAlignment w:val="auto"/>
              <w:rPr>
                <w:rFonts w:hint="eastAsia"/>
                <w:b/>
                <w:bCs/>
                <w:color w:val="auto"/>
                <w:spacing w:val="4"/>
                <w:lang w:eastAsia="zh-CN"/>
              </w:rPr>
            </w:pPr>
            <w:r>
              <w:rPr>
                <w:rFonts w:hint="default" w:ascii="Times New Roman" w:hAnsi="Times New Roman" w:eastAsia="宋体" w:cs="Times New Roman"/>
                <w:color w:val="auto"/>
                <w:spacing w:val="-5"/>
                <w:sz w:val="24"/>
                <w:szCs w:val="24"/>
                <w:lang w:val="en-US" w:eastAsia="zh-CN"/>
              </w:rPr>
              <w:t>本项目为高压输电网工程，运行期将产生一定的电磁影响和电晕噪声，无废气、废水和固体废物等污染物的排放。因此，本项目运行期不会对环境产生风险。</w:t>
            </w:r>
          </w:p>
        </w:tc>
      </w:tr>
    </w:tbl>
    <w:p>
      <w:pPr>
        <w:spacing w:line="236" w:lineRule="exact"/>
        <w:rPr>
          <w:color w:val="auto"/>
          <w:sz w:val="20"/>
          <w:szCs w:val="20"/>
        </w:rPr>
        <w:sectPr>
          <w:footerReference r:id="rId8" w:type="default"/>
          <w:pgSz w:w="11906" w:h="16839"/>
          <w:pgMar w:top="1440" w:right="1800" w:bottom="1440" w:left="1800" w:header="0" w:footer="1078" w:gutter="0"/>
          <w:pgBorders>
            <w:top w:val="none" w:sz="0" w:space="0"/>
            <w:left w:val="none" w:sz="0" w:space="0"/>
            <w:bottom w:val="none" w:sz="0" w:space="0"/>
            <w:right w:val="none" w:sz="0" w:space="0"/>
          </w:pgBorders>
          <w:pgNumType w:fmt="decimal"/>
          <w:cols w:space="720" w:num="1"/>
        </w:sectPr>
      </w:pPr>
    </w:p>
    <w:tbl>
      <w:tblPr>
        <w:tblStyle w:val="31"/>
        <w:tblW w:w="9613"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452"/>
        <w:gridCol w:w="9161"/>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575" w:hRule="atLeast"/>
        </w:trPr>
        <w:tc>
          <w:tcPr>
            <w:tcW w:w="452" w:type="dxa"/>
            <w:tcBorders>
              <w:top w:val="single" w:color="000000" w:sz="2" w:space="0"/>
              <w:right w:val="single" w:color="000000" w:sz="2" w:space="0"/>
            </w:tcBorders>
            <w:textDirection w:val="tbRlV"/>
            <w:vAlign w:val="top"/>
          </w:tcPr>
          <w:p>
            <w:pPr>
              <w:spacing w:before="122" w:line="217" w:lineRule="auto"/>
              <w:ind w:left="3188"/>
              <w:rPr>
                <w:rFonts w:ascii="宋体" w:hAnsi="宋体" w:eastAsia="宋体" w:cs="宋体"/>
                <w:b/>
                <w:bCs/>
                <w:color w:val="auto"/>
                <w:sz w:val="24"/>
                <w:szCs w:val="24"/>
              </w:rPr>
            </w:pPr>
            <w:r>
              <w:rPr>
                <w:rFonts w:ascii="宋体" w:hAnsi="宋体" w:eastAsia="宋体" w:cs="宋体"/>
                <w:b/>
                <w:bCs/>
                <w:color w:val="auto"/>
                <w:spacing w:val="8"/>
                <w:sz w:val="24"/>
                <w:szCs w:val="24"/>
              </w:rPr>
              <w:t>选</w:t>
            </w:r>
            <w:r>
              <w:rPr>
                <w:rFonts w:ascii="宋体" w:hAnsi="宋体" w:eastAsia="宋体" w:cs="宋体"/>
                <w:b/>
                <w:bCs/>
                <w:color w:val="auto"/>
                <w:spacing w:val="-30"/>
                <w:sz w:val="24"/>
                <w:szCs w:val="24"/>
              </w:rPr>
              <w:t xml:space="preserve"> </w:t>
            </w:r>
            <w:r>
              <w:rPr>
                <w:rFonts w:ascii="宋体" w:hAnsi="宋体" w:eastAsia="宋体" w:cs="宋体"/>
                <w:b/>
                <w:bCs/>
                <w:color w:val="auto"/>
                <w:spacing w:val="8"/>
                <w:sz w:val="24"/>
                <w:szCs w:val="24"/>
              </w:rPr>
              <w:t>址</w:t>
            </w:r>
            <w:r>
              <w:rPr>
                <w:rFonts w:ascii="宋体" w:hAnsi="宋体" w:eastAsia="宋体" w:cs="宋体"/>
                <w:b/>
                <w:bCs/>
                <w:color w:val="auto"/>
                <w:spacing w:val="-36"/>
                <w:sz w:val="24"/>
                <w:szCs w:val="24"/>
              </w:rPr>
              <w:t xml:space="preserve"> </w:t>
            </w:r>
            <w:r>
              <w:rPr>
                <w:rFonts w:ascii="宋体" w:hAnsi="宋体" w:eastAsia="宋体" w:cs="宋体"/>
                <w:b/>
                <w:bCs/>
                <w:color w:val="auto"/>
                <w:spacing w:val="8"/>
                <w:sz w:val="24"/>
                <w:szCs w:val="24"/>
              </w:rPr>
              <w:t>选</w:t>
            </w:r>
            <w:r>
              <w:rPr>
                <w:rFonts w:ascii="宋体" w:hAnsi="宋体" w:eastAsia="宋体" w:cs="宋体"/>
                <w:b/>
                <w:bCs/>
                <w:color w:val="auto"/>
                <w:spacing w:val="-37"/>
                <w:sz w:val="24"/>
                <w:szCs w:val="24"/>
              </w:rPr>
              <w:t xml:space="preserve"> </w:t>
            </w:r>
            <w:r>
              <w:rPr>
                <w:rFonts w:ascii="宋体" w:hAnsi="宋体" w:eastAsia="宋体" w:cs="宋体"/>
                <w:b/>
                <w:bCs/>
                <w:color w:val="auto"/>
                <w:spacing w:val="8"/>
                <w:sz w:val="24"/>
                <w:szCs w:val="24"/>
              </w:rPr>
              <w:t>线</w:t>
            </w:r>
            <w:r>
              <w:rPr>
                <w:rFonts w:ascii="宋体" w:hAnsi="宋体" w:eastAsia="宋体" w:cs="宋体"/>
                <w:b/>
                <w:bCs/>
                <w:color w:val="auto"/>
                <w:spacing w:val="-35"/>
                <w:sz w:val="24"/>
                <w:szCs w:val="24"/>
              </w:rPr>
              <w:t xml:space="preserve"> </w:t>
            </w:r>
            <w:r>
              <w:rPr>
                <w:rFonts w:ascii="宋体" w:hAnsi="宋体" w:eastAsia="宋体" w:cs="宋体"/>
                <w:b/>
                <w:bCs/>
                <w:color w:val="auto"/>
                <w:spacing w:val="8"/>
                <w:sz w:val="24"/>
                <w:szCs w:val="24"/>
              </w:rPr>
              <w:t>环</w:t>
            </w:r>
            <w:r>
              <w:rPr>
                <w:rFonts w:ascii="宋体" w:hAnsi="宋体" w:eastAsia="宋体" w:cs="宋体"/>
                <w:b/>
                <w:bCs/>
                <w:color w:val="auto"/>
                <w:spacing w:val="-38"/>
                <w:sz w:val="24"/>
                <w:szCs w:val="24"/>
              </w:rPr>
              <w:t xml:space="preserve"> </w:t>
            </w:r>
            <w:r>
              <w:rPr>
                <w:rFonts w:ascii="宋体" w:hAnsi="宋体" w:eastAsia="宋体" w:cs="宋体"/>
                <w:b/>
                <w:bCs/>
                <w:color w:val="auto"/>
                <w:spacing w:val="8"/>
                <w:sz w:val="24"/>
                <w:szCs w:val="24"/>
              </w:rPr>
              <w:t>境</w:t>
            </w:r>
            <w:r>
              <w:rPr>
                <w:rFonts w:ascii="宋体" w:hAnsi="宋体" w:eastAsia="宋体" w:cs="宋体"/>
                <w:b/>
                <w:bCs/>
                <w:color w:val="auto"/>
                <w:spacing w:val="-35"/>
                <w:sz w:val="24"/>
                <w:szCs w:val="24"/>
              </w:rPr>
              <w:t xml:space="preserve"> </w:t>
            </w:r>
            <w:r>
              <w:rPr>
                <w:rFonts w:ascii="宋体" w:hAnsi="宋体" w:eastAsia="宋体" w:cs="宋体"/>
                <w:b/>
                <w:bCs/>
                <w:color w:val="auto"/>
                <w:spacing w:val="8"/>
                <w:sz w:val="24"/>
                <w:szCs w:val="24"/>
              </w:rPr>
              <w:t>合</w:t>
            </w:r>
            <w:r>
              <w:rPr>
                <w:rFonts w:ascii="宋体" w:hAnsi="宋体" w:eastAsia="宋体" w:cs="宋体"/>
                <w:b/>
                <w:bCs/>
                <w:color w:val="auto"/>
                <w:spacing w:val="-38"/>
                <w:sz w:val="24"/>
                <w:szCs w:val="24"/>
              </w:rPr>
              <w:t xml:space="preserve"> </w:t>
            </w:r>
            <w:r>
              <w:rPr>
                <w:rFonts w:ascii="宋体" w:hAnsi="宋体" w:eastAsia="宋体" w:cs="宋体"/>
                <w:b/>
                <w:bCs/>
                <w:color w:val="auto"/>
                <w:spacing w:val="8"/>
                <w:sz w:val="24"/>
                <w:szCs w:val="24"/>
              </w:rPr>
              <w:t>理</w:t>
            </w:r>
            <w:r>
              <w:rPr>
                <w:rFonts w:ascii="宋体" w:hAnsi="宋体" w:eastAsia="宋体" w:cs="宋体"/>
                <w:b/>
                <w:bCs/>
                <w:color w:val="auto"/>
                <w:spacing w:val="-37"/>
                <w:sz w:val="24"/>
                <w:szCs w:val="24"/>
              </w:rPr>
              <w:t xml:space="preserve"> </w:t>
            </w:r>
            <w:r>
              <w:rPr>
                <w:rFonts w:ascii="宋体" w:hAnsi="宋体" w:eastAsia="宋体" w:cs="宋体"/>
                <w:b/>
                <w:bCs/>
                <w:color w:val="auto"/>
                <w:spacing w:val="8"/>
                <w:sz w:val="24"/>
                <w:szCs w:val="24"/>
              </w:rPr>
              <w:t>性</w:t>
            </w:r>
            <w:r>
              <w:rPr>
                <w:rFonts w:ascii="宋体" w:hAnsi="宋体" w:eastAsia="宋体" w:cs="宋体"/>
                <w:b/>
                <w:bCs/>
                <w:color w:val="auto"/>
                <w:spacing w:val="-36"/>
                <w:sz w:val="24"/>
                <w:szCs w:val="24"/>
              </w:rPr>
              <w:t xml:space="preserve"> </w:t>
            </w:r>
            <w:r>
              <w:rPr>
                <w:rFonts w:ascii="宋体" w:hAnsi="宋体" w:eastAsia="宋体" w:cs="宋体"/>
                <w:b/>
                <w:bCs/>
                <w:color w:val="auto"/>
                <w:spacing w:val="8"/>
                <w:sz w:val="24"/>
                <w:szCs w:val="24"/>
              </w:rPr>
              <w:t>分</w:t>
            </w:r>
            <w:r>
              <w:rPr>
                <w:rFonts w:ascii="宋体" w:hAnsi="宋体" w:eastAsia="宋体" w:cs="宋体"/>
                <w:b/>
                <w:bCs/>
                <w:color w:val="auto"/>
                <w:spacing w:val="-35"/>
                <w:sz w:val="24"/>
                <w:szCs w:val="24"/>
              </w:rPr>
              <w:t xml:space="preserve"> </w:t>
            </w:r>
            <w:r>
              <w:rPr>
                <w:rFonts w:ascii="宋体" w:hAnsi="宋体" w:eastAsia="宋体" w:cs="宋体"/>
                <w:b/>
                <w:bCs/>
                <w:color w:val="auto"/>
                <w:spacing w:val="8"/>
                <w:sz w:val="24"/>
                <w:szCs w:val="24"/>
              </w:rPr>
              <w:t>析</w:t>
            </w:r>
          </w:p>
        </w:tc>
        <w:tc>
          <w:tcPr>
            <w:tcW w:w="9161" w:type="dxa"/>
            <w:tcBorders>
              <w:top w:val="single" w:color="000000" w:sz="2" w:space="0"/>
              <w:left w:val="single" w:color="000000" w:sz="2" w:space="0"/>
            </w:tcBorders>
            <w:vAlign w:val="top"/>
          </w:tcPr>
          <w:p>
            <w:pPr>
              <w:keepNext w:val="0"/>
              <w:keepLines w:val="0"/>
              <w:pageBreakBefore w:val="0"/>
              <w:numPr>
                <w:ilvl w:val="0"/>
                <w:numId w:val="0"/>
              </w:numPr>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b w:val="0"/>
                <w:bCs w:val="0"/>
                <w:color w:val="auto"/>
                <w:spacing w:val="-6"/>
                <w:sz w:val="24"/>
                <w:szCs w:val="24"/>
                <w:lang w:val="en-US" w:eastAsia="zh-CN"/>
              </w:rPr>
            </w:pPr>
            <w:r>
              <w:rPr>
                <w:rFonts w:hint="default" w:ascii="Times New Roman" w:hAnsi="Times New Roman" w:eastAsia="宋体" w:cs="Times New Roman"/>
                <w:color w:val="auto"/>
                <w:sz w:val="24"/>
                <w:szCs w:val="24"/>
              </w:rPr>
              <w:t>1 、</w:t>
            </w:r>
            <w:r>
              <w:rPr>
                <w:rFonts w:hint="default" w:ascii="Times New Roman" w:hAnsi="Times New Roman" w:eastAsia="宋体" w:cs="Times New Roman"/>
                <w:b w:val="0"/>
                <w:bCs w:val="0"/>
                <w:color w:val="auto"/>
                <w:spacing w:val="-6"/>
                <w:sz w:val="24"/>
                <w:szCs w:val="24"/>
                <w:lang w:val="en-US" w:eastAsia="zh-CN"/>
              </w:rPr>
              <w:t>线路路径方案</w:t>
            </w:r>
            <w:r>
              <w:rPr>
                <w:rFonts w:hint="eastAsia" w:ascii="Times New Roman" w:hAnsi="Times New Roman" w:eastAsia="宋体" w:cs="Times New Roman"/>
                <w:b w:val="0"/>
                <w:bCs w:val="0"/>
                <w:color w:val="auto"/>
                <w:spacing w:val="-6"/>
                <w:sz w:val="24"/>
                <w:szCs w:val="24"/>
                <w:lang w:val="en-US" w:eastAsia="zh-CN"/>
              </w:rPr>
              <w:t>比选</w:t>
            </w:r>
          </w:p>
          <w:p>
            <w:pPr>
              <w:pStyle w:val="7"/>
              <w:keepNext w:val="0"/>
              <w:keepLines w:val="0"/>
              <w:pageBreakBefore w:val="0"/>
              <w:kinsoku/>
              <w:wordWrap/>
              <w:overflowPunct/>
              <w:topLinePunct w:val="0"/>
              <w:autoSpaceDE/>
              <w:autoSpaceDN/>
              <w:bidi w:val="0"/>
              <w:adjustRightInd/>
              <w:spacing w:before="0" w:after="0" w:line="360" w:lineRule="auto"/>
              <w:ind w:right="0" w:firstLine="456" w:firstLineChars="200"/>
              <w:textAlignment w:val="auto"/>
              <w:rPr>
                <w:rFonts w:hint="eastAsia" w:ascii="Times New Roman" w:hAnsi="Times New Roman" w:eastAsia="宋体" w:cs="Times New Roman"/>
                <w:b w:val="0"/>
                <w:bCs w:val="0"/>
                <w:color w:val="auto"/>
                <w:spacing w:val="-6"/>
                <w:sz w:val="24"/>
                <w:szCs w:val="24"/>
                <w:lang w:val="en-US" w:eastAsia="zh-CN"/>
              </w:rPr>
            </w:pPr>
            <w:r>
              <w:rPr>
                <w:rFonts w:hint="eastAsia" w:ascii="Times New Roman" w:hAnsi="Times New Roman" w:eastAsia="宋体" w:cs="Times New Roman"/>
                <w:b w:val="0"/>
                <w:bCs w:val="0"/>
                <w:color w:val="auto"/>
                <w:spacing w:val="-6"/>
                <w:sz w:val="24"/>
                <w:szCs w:val="24"/>
                <w:lang w:val="en-US" w:eastAsia="zh-CN"/>
              </w:rPr>
              <w:t>1.1路径选择原则</w:t>
            </w:r>
          </w:p>
          <w:p>
            <w:pPr>
              <w:pStyle w:val="7"/>
              <w:keepNext w:val="0"/>
              <w:keepLines w:val="0"/>
              <w:pageBreakBefore w:val="0"/>
              <w:kinsoku/>
              <w:wordWrap/>
              <w:overflowPunct/>
              <w:topLinePunct w:val="0"/>
              <w:autoSpaceDE/>
              <w:autoSpaceDN/>
              <w:bidi w:val="0"/>
              <w:adjustRightInd/>
              <w:spacing w:before="0" w:after="0" w:line="360" w:lineRule="auto"/>
              <w:ind w:right="0" w:firstLine="456" w:firstLineChars="200"/>
              <w:textAlignment w:val="auto"/>
              <w:rPr>
                <w:rFonts w:hint="eastAsia" w:ascii="Times New Roman" w:hAnsi="Times New Roman" w:eastAsia="宋体" w:cs="Times New Roman"/>
                <w:b w:val="0"/>
                <w:bCs w:val="0"/>
                <w:color w:val="auto"/>
                <w:spacing w:val="-6"/>
                <w:sz w:val="24"/>
                <w:szCs w:val="24"/>
                <w:lang w:val="en-US" w:eastAsia="zh-CN"/>
              </w:rPr>
            </w:pPr>
            <w:r>
              <w:rPr>
                <w:rFonts w:hint="eastAsia" w:ascii="Times New Roman" w:hAnsi="Times New Roman" w:eastAsia="宋体" w:cs="Times New Roman"/>
                <w:b w:val="0"/>
                <w:bCs w:val="0"/>
                <w:color w:val="auto"/>
                <w:spacing w:val="-6"/>
                <w:sz w:val="24"/>
                <w:szCs w:val="24"/>
                <w:lang w:val="en-US" w:eastAsia="zh-CN"/>
              </w:rPr>
              <w:t>1）根据电力系统规划要求，综合考虑线路长度、地形地貌、地质、水文气象、交通、林木、矿产、障碍设施、交叉跨越、施工、运行及地方政府意见等因素，进行多方案比较，使路径走向安全可靠，经济合理。</w:t>
            </w:r>
          </w:p>
          <w:p>
            <w:pPr>
              <w:pStyle w:val="7"/>
              <w:keepNext w:val="0"/>
              <w:keepLines w:val="0"/>
              <w:pageBreakBefore w:val="0"/>
              <w:kinsoku/>
              <w:wordWrap/>
              <w:overflowPunct/>
              <w:topLinePunct w:val="0"/>
              <w:autoSpaceDE/>
              <w:autoSpaceDN/>
              <w:bidi w:val="0"/>
              <w:adjustRightInd/>
              <w:spacing w:before="0" w:after="0" w:line="360" w:lineRule="auto"/>
              <w:ind w:right="0" w:firstLine="456" w:firstLineChars="200"/>
              <w:textAlignment w:val="auto"/>
              <w:rPr>
                <w:rFonts w:hint="eastAsia" w:ascii="Times New Roman" w:hAnsi="Times New Roman" w:eastAsia="宋体" w:cs="Times New Roman"/>
                <w:b w:val="0"/>
                <w:bCs w:val="0"/>
                <w:color w:val="auto"/>
                <w:spacing w:val="-6"/>
                <w:sz w:val="24"/>
                <w:szCs w:val="24"/>
                <w:lang w:val="en-US" w:eastAsia="zh-CN"/>
              </w:rPr>
            </w:pPr>
            <w:r>
              <w:rPr>
                <w:rFonts w:hint="eastAsia" w:ascii="Times New Roman" w:hAnsi="Times New Roman" w:eastAsia="宋体" w:cs="Times New Roman"/>
                <w:b w:val="0"/>
                <w:bCs w:val="0"/>
                <w:color w:val="auto"/>
                <w:spacing w:val="-6"/>
                <w:sz w:val="24"/>
                <w:szCs w:val="24"/>
                <w:lang w:val="en-US" w:eastAsia="zh-CN"/>
              </w:rPr>
              <w:t>2）避开军事设施、城镇规划、大型工矿企业及重要通信设施，减少线路工程建设对地方经济发展的影响，符合地方政府的总体规划。</w:t>
            </w:r>
          </w:p>
          <w:p>
            <w:pPr>
              <w:pStyle w:val="7"/>
              <w:keepNext w:val="0"/>
              <w:keepLines w:val="0"/>
              <w:pageBreakBefore w:val="0"/>
              <w:kinsoku/>
              <w:wordWrap/>
              <w:overflowPunct/>
              <w:topLinePunct w:val="0"/>
              <w:autoSpaceDE/>
              <w:autoSpaceDN/>
              <w:bidi w:val="0"/>
              <w:adjustRightInd/>
              <w:spacing w:before="0" w:after="0" w:line="360" w:lineRule="auto"/>
              <w:ind w:right="0" w:firstLine="456" w:firstLineChars="200"/>
              <w:textAlignment w:val="auto"/>
              <w:rPr>
                <w:rFonts w:hint="eastAsia" w:ascii="Times New Roman" w:hAnsi="Times New Roman" w:eastAsia="宋体" w:cs="Times New Roman"/>
                <w:b w:val="0"/>
                <w:bCs w:val="0"/>
                <w:color w:val="auto"/>
                <w:spacing w:val="-6"/>
                <w:sz w:val="24"/>
                <w:szCs w:val="24"/>
                <w:lang w:val="en-US" w:eastAsia="zh-CN"/>
              </w:rPr>
            </w:pPr>
            <w:r>
              <w:rPr>
                <w:rFonts w:hint="eastAsia" w:ascii="Times New Roman" w:hAnsi="Times New Roman" w:eastAsia="宋体" w:cs="Times New Roman"/>
                <w:b w:val="0"/>
                <w:bCs w:val="0"/>
                <w:color w:val="auto"/>
                <w:spacing w:val="-6"/>
                <w:sz w:val="24"/>
                <w:szCs w:val="24"/>
                <w:lang w:val="en-US" w:eastAsia="zh-CN"/>
              </w:rPr>
              <w:t>3）尽量避让已有的各种矿产采空区、开采区及规划开采区以及险恶地形、不良地质地段，尽量避让林木密集覆盖区，少占用林地。</w:t>
            </w:r>
          </w:p>
          <w:p>
            <w:pPr>
              <w:pStyle w:val="7"/>
              <w:keepNext w:val="0"/>
              <w:keepLines w:val="0"/>
              <w:pageBreakBefore w:val="0"/>
              <w:kinsoku/>
              <w:wordWrap/>
              <w:overflowPunct/>
              <w:topLinePunct w:val="0"/>
              <w:autoSpaceDE/>
              <w:autoSpaceDN/>
              <w:bidi w:val="0"/>
              <w:adjustRightInd/>
              <w:spacing w:before="0" w:after="0" w:line="360" w:lineRule="auto"/>
              <w:ind w:right="0" w:firstLine="456" w:firstLineChars="200"/>
              <w:textAlignment w:val="auto"/>
              <w:rPr>
                <w:rFonts w:hint="eastAsia" w:ascii="Times New Roman" w:hAnsi="Times New Roman" w:eastAsia="宋体" w:cs="Times New Roman"/>
                <w:b w:val="0"/>
                <w:bCs w:val="0"/>
                <w:color w:val="auto"/>
                <w:spacing w:val="-6"/>
                <w:sz w:val="24"/>
                <w:szCs w:val="24"/>
                <w:lang w:val="en-US" w:eastAsia="zh-CN"/>
              </w:rPr>
            </w:pPr>
            <w:r>
              <w:rPr>
                <w:rFonts w:hint="eastAsia" w:ascii="Times New Roman" w:hAnsi="Times New Roman" w:eastAsia="宋体" w:cs="Times New Roman"/>
                <w:b w:val="0"/>
                <w:bCs w:val="0"/>
                <w:color w:val="auto"/>
                <w:spacing w:val="-6"/>
                <w:sz w:val="24"/>
                <w:szCs w:val="24"/>
                <w:lang w:val="en-US" w:eastAsia="zh-CN"/>
              </w:rPr>
              <w:t>4）尽可能靠近现有国道、省道、高速公路及乡村公路，改善线路交通条件。</w:t>
            </w:r>
          </w:p>
          <w:p>
            <w:pPr>
              <w:pStyle w:val="7"/>
              <w:keepNext w:val="0"/>
              <w:keepLines w:val="0"/>
              <w:pageBreakBefore w:val="0"/>
              <w:kinsoku/>
              <w:wordWrap/>
              <w:overflowPunct/>
              <w:topLinePunct w:val="0"/>
              <w:autoSpaceDE/>
              <w:autoSpaceDN/>
              <w:bidi w:val="0"/>
              <w:adjustRightInd/>
              <w:spacing w:before="0" w:after="0" w:line="360" w:lineRule="auto"/>
              <w:ind w:right="0" w:firstLine="456" w:firstLineChars="200"/>
              <w:textAlignment w:val="auto"/>
              <w:rPr>
                <w:rFonts w:hint="eastAsia" w:ascii="Times New Roman" w:hAnsi="Times New Roman" w:eastAsia="宋体" w:cs="Times New Roman"/>
                <w:b w:val="0"/>
                <w:bCs w:val="0"/>
                <w:color w:val="auto"/>
                <w:spacing w:val="-6"/>
                <w:sz w:val="24"/>
                <w:szCs w:val="24"/>
                <w:lang w:val="en-US" w:eastAsia="zh-CN"/>
              </w:rPr>
            </w:pPr>
            <w:r>
              <w:rPr>
                <w:rFonts w:hint="eastAsia" w:ascii="Times New Roman" w:hAnsi="Times New Roman" w:eastAsia="宋体" w:cs="Times New Roman"/>
                <w:b w:val="0"/>
                <w:bCs w:val="0"/>
                <w:color w:val="auto"/>
                <w:spacing w:val="-6"/>
                <w:sz w:val="24"/>
                <w:szCs w:val="24"/>
                <w:lang w:val="en-US" w:eastAsia="zh-CN"/>
              </w:rPr>
              <w:t>5）充分考虑地形、地貌，避免大档距、大高差、相邻档距相差悬殊地段及水网、不良地质地段，并避开了微气象区。</w:t>
            </w:r>
          </w:p>
          <w:p>
            <w:pPr>
              <w:pStyle w:val="7"/>
              <w:keepNext w:val="0"/>
              <w:keepLines w:val="0"/>
              <w:pageBreakBefore w:val="0"/>
              <w:kinsoku/>
              <w:wordWrap/>
              <w:overflowPunct/>
              <w:topLinePunct w:val="0"/>
              <w:autoSpaceDE/>
              <w:autoSpaceDN/>
              <w:bidi w:val="0"/>
              <w:adjustRightInd/>
              <w:spacing w:before="0" w:after="0" w:line="360" w:lineRule="auto"/>
              <w:ind w:right="0" w:firstLine="456" w:firstLineChars="200"/>
              <w:textAlignment w:val="auto"/>
              <w:rPr>
                <w:rFonts w:hint="eastAsia" w:ascii="Times New Roman" w:hAnsi="Times New Roman" w:eastAsia="宋体" w:cs="Times New Roman"/>
                <w:b w:val="0"/>
                <w:bCs w:val="0"/>
                <w:color w:val="auto"/>
                <w:spacing w:val="-6"/>
                <w:sz w:val="24"/>
                <w:szCs w:val="24"/>
                <w:lang w:val="en-US" w:eastAsia="zh-CN"/>
              </w:rPr>
            </w:pPr>
            <w:r>
              <w:rPr>
                <w:rFonts w:hint="eastAsia" w:ascii="Times New Roman" w:hAnsi="Times New Roman" w:eastAsia="宋体" w:cs="Times New Roman"/>
                <w:b w:val="0"/>
                <w:bCs w:val="0"/>
                <w:color w:val="auto"/>
                <w:spacing w:val="-6"/>
                <w:sz w:val="24"/>
                <w:szCs w:val="24"/>
                <w:lang w:val="en-US" w:eastAsia="zh-CN"/>
              </w:rPr>
              <w:t>6）在路径选择中，充分体现以人为本、保护环境的意识，尽量利用市、县分界地区，城镇、乡镇之间结合部，尽量少占用耕地，避免大面积拆迁民房。</w:t>
            </w:r>
          </w:p>
          <w:p>
            <w:pPr>
              <w:pStyle w:val="7"/>
              <w:keepNext w:val="0"/>
              <w:keepLines w:val="0"/>
              <w:pageBreakBefore w:val="0"/>
              <w:kinsoku/>
              <w:wordWrap/>
              <w:overflowPunct/>
              <w:topLinePunct w:val="0"/>
              <w:autoSpaceDE/>
              <w:autoSpaceDN/>
              <w:bidi w:val="0"/>
              <w:adjustRightInd/>
              <w:spacing w:before="0" w:after="0" w:line="360" w:lineRule="auto"/>
              <w:ind w:right="0" w:firstLine="456" w:firstLineChars="200"/>
              <w:textAlignment w:val="auto"/>
              <w:rPr>
                <w:rFonts w:hint="eastAsia" w:ascii="Times New Roman" w:hAnsi="Times New Roman" w:eastAsia="宋体" w:cs="Times New Roman"/>
                <w:b w:val="0"/>
                <w:bCs w:val="0"/>
                <w:color w:val="auto"/>
                <w:spacing w:val="-6"/>
                <w:sz w:val="24"/>
                <w:szCs w:val="24"/>
                <w:lang w:val="en-US" w:eastAsia="zh-CN"/>
              </w:rPr>
            </w:pPr>
            <w:r>
              <w:rPr>
                <w:rFonts w:hint="eastAsia" w:ascii="Times New Roman" w:hAnsi="Times New Roman" w:eastAsia="宋体" w:cs="Times New Roman"/>
                <w:b w:val="0"/>
                <w:bCs w:val="0"/>
                <w:color w:val="auto"/>
                <w:spacing w:val="-6"/>
                <w:sz w:val="24"/>
                <w:szCs w:val="24"/>
                <w:lang w:val="en-US" w:eastAsia="zh-CN"/>
              </w:rPr>
              <w:t>7）减少跨越已建送电线路，特别是高电压等级的送电线路，以降低施工过程中的停电损失，提高运行的安全可靠性。</w:t>
            </w:r>
          </w:p>
          <w:p>
            <w:pPr>
              <w:pStyle w:val="7"/>
              <w:keepNext w:val="0"/>
              <w:keepLines w:val="0"/>
              <w:pageBreakBefore w:val="0"/>
              <w:kinsoku/>
              <w:wordWrap/>
              <w:overflowPunct/>
              <w:topLinePunct w:val="0"/>
              <w:autoSpaceDE/>
              <w:autoSpaceDN/>
              <w:bidi w:val="0"/>
              <w:adjustRightInd/>
              <w:spacing w:before="0" w:after="0" w:line="360" w:lineRule="auto"/>
              <w:ind w:right="0" w:firstLine="456" w:firstLineChars="200"/>
              <w:textAlignment w:val="auto"/>
              <w:rPr>
                <w:rFonts w:hint="eastAsia" w:ascii="Times New Roman" w:hAnsi="Times New Roman" w:eastAsia="宋体" w:cs="Times New Roman"/>
                <w:b w:val="0"/>
                <w:bCs w:val="0"/>
                <w:color w:val="auto"/>
                <w:spacing w:val="-6"/>
                <w:sz w:val="24"/>
                <w:szCs w:val="24"/>
                <w:lang w:val="en-US" w:eastAsia="zh-CN"/>
              </w:rPr>
            </w:pPr>
            <w:r>
              <w:rPr>
                <w:rFonts w:hint="eastAsia" w:ascii="Times New Roman" w:hAnsi="Times New Roman" w:eastAsia="宋体" w:cs="Times New Roman"/>
                <w:b w:val="0"/>
                <w:bCs w:val="0"/>
                <w:color w:val="auto"/>
                <w:spacing w:val="-6"/>
                <w:sz w:val="24"/>
                <w:szCs w:val="24"/>
                <w:lang w:val="en-US" w:eastAsia="zh-CN"/>
              </w:rPr>
              <w:t>8）综合协调本线路与沿线已建、在建、拟建送电线路、公路、铁路及其它设施间的矛盾。</w:t>
            </w:r>
          </w:p>
          <w:p>
            <w:pPr>
              <w:pStyle w:val="7"/>
              <w:keepNext w:val="0"/>
              <w:keepLines w:val="0"/>
              <w:pageBreakBefore w:val="0"/>
              <w:kinsoku/>
              <w:wordWrap/>
              <w:overflowPunct/>
              <w:topLinePunct w:val="0"/>
              <w:autoSpaceDE/>
              <w:autoSpaceDN/>
              <w:bidi w:val="0"/>
              <w:adjustRightInd/>
              <w:spacing w:before="0" w:after="0" w:line="360" w:lineRule="auto"/>
              <w:ind w:right="0" w:firstLine="456" w:firstLineChars="200"/>
              <w:textAlignment w:val="auto"/>
              <w:rPr>
                <w:rFonts w:hint="eastAsia" w:ascii="Times New Roman" w:hAnsi="Times New Roman" w:eastAsia="宋体" w:cs="Times New Roman"/>
                <w:b w:val="0"/>
                <w:bCs w:val="0"/>
                <w:color w:val="auto"/>
                <w:spacing w:val="-6"/>
                <w:sz w:val="24"/>
                <w:szCs w:val="24"/>
                <w:lang w:val="en-US" w:eastAsia="zh-CN"/>
              </w:rPr>
            </w:pPr>
            <w:r>
              <w:rPr>
                <w:rFonts w:hint="eastAsia" w:ascii="Times New Roman" w:hAnsi="Times New Roman" w:eastAsia="宋体" w:cs="Times New Roman"/>
                <w:b w:val="0"/>
                <w:bCs w:val="0"/>
                <w:color w:val="auto"/>
                <w:spacing w:val="-6"/>
                <w:sz w:val="24"/>
                <w:szCs w:val="24"/>
                <w:lang w:val="en-US" w:eastAsia="zh-CN"/>
              </w:rPr>
              <w:t>9）线路避让了自然保护区、森林、果园、经济作物区、避免大面积房屋拆迁、不占或少占耕地和经济效益高的土地。</w:t>
            </w:r>
          </w:p>
          <w:p>
            <w:pPr>
              <w:pStyle w:val="7"/>
              <w:keepNext w:val="0"/>
              <w:keepLines w:val="0"/>
              <w:pageBreakBefore w:val="0"/>
              <w:kinsoku/>
              <w:wordWrap/>
              <w:overflowPunct/>
              <w:topLinePunct w:val="0"/>
              <w:autoSpaceDE/>
              <w:autoSpaceDN/>
              <w:bidi w:val="0"/>
              <w:adjustRightInd/>
              <w:spacing w:before="0" w:after="0" w:line="360" w:lineRule="auto"/>
              <w:ind w:right="0" w:firstLine="456" w:firstLineChars="200"/>
              <w:textAlignment w:val="auto"/>
              <w:rPr>
                <w:rFonts w:hint="eastAsia" w:ascii="Times New Roman" w:hAnsi="Times New Roman" w:eastAsia="宋体" w:cs="Times New Roman"/>
                <w:b w:val="0"/>
                <w:bCs w:val="0"/>
                <w:color w:val="auto"/>
                <w:spacing w:val="-6"/>
                <w:sz w:val="24"/>
                <w:szCs w:val="24"/>
                <w:lang w:val="en-US" w:eastAsia="zh-CN"/>
              </w:rPr>
            </w:pPr>
            <w:r>
              <w:rPr>
                <w:rFonts w:hint="eastAsia" w:ascii="Times New Roman" w:hAnsi="Times New Roman" w:eastAsia="宋体" w:cs="Times New Roman"/>
                <w:b w:val="0"/>
                <w:bCs w:val="0"/>
                <w:color w:val="auto"/>
                <w:spacing w:val="-6"/>
                <w:sz w:val="24"/>
                <w:szCs w:val="24"/>
                <w:lang w:val="en-US" w:eastAsia="zh-CN"/>
              </w:rPr>
              <w:t>10）对标准规级铁路、高速公路等重要设施采用了独立耐张段跨越。</w:t>
            </w:r>
          </w:p>
          <w:p>
            <w:pPr>
              <w:pStyle w:val="7"/>
              <w:keepNext w:val="0"/>
              <w:keepLines w:val="0"/>
              <w:pageBreakBefore w:val="0"/>
              <w:kinsoku/>
              <w:wordWrap/>
              <w:overflowPunct/>
              <w:topLinePunct w:val="0"/>
              <w:autoSpaceDE/>
              <w:autoSpaceDN/>
              <w:bidi w:val="0"/>
              <w:adjustRightInd/>
              <w:spacing w:before="0" w:after="0" w:line="360" w:lineRule="auto"/>
              <w:ind w:right="0" w:firstLine="456" w:firstLineChars="200"/>
              <w:textAlignment w:val="auto"/>
              <w:rPr>
                <w:rFonts w:hint="eastAsia" w:ascii="Times New Roman" w:hAnsi="Times New Roman" w:eastAsia="宋体" w:cs="Times New Roman"/>
                <w:b w:val="0"/>
                <w:bCs w:val="0"/>
                <w:color w:val="auto"/>
                <w:spacing w:val="-6"/>
                <w:sz w:val="24"/>
                <w:szCs w:val="24"/>
                <w:lang w:val="en-US" w:eastAsia="zh-CN"/>
              </w:rPr>
            </w:pPr>
            <w:r>
              <w:rPr>
                <w:rFonts w:hint="eastAsia" w:ascii="Times New Roman" w:hAnsi="Times New Roman" w:eastAsia="宋体" w:cs="Times New Roman"/>
                <w:b w:val="0"/>
                <w:bCs w:val="0"/>
                <w:color w:val="auto"/>
                <w:spacing w:val="-6"/>
                <w:sz w:val="24"/>
                <w:szCs w:val="24"/>
                <w:lang w:val="en-US" w:eastAsia="zh-CN"/>
              </w:rPr>
              <w:t>1.2 路径详述</w:t>
            </w:r>
          </w:p>
          <w:p>
            <w:pPr>
              <w:pStyle w:val="7"/>
              <w:keepNext w:val="0"/>
              <w:keepLines w:val="0"/>
              <w:pageBreakBefore w:val="0"/>
              <w:kinsoku/>
              <w:wordWrap/>
              <w:overflowPunct/>
              <w:topLinePunct w:val="0"/>
              <w:autoSpaceDE/>
              <w:autoSpaceDN/>
              <w:bidi w:val="0"/>
              <w:adjustRightInd/>
              <w:spacing w:before="0" w:after="0" w:line="360" w:lineRule="auto"/>
              <w:ind w:right="0" w:firstLine="456" w:firstLineChars="200"/>
              <w:textAlignment w:val="auto"/>
              <w:rPr>
                <w:rFonts w:hint="eastAsia" w:ascii="Times New Roman" w:hAnsi="Times New Roman" w:eastAsia="宋体" w:cs="Times New Roman"/>
                <w:b w:val="0"/>
                <w:bCs w:val="0"/>
                <w:color w:val="auto"/>
                <w:spacing w:val="-6"/>
                <w:sz w:val="24"/>
                <w:szCs w:val="24"/>
                <w:lang w:val="en-US" w:eastAsia="zh-CN"/>
              </w:rPr>
            </w:pPr>
            <w:r>
              <w:rPr>
                <w:rFonts w:hint="eastAsia" w:ascii="Times New Roman" w:hAnsi="Times New Roman" w:eastAsia="宋体" w:cs="Times New Roman"/>
                <w:b w:val="0"/>
                <w:bCs w:val="0"/>
                <w:color w:val="auto"/>
                <w:spacing w:val="-6"/>
                <w:sz w:val="24"/>
                <w:szCs w:val="24"/>
                <w:lang w:val="en-US" w:eastAsia="zh-CN"/>
              </w:rPr>
              <w:t>方案一路径：</w:t>
            </w:r>
          </w:p>
          <w:p>
            <w:pPr>
              <w:pStyle w:val="7"/>
              <w:keepNext w:val="0"/>
              <w:keepLines w:val="0"/>
              <w:pageBreakBefore w:val="0"/>
              <w:kinsoku/>
              <w:wordWrap/>
              <w:overflowPunct/>
              <w:topLinePunct w:val="0"/>
              <w:autoSpaceDE/>
              <w:autoSpaceDN/>
              <w:bidi w:val="0"/>
              <w:adjustRightInd/>
              <w:spacing w:before="0" w:after="0" w:line="360" w:lineRule="auto"/>
              <w:ind w:right="0" w:firstLine="456" w:firstLineChars="200"/>
              <w:textAlignment w:val="auto"/>
              <w:rPr>
                <w:rFonts w:hint="default" w:ascii="Times New Roman" w:hAnsi="Times New Roman" w:eastAsia="宋体" w:cs="Times New Roman"/>
                <w:b w:val="0"/>
                <w:bCs w:val="0"/>
                <w:color w:val="auto"/>
                <w:spacing w:val="-6"/>
                <w:sz w:val="24"/>
                <w:szCs w:val="24"/>
                <w:lang w:val="en-US" w:eastAsia="zh-CN"/>
              </w:rPr>
            </w:pPr>
            <w:r>
              <w:rPr>
                <w:rFonts w:hint="default" w:ascii="Times New Roman" w:hAnsi="Times New Roman" w:eastAsia="宋体" w:cs="Times New Roman"/>
                <w:b w:val="0"/>
                <w:bCs w:val="0"/>
                <w:color w:val="auto"/>
                <w:spacing w:val="-6"/>
                <w:sz w:val="24"/>
                <w:szCs w:val="24"/>
                <w:lang w:val="en-US" w:eastAsia="zh-CN"/>
              </w:rPr>
              <w:t>新建线路由马山220kV变电站间隔，向西南出线，跨越220kV燕马三线后左转跨越66kV 马东线后经桃树园村向南架设跨越66kV马沟线，随后左转连续跨越长深高速公路和乡道边林线，沿边林线南侧向西南架设，连续钻越在建的500kV川州二期线路和220kV建奎、燕奎线后经小东山村南侧接至国宏200MW储能站。新建单回线路总长度5.1公里。</w:t>
            </w:r>
          </w:p>
          <w:p>
            <w:pPr>
              <w:pStyle w:val="7"/>
              <w:keepNext w:val="0"/>
              <w:keepLines w:val="0"/>
              <w:pageBreakBefore w:val="0"/>
              <w:kinsoku/>
              <w:wordWrap/>
              <w:overflowPunct/>
              <w:topLinePunct w:val="0"/>
              <w:autoSpaceDE/>
              <w:autoSpaceDN/>
              <w:bidi w:val="0"/>
              <w:adjustRightInd/>
              <w:spacing w:before="0" w:after="0" w:line="360" w:lineRule="auto"/>
              <w:ind w:right="0" w:firstLine="456" w:firstLineChars="200"/>
              <w:textAlignment w:val="auto"/>
              <w:rPr>
                <w:rFonts w:hint="default" w:ascii="Times New Roman" w:hAnsi="Times New Roman" w:eastAsia="宋体" w:cs="Times New Roman"/>
                <w:b w:val="0"/>
                <w:bCs w:val="0"/>
                <w:color w:val="auto"/>
                <w:spacing w:val="-6"/>
                <w:sz w:val="24"/>
                <w:szCs w:val="24"/>
                <w:lang w:val="en-US" w:eastAsia="zh-CN"/>
              </w:rPr>
            </w:pPr>
            <w:r>
              <w:rPr>
                <w:rFonts w:hint="default" w:ascii="Times New Roman" w:hAnsi="Times New Roman" w:eastAsia="宋体" w:cs="Times New Roman"/>
                <w:b w:val="0"/>
                <w:bCs w:val="0"/>
                <w:color w:val="auto"/>
                <w:spacing w:val="-6"/>
                <w:sz w:val="24"/>
                <w:szCs w:val="24"/>
                <w:lang w:val="en-US" w:eastAsia="zh-CN"/>
              </w:rPr>
              <w:t>导线型号JL3/G1A-400/35，每相1根。</w:t>
            </w:r>
          </w:p>
          <w:p>
            <w:pPr>
              <w:pStyle w:val="7"/>
              <w:keepNext w:val="0"/>
              <w:keepLines w:val="0"/>
              <w:pageBreakBefore w:val="0"/>
              <w:kinsoku/>
              <w:wordWrap/>
              <w:overflowPunct/>
              <w:topLinePunct w:val="0"/>
              <w:autoSpaceDE/>
              <w:autoSpaceDN/>
              <w:bidi w:val="0"/>
              <w:adjustRightInd/>
              <w:spacing w:before="0" w:after="0" w:line="360" w:lineRule="auto"/>
              <w:ind w:right="0" w:firstLine="456" w:firstLineChars="200"/>
              <w:textAlignment w:val="auto"/>
              <w:rPr>
                <w:rFonts w:hint="default" w:ascii="Times New Roman" w:hAnsi="Times New Roman" w:eastAsia="宋体" w:cs="Times New Roman"/>
                <w:b w:val="0"/>
                <w:bCs w:val="0"/>
                <w:color w:val="auto"/>
                <w:spacing w:val="-6"/>
                <w:sz w:val="24"/>
                <w:szCs w:val="24"/>
                <w:lang w:val="en-US" w:eastAsia="zh-CN"/>
              </w:rPr>
            </w:pPr>
            <w:r>
              <w:rPr>
                <w:rFonts w:hint="default" w:ascii="Times New Roman" w:hAnsi="Times New Roman" w:eastAsia="宋体" w:cs="Times New Roman"/>
                <w:b w:val="0"/>
                <w:bCs w:val="0"/>
                <w:color w:val="auto"/>
                <w:spacing w:val="-6"/>
                <w:sz w:val="24"/>
                <w:szCs w:val="24"/>
                <w:lang w:val="en-US" w:eastAsia="zh-CN"/>
              </w:rPr>
              <w:t>曲折系数：1.22。</w:t>
            </w:r>
          </w:p>
          <w:p>
            <w:pPr>
              <w:pStyle w:val="7"/>
              <w:keepNext w:val="0"/>
              <w:keepLines w:val="0"/>
              <w:pageBreakBefore w:val="0"/>
              <w:kinsoku/>
              <w:wordWrap/>
              <w:overflowPunct/>
              <w:topLinePunct w:val="0"/>
              <w:autoSpaceDE/>
              <w:autoSpaceDN/>
              <w:bidi w:val="0"/>
              <w:adjustRightInd/>
              <w:spacing w:before="0" w:after="0" w:line="360" w:lineRule="auto"/>
              <w:ind w:right="0" w:firstLine="456" w:firstLineChars="200"/>
              <w:textAlignment w:val="auto"/>
              <w:rPr>
                <w:rFonts w:hint="default" w:ascii="Times New Roman" w:hAnsi="Times New Roman" w:eastAsia="宋体" w:cs="Times New Roman"/>
                <w:b w:val="0"/>
                <w:bCs w:val="0"/>
                <w:color w:val="auto"/>
                <w:spacing w:val="-6"/>
                <w:sz w:val="24"/>
                <w:szCs w:val="24"/>
                <w:lang w:val="en-US" w:eastAsia="zh-CN"/>
              </w:rPr>
            </w:pPr>
            <w:r>
              <w:rPr>
                <w:rFonts w:hint="default" w:ascii="Times New Roman" w:hAnsi="Times New Roman" w:eastAsia="宋体" w:cs="Times New Roman"/>
                <w:b w:val="0"/>
                <w:bCs w:val="0"/>
                <w:color w:val="auto"/>
                <w:spacing w:val="-6"/>
                <w:sz w:val="24"/>
                <w:szCs w:val="24"/>
                <w:lang w:val="en-US" w:eastAsia="zh-CN"/>
              </w:rPr>
              <w:t>沿线地形：平地45%，丘陵33%，山地22%。</w:t>
            </w:r>
          </w:p>
          <w:p>
            <w:pPr>
              <w:pStyle w:val="7"/>
              <w:keepNext w:val="0"/>
              <w:keepLines w:val="0"/>
              <w:pageBreakBefore w:val="0"/>
              <w:kinsoku/>
              <w:wordWrap/>
              <w:overflowPunct/>
              <w:topLinePunct w:val="0"/>
              <w:autoSpaceDE/>
              <w:autoSpaceDN/>
              <w:bidi w:val="0"/>
              <w:adjustRightInd/>
              <w:spacing w:before="0" w:after="0" w:line="360" w:lineRule="auto"/>
              <w:ind w:right="0" w:firstLine="456" w:firstLineChars="200"/>
              <w:textAlignment w:val="auto"/>
              <w:rPr>
                <w:rFonts w:hint="default" w:ascii="Times New Roman" w:hAnsi="Times New Roman" w:eastAsia="宋体" w:cs="Times New Roman"/>
                <w:b w:val="0"/>
                <w:bCs w:val="0"/>
                <w:color w:val="auto"/>
                <w:spacing w:val="-6"/>
                <w:sz w:val="24"/>
                <w:szCs w:val="24"/>
                <w:lang w:val="en-US" w:eastAsia="zh-CN"/>
              </w:rPr>
            </w:pPr>
            <w:r>
              <w:rPr>
                <w:rFonts w:hint="default" w:ascii="Times New Roman" w:hAnsi="Times New Roman" w:eastAsia="宋体" w:cs="Times New Roman"/>
                <w:b w:val="0"/>
                <w:bCs w:val="0"/>
                <w:color w:val="auto"/>
                <w:spacing w:val="-6"/>
                <w:sz w:val="24"/>
                <w:szCs w:val="24"/>
                <w:lang w:val="en-US" w:eastAsia="zh-CN"/>
              </w:rPr>
              <w:t>方案二路径：</w:t>
            </w:r>
          </w:p>
          <w:p>
            <w:pPr>
              <w:pStyle w:val="7"/>
              <w:keepNext w:val="0"/>
              <w:keepLines w:val="0"/>
              <w:pageBreakBefore w:val="0"/>
              <w:kinsoku/>
              <w:wordWrap/>
              <w:overflowPunct/>
              <w:topLinePunct w:val="0"/>
              <w:autoSpaceDE/>
              <w:autoSpaceDN/>
              <w:bidi w:val="0"/>
              <w:adjustRightInd/>
              <w:spacing w:before="0" w:after="0" w:line="360" w:lineRule="auto"/>
              <w:ind w:right="0" w:firstLine="456" w:firstLineChars="200"/>
              <w:textAlignment w:val="auto"/>
              <w:rPr>
                <w:rFonts w:hint="default" w:ascii="Times New Roman" w:hAnsi="Times New Roman" w:eastAsia="宋体" w:cs="Times New Roman"/>
                <w:b w:val="0"/>
                <w:bCs w:val="0"/>
                <w:color w:val="auto"/>
                <w:spacing w:val="-6"/>
                <w:sz w:val="24"/>
                <w:szCs w:val="24"/>
                <w:lang w:val="en-US" w:eastAsia="zh-CN"/>
              </w:rPr>
            </w:pPr>
            <w:r>
              <w:rPr>
                <w:rFonts w:hint="default" w:ascii="Times New Roman" w:hAnsi="Times New Roman" w:eastAsia="宋体" w:cs="Times New Roman"/>
                <w:b w:val="0"/>
                <w:bCs w:val="0"/>
                <w:color w:val="auto"/>
                <w:spacing w:val="-6"/>
                <w:sz w:val="24"/>
                <w:szCs w:val="24"/>
                <w:lang w:val="en-US" w:eastAsia="zh-CN"/>
              </w:rPr>
              <w:t>新建线路由马山220kV变电站间隔，向西出线，钻越220kV燕马三线连续跨越66kV马东线和66kV马沟线，经上扣花林村中间跨越房屋后右转，经上扣花林村南侧向西架设，连续钻越在建的500kV川州二期线路和220kV建奎、燕奎线，经小东山南侧接至国宏200MW储能站。新建单回线路总长度4.6公里。</w:t>
            </w:r>
          </w:p>
          <w:p>
            <w:pPr>
              <w:pStyle w:val="7"/>
              <w:keepNext w:val="0"/>
              <w:keepLines w:val="0"/>
              <w:pageBreakBefore w:val="0"/>
              <w:kinsoku/>
              <w:wordWrap/>
              <w:overflowPunct/>
              <w:topLinePunct w:val="0"/>
              <w:autoSpaceDE/>
              <w:autoSpaceDN/>
              <w:bidi w:val="0"/>
              <w:adjustRightInd/>
              <w:spacing w:before="0" w:after="0" w:line="360" w:lineRule="auto"/>
              <w:ind w:right="0" w:firstLine="456" w:firstLineChars="200"/>
              <w:textAlignment w:val="auto"/>
              <w:rPr>
                <w:rFonts w:hint="default" w:ascii="Times New Roman" w:hAnsi="Times New Roman" w:eastAsia="宋体" w:cs="Times New Roman"/>
                <w:b w:val="0"/>
                <w:bCs w:val="0"/>
                <w:color w:val="auto"/>
                <w:spacing w:val="-6"/>
                <w:sz w:val="24"/>
                <w:szCs w:val="24"/>
                <w:lang w:val="en-US" w:eastAsia="zh-CN"/>
              </w:rPr>
            </w:pPr>
            <w:r>
              <w:rPr>
                <w:rFonts w:hint="default" w:ascii="Times New Roman" w:hAnsi="Times New Roman" w:eastAsia="宋体" w:cs="Times New Roman"/>
                <w:b w:val="0"/>
                <w:bCs w:val="0"/>
                <w:color w:val="auto"/>
                <w:spacing w:val="-6"/>
                <w:sz w:val="24"/>
                <w:szCs w:val="24"/>
                <w:lang w:val="en-US" w:eastAsia="zh-CN"/>
              </w:rPr>
              <w:t>导线型号JL3/G1A-400/35，每相1根。</w:t>
            </w:r>
          </w:p>
          <w:p>
            <w:pPr>
              <w:pStyle w:val="7"/>
              <w:keepNext w:val="0"/>
              <w:keepLines w:val="0"/>
              <w:pageBreakBefore w:val="0"/>
              <w:kinsoku/>
              <w:wordWrap/>
              <w:overflowPunct/>
              <w:topLinePunct w:val="0"/>
              <w:autoSpaceDE/>
              <w:autoSpaceDN/>
              <w:bidi w:val="0"/>
              <w:adjustRightInd/>
              <w:spacing w:before="0" w:after="0" w:line="360" w:lineRule="auto"/>
              <w:ind w:right="0" w:firstLine="456" w:firstLineChars="200"/>
              <w:textAlignment w:val="auto"/>
              <w:rPr>
                <w:rFonts w:hint="default" w:ascii="Times New Roman" w:hAnsi="Times New Roman" w:eastAsia="宋体" w:cs="Times New Roman"/>
                <w:b w:val="0"/>
                <w:bCs w:val="0"/>
                <w:color w:val="auto"/>
                <w:spacing w:val="-6"/>
                <w:sz w:val="24"/>
                <w:szCs w:val="24"/>
                <w:lang w:val="en-US" w:eastAsia="zh-CN"/>
              </w:rPr>
            </w:pPr>
            <w:r>
              <w:rPr>
                <w:rFonts w:hint="default" w:ascii="Times New Roman" w:hAnsi="Times New Roman" w:eastAsia="宋体" w:cs="Times New Roman"/>
                <w:b w:val="0"/>
                <w:bCs w:val="0"/>
                <w:color w:val="auto"/>
                <w:spacing w:val="-6"/>
                <w:sz w:val="24"/>
                <w:szCs w:val="24"/>
                <w:lang w:val="en-US" w:eastAsia="zh-CN"/>
              </w:rPr>
              <w:t>曲折系数：1.13。</w:t>
            </w:r>
          </w:p>
          <w:p>
            <w:pPr>
              <w:pStyle w:val="7"/>
              <w:keepNext w:val="0"/>
              <w:keepLines w:val="0"/>
              <w:pageBreakBefore w:val="0"/>
              <w:kinsoku/>
              <w:wordWrap/>
              <w:overflowPunct/>
              <w:topLinePunct w:val="0"/>
              <w:autoSpaceDE/>
              <w:autoSpaceDN/>
              <w:bidi w:val="0"/>
              <w:adjustRightInd/>
              <w:spacing w:before="0" w:after="0" w:line="360" w:lineRule="auto"/>
              <w:ind w:right="0" w:firstLine="456" w:firstLineChars="200"/>
              <w:textAlignment w:val="auto"/>
              <w:rPr>
                <w:rFonts w:hint="default" w:ascii="Times New Roman" w:hAnsi="Times New Roman" w:eastAsia="宋体" w:cs="Times New Roman"/>
                <w:b w:val="0"/>
                <w:bCs w:val="0"/>
                <w:color w:val="auto"/>
                <w:spacing w:val="-6"/>
                <w:sz w:val="24"/>
                <w:szCs w:val="24"/>
                <w:lang w:val="en-US" w:eastAsia="zh-CN"/>
              </w:rPr>
            </w:pPr>
            <w:r>
              <w:rPr>
                <w:rFonts w:hint="default" w:ascii="Times New Roman" w:hAnsi="Times New Roman" w:eastAsia="宋体" w:cs="Times New Roman"/>
                <w:b w:val="0"/>
                <w:bCs w:val="0"/>
                <w:color w:val="auto"/>
                <w:spacing w:val="-6"/>
                <w:sz w:val="24"/>
                <w:szCs w:val="24"/>
                <w:lang w:val="en-US" w:eastAsia="zh-CN"/>
              </w:rPr>
              <w:t>沿线地形：平地42%、丘陵37%、山地21%。</w:t>
            </w:r>
          </w:p>
          <w:p>
            <w:pPr>
              <w:pStyle w:val="7"/>
              <w:keepNext w:val="0"/>
              <w:keepLines w:val="0"/>
              <w:pageBreakBefore w:val="0"/>
              <w:kinsoku/>
              <w:wordWrap/>
              <w:overflowPunct/>
              <w:topLinePunct w:val="0"/>
              <w:autoSpaceDE/>
              <w:autoSpaceDN/>
              <w:bidi w:val="0"/>
              <w:adjustRightInd/>
              <w:spacing w:before="0" w:after="0" w:line="360" w:lineRule="auto"/>
              <w:ind w:right="0" w:firstLine="456" w:firstLineChars="200"/>
              <w:textAlignment w:val="auto"/>
              <w:rPr>
                <w:rFonts w:hint="default" w:ascii="Times New Roman" w:hAnsi="Times New Roman" w:eastAsia="宋体" w:cs="Times New Roman"/>
                <w:b w:val="0"/>
                <w:bCs w:val="0"/>
                <w:color w:val="auto"/>
                <w:spacing w:val="-6"/>
                <w:sz w:val="24"/>
                <w:szCs w:val="24"/>
                <w:lang w:val="en-US" w:eastAsia="zh-CN"/>
              </w:rPr>
            </w:pPr>
            <w:r>
              <w:rPr>
                <w:rFonts w:hint="default" w:ascii="Times New Roman" w:hAnsi="Times New Roman" w:eastAsia="宋体" w:cs="Times New Roman"/>
                <w:b w:val="0"/>
                <w:bCs w:val="0"/>
                <w:color w:val="auto"/>
                <w:spacing w:val="-6"/>
                <w:sz w:val="24"/>
                <w:szCs w:val="24"/>
                <w:lang w:val="en-US" w:eastAsia="zh-CN"/>
              </w:rPr>
              <w:t>方案三路径：</w:t>
            </w:r>
          </w:p>
          <w:p>
            <w:pPr>
              <w:pStyle w:val="7"/>
              <w:keepNext w:val="0"/>
              <w:keepLines w:val="0"/>
              <w:pageBreakBefore w:val="0"/>
              <w:kinsoku/>
              <w:wordWrap/>
              <w:overflowPunct/>
              <w:topLinePunct w:val="0"/>
              <w:autoSpaceDE/>
              <w:autoSpaceDN/>
              <w:bidi w:val="0"/>
              <w:adjustRightInd/>
              <w:spacing w:before="0" w:after="0" w:line="360" w:lineRule="auto"/>
              <w:ind w:right="0" w:firstLine="456" w:firstLineChars="200"/>
              <w:textAlignment w:val="auto"/>
              <w:rPr>
                <w:rFonts w:hint="default" w:ascii="Times New Roman" w:hAnsi="Times New Roman" w:eastAsia="宋体" w:cs="Times New Roman"/>
                <w:b w:val="0"/>
                <w:bCs w:val="0"/>
                <w:color w:val="auto"/>
                <w:spacing w:val="-6"/>
                <w:sz w:val="24"/>
                <w:szCs w:val="24"/>
                <w:lang w:val="en-US" w:eastAsia="zh-CN"/>
              </w:rPr>
            </w:pPr>
            <w:r>
              <w:rPr>
                <w:rFonts w:hint="default" w:ascii="Times New Roman" w:hAnsi="Times New Roman" w:eastAsia="宋体" w:cs="Times New Roman"/>
                <w:b w:val="0"/>
                <w:bCs w:val="0"/>
                <w:color w:val="auto"/>
                <w:spacing w:val="-6"/>
                <w:sz w:val="24"/>
                <w:szCs w:val="24"/>
                <w:lang w:val="en-US" w:eastAsia="zh-CN"/>
              </w:rPr>
              <w:t>新建线路由马山220kV变电站间隔，向西南出线，跨越220kV燕马三线后左转跨越66kV马东线后经桃树园村向西南架设连续跨越66kV马沟线和钻越在建的500kV川州二期线路，继续向西南架设220kV建奎、燕奎线，随后左转跨越长深高速公路，经东营子东侧跨越乡道边林线左转接至国宏200MW储能站。新建单回线路总长度6.3公里。</w:t>
            </w:r>
          </w:p>
          <w:p>
            <w:pPr>
              <w:pStyle w:val="7"/>
              <w:keepNext w:val="0"/>
              <w:keepLines w:val="0"/>
              <w:pageBreakBefore w:val="0"/>
              <w:kinsoku/>
              <w:wordWrap/>
              <w:overflowPunct/>
              <w:topLinePunct w:val="0"/>
              <w:autoSpaceDE/>
              <w:autoSpaceDN/>
              <w:bidi w:val="0"/>
              <w:adjustRightInd/>
              <w:spacing w:before="0" w:after="0" w:line="360" w:lineRule="auto"/>
              <w:ind w:right="0" w:firstLine="456" w:firstLineChars="200"/>
              <w:textAlignment w:val="auto"/>
              <w:rPr>
                <w:rFonts w:hint="default" w:ascii="Times New Roman" w:hAnsi="Times New Roman" w:eastAsia="宋体" w:cs="Times New Roman"/>
                <w:b w:val="0"/>
                <w:bCs w:val="0"/>
                <w:color w:val="auto"/>
                <w:spacing w:val="-6"/>
                <w:sz w:val="24"/>
                <w:szCs w:val="24"/>
                <w:lang w:val="en-US" w:eastAsia="zh-CN"/>
              </w:rPr>
            </w:pPr>
            <w:r>
              <w:rPr>
                <w:rFonts w:hint="default" w:ascii="Times New Roman" w:hAnsi="Times New Roman" w:eastAsia="宋体" w:cs="Times New Roman"/>
                <w:b w:val="0"/>
                <w:bCs w:val="0"/>
                <w:color w:val="auto"/>
                <w:spacing w:val="-6"/>
                <w:sz w:val="24"/>
                <w:szCs w:val="24"/>
                <w:lang w:val="en-US" w:eastAsia="zh-CN"/>
              </w:rPr>
              <w:t>导线型号JL3/G1A-400/35，每相1根。</w:t>
            </w:r>
          </w:p>
          <w:p>
            <w:pPr>
              <w:pStyle w:val="7"/>
              <w:keepNext w:val="0"/>
              <w:keepLines w:val="0"/>
              <w:pageBreakBefore w:val="0"/>
              <w:kinsoku/>
              <w:wordWrap/>
              <w:overflowPunct/>
              <w:topLinePunct w:val="0"/>
              <w:autoSpaceDE/>
              <w:autoSpaceDN/>
              <w:bidi w:val="0"/>
              <w:adjustRightInd/>
              <w:spacing w:before="0" w:after="0" w:line="360" w:lineRule="auto"/>
              <w:ind w:right="0" w:firstLine="456" w:firstLineChars="200"/>
              <w:textAlignment w:val="auto"/>
              <w:rPr>
                <w:rFonts w:hint="default" w:ascii="Times New Roman" w:hAnsi="Times New Roman" w:eastAsia="宋体" w:cs="Times New Roman"/>
                <w:b w:val="0"/>
                <w:bCs w:val="0"/>
                <w:color w:val="auto"/>
                <w:spacing w:val="-6"/>
                <w:sz w:val="24"/>
                <w:szCs w:val="24"/>
                <w:lang w:val="en-US" w:eastAsia="zh-CN"/>
              </w:rPr>
            </w:pPr>
            <w:r>
              <w:rPr>
                <w:rFonts w:hint="default" w:ascii="Times New Roman" w:hAnsi="Times New Roman" w:eastAsia="宋体" w:cs="Times New Roman"/>
                <w:b w:val="0"/>
                <w:bCs w:val="0"/>
                <w:color w:val="auto"/>
                <w:spacing w:val="-6"/>
                <w:sz w:val="24"/>
                <w:szCs w:val="24"/>
                <w:lang w:val="en-US" w:eastAsia="zh-CN"/>
              </w:rPr>
              <w:t>曲折系数：1.51。</w:t>
            </w:r>
          </w:p>
          <w:p>
            <w:pPr>
              <w:pStyle w:val="7"/>
              <w:keepNext w:val="0"/>
              <w:keepLines w:val="0"/>
              <w:pageBreakBefore w:val="0"/>
              <w:kinsoku/>
              <w:wordWrap/>
              <w:overflowPunct/>
              <w:topLinePunct w:val="0"/>
              <w:autoSpaceDE/>
              <w:autoSpaceDN/>
              <w:bidi w:val="0"/>
              <w:adjustRightInd/>
              <w:spacing w:before="0" w:after="0" w:line="360" w:lineRule="auto"/>
              <w:ind w:right="0" w:firstLine="456" w:firstLineChars="200"/>
              <w:textAlignment w:val="auto"/>
              <w:rPr>
                <w:rFonts w:hint="default" w:ascii="Times New Roman" w:hAnsi="Times New Roman" w:eastAsia="宋体" w:cs="Times New Roman"/>
                <w:b w:val="0"/>
                <w:bCs w:val="0"/>
                <w:color w:val="auto"/>
                <w:spacing w:val="-6"/>
                <w:sz w:val="24"/>
                <w:szCs w:val="24"/>
                <w:lang w:val="en-US" w:eastAsia="zh-CN"/>
              </w:rPr>
            </w:pPr>
            <w:r>
              <w:rPr>
                <w:rFonts w:hint="default" w:ascii="Times New Roman" w:hAnsi="Times New Roman" w:eastAsia="宋体" w:cs="Times New Roman"/>
                <w:b w:val="0"/>
                <w:bCs w:val="0"/>
                <w:color w:val="auto"/>
                <w:spacing w:val="-6"/>
                <w:sz w:val="24"/>
                <w:szCs w:val="24"/>
                <w:lang w:val="en-US" w:eastAsia="zh-CN"/>
              </w:rPr>
              <w:t>沿线地形：平地55%、丘陵24%、山地21%。</w:t>
            </w:r>
          </w:p>
          <w:p>
            <w:pPr>
              <w:keepNext w:val="0"/>
              <w:keepLines w:val="0"/>
              <w:pageBreakBefore w:val="0"/>
              <w:widowControl w:val="0"/>
              <w:kinsoku/>
              <w:wordWrap/>
              <w:overflowPunct/>
              <w:topLinePunct w:val="0"/>
              <w:autoSpaceDE/>
              <w:autoSpaceDN/>
              <w:bidi w:val="0"/>
              <w:adjustRightInd/>
              <w:snapToGrid/>
              <w:spacing w:line="360" w:lineRule="auto"/>
              <w:ind w:firstLine="456" w:firstLineChars="200"/>
              <w:textAlignment w:val="auto"/>
              <w:rPr>
                <w:rFonts w:hint="eastAsia" w:ascii="Times New Roman" w:hAnsi="Times New Roman" w:eastAsia="Times New Roman" w:cs="Times New Roman"/>
                <w:b w:val="0"/>
                <w:bCs w:val="0"/>
                <w:color w:val="auto"/>
                <w:spacing w:val="-6"/>
                <w:sz w:val="24"/>
                <w:szCs w:val="24"/>
              </w:rPr>
            </w:pPr>
            <w:r>
              <w:rPr>
                <w:rFonts w:hint="eastAsia" w:ascii="Times New Roman" w:hAnsi="Times New Roman" w:eastAsia="Times New Roman" w:cs="Times New Roman"/>
                <w:b w:val="0"/>
                <w:bCs w:val="0"/>
                <w:color w:val="auto"/>
                <w:spacing w:val="-6"/>
                <w:sz w:val="24"/>
                <w:szCs w:val="24"/>
              </w:rPr>
              <w:t>方案比较：</w:t>
            </w:r>
          </w:p>
          <w:p>
            <w:pPr>
              <w:keepNext w:val="0"/>
              <w:keepLines w:val="0"/>
              <w:pageBreakBefore w:val="0"/>
              <w:widowControl w:val="0"/>
              <w:kinsoku/>
              <w:wordWrap/>
              <w:overflowPunct/>
              <w:topLinePunct w:val="0"/>
              <w:autoSpaceDE/>
              <w:autoSpaceDN/>
              <w:bidi w:val="0"/>
              <w:adjustRightInd/>
              <w:snapToGrid/>
              <w:spacing w:line="360" w:lineRule="auto"/>
              <w:ind w:firstLine="456" w:firstLineChars="200"/>
              <w:textAlignment w:val="auto"/>
              <w:rPr>
                <w:rFonts w:hint="eastAsia" w:ascii="Times New Roman" w:hAnsi="Times New Roman" w:eastAsia="Times New Roman" w:cs="Times New Roman"/>
                <w:b w:val="0"/>
                <w:bCs w:val="0"/>
                <w:color w:val="auto"/>
                <w:spacing w:val="-6"/>
                <w:sz w:val="24"/>
                <w:szCs w:val="24"/>
              </w:rPr>
            </w:pPr>
            <w:r>
              <w:rPr>
                <w:rFonts w:hint="eastAsia" w:ascii="Times New Roman" w:hAnsi="Times New Roman" w:eastAsia="Times New Roman" w:cs="Times New Roman"/>
                <w:b w:val="0"/>
                <w:bCs w:val="0"/>
                <w:color w:val="auto"/>
                <w:spacing w:val="-6"/>
                <w:sz w:val="24"/>
                <w:szCs w:val="24"/>
              </w:rPr>
              <w:t>施工及运行维护方面比较：</w:t>
            </w:r>
          </w:p>
          <w:p>
            <w:pPr>
              <w:keepNext w:val="0"/>
              <w:keepLines w:val="0"/>
              <w:pageBreakBefore w:val="0"/>
              <w:widowControl w:val="0"/>
              <w:kinsoku/>
              <w:wordWrap/>
              <w:overflowPunct/>
              <w:topLinePunct w:val="0"/>
              <w:autoSpaceDE/>
              <w:autoSpaceDN/>
              <w:bidi w:val="0"/>
              <w:adjustRightInd/>
              <w:snapToGrid/>
              <w:spacing w:line="360" w:lineRule="auto"/>
              <w:ind w:firstLine="456" w:firstLineChars="200"/>
              <w:textAlignment w:val="auto"/>
              <w:rPr>
                <w:rFonts w:hint="eastAsia" w:ascii="Times New Roman" w:hAnsi="Times New Roman" w:eastAsia="Times New Roman" w:cs="Times New Roman"/>
                <w:b w:val="0"/>
                <w:bCs w:val="0"/>
                <w:color w:val="auto"/>
                <w:spacing w:val="-6"/>
                <w:sz w:val="24"/>
                <w:szCs w:val="24"/>
              </w:rPr>
            </w:pPr>
            <w:r>
              <w:rPr>
                <w:rFonts w:hint="eastAsia" w:ascii="Times New Roman" w:hAnsi="Times New Roman" w:eastAsia="Times New Roman" w:cs="Times New Roman"/>
                <w:b w:val="0"/>
                <w:bCs w:val="0"/>
                <w:color w:val="auto"/>
                <w:spacing w:val="-6"/>
                <w:sz w:val="24"/>
                <w:szCs w:val="24"/>
              </w:rPr>
              <w:t>方案二较方案一和方案三更靠近附近道路，附近有较多机耕道和乡村道，在施工与运行维护阶段都可以借用；而方案一路径多数位于山地、丘陵，附近的机耕道路和乡村道路较方案一少，而方案三路径多数位于山地、丘陵，附近的机耕道路和乡村道路较少，建设阶段需要修建大量的施工道路满足塔材和基础混凝土的运输，在施工和运行维护难度较大，方案二优于方案一和方案三；</w:t>
            </w:r>
          </w:p>
          <w:p>
            <w:pPr>
              <w:keepNext w:val="0"/>
              <w:keepLines w:val="0"/>
              <w:pageBreakBefore w:val="0"/>
              <w:widowControl w:val="0"/>
              <w:kinsoku/>
              <w:wordWrap/>
              <w:overflowPunct/>
              <w:topLinePunct w:val="0"/>
              <w:autoSpaceDE/>
              <w:autoSpaceDN/>
              <w:bidi w:val="0"/>
              <w:adjustRightInd/>
              <w:snapToGrid/>
              <w:spacing w:line="360" w:lineRule="auto"/>
              <w:ind w:firstLine="456" w:firstLineChars="200"/>
              <w:textAlignment w:val="auto"/>
              <w:rPr>
                <w:rFonts w:hint="eastAsia" w:ascii="Times New Roman" w:hAnsi="Times New Roman" w:eastAsia="Times New Roman" w:cs="Times New Roman"/>
                <w:b w:val="0"/>
                <w:bCs w:val="0"/>
                <w:color w:val="auto"/>
                <w:spacing w:val="-6"/>
                <w:sz w:val="24"/>
                <w:szCs w:val="24"/>
              </w:rPr>
            </w:pPr>
            <w:r>
              <w:rPr>
                <w:rFonts w:hint="eastAsia" w:ascii="Times New Roman" w:hAnsi="Times New Roman" w:eastAsia="Times New Roman" w:cs="Times New Roman"/>
                <w:b w:val="0"/>
                <w:bCs w:val="0"/>
                <w:color w:val="auto"/>
                <w:spacing w:val="-6"/>
                <w:sz w:val="24"/>
                <w:szCs w:val="24"/>
              </w:rPr>
              <w:t>环境保护方面比较：</w:t>
            </w:r>
          </w:p>
          <w:p>
            <w:pPr>
              <w:keepNext w:val="0"/>
              <w:keepLines w:val="0"/>
              <w:pageBreakBefore w:val="0"/>
              <w:widowControl w:val="0"/>
              <w:kinsoku/>
              <w:wordWrap/>
              <w:overflowPunct/>
              <w:topLinePunct w:val="0"/>
              <w:autoSpaceDE/>
              <w:autoSpaceDN/>
              <w:bidi w:val="0"/>
              <w:adjustRightInd/>
              <w:snapToGrid/>
              <w:spacing w:line="360" w:lineRule="auto"/>
              <w:ind w:firstLine="456" w:firstLineChars="200"/>
              <w:textAlignment w:val="auto"/>
              <w:rPr>
                <w:rFonts w:hint="eastAsia" w:ascii="Times New Roman" w:hAnsi="Times New Roman" w:eastAsia="Times New Roman" w:cs="Times New Roman"/>
                <w:b w:val="0"/>
                <w:bCs w:val="0"/>
                <w:color w:val="auto"/>
                <w:spacing w:val="-6"/>
                <w:sz w:val="24"/>
                <w:szCs w:val="24"/>
              </w:rPr>
            </w:pPr>
            <w:r>
              <w:rPr>
                <w:rFonts w:hint="eastAsia" w:ascii="Times New Roman" w:hAnsi="Times New Roman" w:eastAsia="Times New Roman" w:cs="Times New Roman"/>
                <w:b w:val="0"/>
                <w:bCs w:val="0"/>
                <w:color w:val="auto"/>
                <w:spacing w:val="-6"/>
                <w:sz w:val="24"/>
                <w:szCs w:val="24"/>
              </w:rPr>
              <w:t>方案二路径砍伐树木较少，方案一路径砍树较方案二较多，方案三砍伐树木最多</w:t>
            </w:r>
            <w:r>
              <w:rPr>
                <w:rFonts w:hint="eastAsia" w:ascii="Times New Roman" w:hAnsi="Times New Roman" w:eastAsia="宋体" w:cs="Times New Roman"/>
                <w:b w:val="0"/>
                <w:bCs w:val="0"/>
                <w:color w:val="auto"/>
                <w:spacing w:val="-6"/>
                <w:sz w:val="24"/>
                <w:szCs w:val="24"/>
                <w:lang w:eastAsia="zh-CN"/>
              </w:rPr>
              <w:t>，从</w:t>
            </w:r>
            <w:r>
              <w:rPr>
                <w:rFonts w:hint="eastAsia" w:ascii="Times New Roman" w:hAnsi="Times New Roman" w:eastAsia="Times New Roman" w:cs="Times New Roman"/>
                <w:b w:val="0"/>
                <w:bCs w:val="0"/>
                <w:color w:val="auto"/>
                <w:spacing w:val="-6"/>
                <w:sz w:val="24"/>
                <w:szCs w:val="24"/>
              </w:rPr>
              <w:t>树木砍伐量来看方案</w:t>
            </w:r>
            <w:r>
              <w:rPr>
                <w:rFonts w:hint="eastAsia" w:ascii="Times New Roman" w:hAnsi="Times New Roman" w:eastAsia="宋体" w:cs="Times New Roman"/>
                <w:b w:val="0"/>
                <w:bCs w:val="0"/>
                <w:color w:val="auto"/>
                <w:spacing w:val="-6"/>
                <w:sz w:val="24"/>
                <w:szCs w:val="24"/>
                <w:lang w:eastAsia="zh-CN"/>
              </w:rPr>
              <w:t>二</w:t>
            </w:r>
            <w:r>
              <w:rPr>
                <w:rFonts w:hint="eastAsia" w:ascii="Times New Roman" w:hAnsi="Times New Roman" w:eastAsia="Times New Roman" w:cs="Times New Roman"/>
                <w:b w:val="0"/>
                <w:bCs w:val="0"/>
                <w:color w:val="auto"/>
                <w:spacing w:val="-6"/>
                <w:sz w:val="24"/>
                <w:szCs w:val="24"/>
              </w:rPr>
              <w:t>优于方案一和方案三；</w:t>
            </w:r>
          </w:p>
          <w:p>
            <w:pPr>
              <w:keepNext w:val="0"/>
              <w:keepLines w:val="0"/>
              <w:pageBreakBefore w:val="0"/>
              <w:widowControl w:val="0"/>
              <w:kinsoku/>
              <w:wordWrap/>
              <w:overflowPunct/>
              <w:topLinePunct w:val="0"/>
              <w:autoSpaceDE/>
              <w:autoSpaceDN/>
              <w:bidi w:val="0"/>
              <w:adjustRightInd/>
              <w:snapToGrid/>
              <w:spacing w:line="360" w:lineRule="auto"/>
              <w:ind w:firstLine="456" w:firstLineChars="200"/>
              <w:textAlignment w:val="auto"/>
              <w:rPr>
                <w:rFonts w:hint="eastAsia" w:ascii="Times New Roman" w:hAnsi="Times New Roman" w:eastAsia="Times New Roman" w:cs="Times New Roman"/>
                <w:b w:val="0"/>
                <w:bCs w:val="0"/>
                <w:color w:val="auto"/>
                <w:spacing w:val="-6"/>
                <w:sz w:val="24"/>
                <w:szCs w:val="24"/>
              </w:rPr>
            </w:pPr>
            <w:r>
              <w:rPr>
                <w:rFonts w:hint="eastAsia" w:ascii="Times New Roman" w:hAnsi="Times New Roman" w:eastAsia="Times New Roman" w:cs="Times New Roman"/>
                <w:b w:val="0"/>
                <w:bCs w:val="0"/>
                <w:color w:val="auto"/>
                <w:spacing w:val="-6"/>
                <w:sz w:val="24"/>
                <w:szCs w:val="24"/>
              </w:rPr>
              <w:t>综合方面比较：</w:t>
            </w:r>
          </w:p>
          <w:p>
            <w:pPr>
              <w:keepNext w:val="0"/>
              <w:keepLines w:val="0"/>
              <w:pageBreakBefore w:val="0"/>
              <w:widowControl w:val="0"/>
              <w:kinsoku/>
              <w:wordWrap/>
              <w:overflowPunct/>
              <w:topLinePunct w:val="0"/>
              <w:autoSpaceDE/>
              <w:autoSpaceDN/>
              <w:bidi w:val="0"/>
              <w:adjustRightInd/>
              <w:snapToGrid/>
              <w:spacing w:line="360" w:lineRule="auto"/>
              <w:ind w:firstLine="456" w:firstLineChars="200"/>
              <w:textAlignment w:val="auto"/>
              <w:rPr>
                <w:rFonts w:hint="eastAsia" w:ascii="Times New Roman" w:hAnsi="Times New Roman" w:eastAsia="Times New Roman" w:cs="Times New Roman"/>
                <w:b w:val="0"/>
                <w:bCs w:val="0"/>
                <w:color w:val="auto"/>
                <w:spacing w:val="-6"/>
                <w:sz w:val="24"/>
                <w:szCs w:val="24"/>
              </w:rPr>
            </w:pPr>
            <w:r>
              <w:rPr>
                <w:rFonts w:hint="eastAsia" w:ascii="Times New Roman" w:hAnsi="Times New Roman" w:eastAsia="Times New Roman" w:cs="Times New Roman"/>
                <w:b w:val="0"/>
                <w:bCs w:val="0"/>
                <w:color w:val="auto"/>
                <w:spacing w:val="-6"/>
                <w:sz w:val="24"/>
                <w:szCs w:val="24"/>
              </w:rPr>
              <w:t>方案二比方案一和方案二路径长度短，但是方案二涉及跨越房屋及院落一处，院落有分布式光伏板架设，涉及多方经济纠纷，拆迁较为困难，经政府协调后建议避新建线路避让该房屋及院落。</w:t>
            </w:r>
          </w:p>
          <w:p>
            <w:pPr>
              <w:keepNext w:val="0"/>
              <w:keepLines w:val="0"/>
              <w:pageBreakBefore w:val="0"/>
              <w:widowControl w:val="0"/>
              <w:kinsoku/>
              <w:wordWrap/>
              <w:overflowPunct/>
              <w:topLinePunct w:val="0"/>
              <w:autoSpaceDE/>
              <w:autoSpaceDN/>
              <w:bidi w:val="0"/>
              <w:adjustRightInd/>
              <w:snapToGrid/>
              <w:spacing w:line="360" w:lineRule="auto"/>
              <w:ind w:left="105" w:leftChars="50" w:right="105" w:rightChars="50" w:firstLine="456" w:firstLineChars="200"/>
              <w:textAlignment w:val="auto"/>
              <w:rPr>
                <w:rFonts w:hint="default" w:ascii="Times New Roman" w:hAnsi="Times New Roman" w:eastAsia="Times New Roman" w:cs="Times New Roman"/>
                <w:b w:val="0"/>
                <w:bCs w:val="0"/>
                <w:color w:val="auto"/>
                <w:spacing w:val="-6"/>
                <w:sz w:val="24"/>
                <w:szCs w:val="24"/>
              </w:rPr>
            </w:pPr>
            <w:r>
              <w:rPr>
                <w:rFonts w:hint="eastAsia" w:ascii="Times New Roman" w:hAnsi="Times New Roman" w:eastAsia="Times New Roman" w:cs="Times New Roman"/>
                <w:b w:val="0"/>
                <w:bCs w:val="0"/>
                <w:color w:val="auto"/>
                <w:spacing w:val="-6"/>
                <w:sz w:val="24"/>
                <w:szCs w:val="24"/>
              </w:rPr>
              <w:t>综合三条线路环保指标横向对比，方案二虽线路最短、杆塔数量偏少，但环保短板十分突出，线路平地占比仅42%、丘陵占比高达37%，地形起伏大极易加剧地表开挖与水土流失，加之交通条件差，施工需大范围新建临时便道，大面积破坏原生植被与耕地，林木采伐包含槐</w:t>
            </w:r>
            <w:r>
              <w:rPr>
                <w:rFonts w:hint="eastAsia" w:ascii="Times New Roman" w:hAnsi="Times New Roman" w:eastAsia="宋体" w:cs="Times New Roman"/>
                <w:b w:val="0"/>
                <w:bCs w:val="0"/>
                <w:color w:val="auto"/>
                <w:spacing w:val="-6"/>
                <w:sz w:val="24"/>
                <w:szCs w:val="24"/>
                <w:lang w:eastAsia="zh-CN"/>
              </w:rPr>
              <w:t>树等</w:t>
            </w:r>
            <w:r>
              <w:rPr>
                <w:rFonts w:hint="eastAsia" w:ascii="Times New Roman" w:hAnsi="Times New Roman" w:eastAsia="Times New Roman" w:cs="Times New Roman"/>
                <w:b w:val="0"/>
                <w:bCs w:val="0"/>
                <w:color w:val="auto"/>
                <w:spacing w:val="-6"/>
                <w:sz w:val="24"/>
                <w:szCs w:val="24"/>
              </w:rPr>
              <w:t>乡土树种，杨、松树采伐面积高于方案一，多处跨越线路、道路，施工作业面更广，机械作业带来的扬尘、噪声、地表扰动等环境扰动显著，林地审批及生态环保管控难度难以化解；方案三环保劣势最为严重，线路里程最长、曲折系数最大、山地占比最高，杆塔、转角塔数量全线最多，永久占地与施工临时占地规模最大，成片林区穿越距离最长，同样涉及槐树采伐，植被割裂破坏程度最重，各类跨线、道路穿越工程量位列首位，施工扰动范围广，水土流失、扬尘噪声扰民、生态损毁等环境影响为三项之最，后期生态修复投入巨大；相比之下方案一环保优势显著，全线平地占比55%居首位，地势平缓大幅减少土石方开挖与水土流失风险，交通条件更好，依托现有道路施工，新建临时便道极少，土地和植被破坏量最小，采伐树种仅杨树、松树、少量杏树，无槐树等保护性林木采伐，林地生态影响小、报批顺畅，全线各类穿越点位数量整体最少，施工占地范围、机械作业时长相应缩减，扬尘、噪声影响范围更小，全周期生态环境影响可控，仅线路长度、杆塔指标小幅不及方案二。从生态保护、水土保持、施工污染、林地合规等环保核心条件综合研判，方案二、三固有环境缺陷无法通过环保措施弥补，方案一为项目唯一环保最优路径。</w:t>
            </w:r>
          </w:p>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496"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4"/>
                <w:position w:val="1"/>
                <w:sz w:val="24"/>
                <w:szCs w:val="24"/>
              </w:rPr>
              <w:t>3、选址合理性</w:t>
            </w:r>
          </w:p>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512"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8"/>
                <w:sz w:val="24"/>
                <w:szCs w:val="24"/>
              </w:rPr>
              <w:t>（1）对照《输变电建设项目环境保护技术要求》（</w:t>
            </w:r>
            <w:r>
              <w:rPr>
                <w:rFonts w:hint="default" w:ascii="Times New Roman" w:hAnsi="Times New Roman" w:eastAsia="宋体" w:cs="Times New Roman"/>
                <w:color w:val="auto"/>
                <w:sz w:val="24"/>
                <w:szCs w:val="24"/>
              </w:rPr>
              <w:t>HJ</w:t>
            </w:r>
            <w:r>
              <w:rPr>
                <w:rFonts w:hint="default" w:ascii="Times New Roman" w:hAnsi="Times New Roman" w:eastAsia="宋体" w:cs="Times New Roman"/>
                <w:color w:val="auto"/>
                <w:spacing w:val="8"/>
                <w:sz w:val="24"/>
                <w:szCs w:val="24"/>
              </w:rPr>
              <w:t>1113-202</w:t>
            </w:r>
            <w:r>
              <w:rPr>
                <w:rFonts w:hint="default" w:ascii="Times New Roman" w:hAnsi="Times New Roman" w:eastAsia="宋体" w:cs="Times New Roman"/>
                <w:color w:val="auto"/>
                <w:spacing w:val="7"/>
                <w:sz w:val="24"/>
                <w:szCs w:val="24"/>
              </w:rPr>
              <w:t>0）中选址选线的要求，符</w:t>
            </w:r>
            <w:r>
              <w:rPr>
                <w:rFonts w:hint="default" w:ascii="Times New Roman" w:hAnsi="Times New Roman" w:eastAsia="宋体" w:cs="Times New Roman"/>
                <w:color w:val="auto"/>
                <w:spacing w:val="6"/>
                <w:sz w:val="24"/>
                <w:szCs w:val="24"/>
              </w:rPr>
              <w:t>合性见下表：</w:t>
            </w:r>
          </w:p>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891" w:firstLineChars="400"/>
              <w:textAlignment w:val="auto"/>
              <w:rPr>
                <w:color w:val="auto"/>
                <w:sz w:val="21"/>
                <w:szCs w:val="21"/>
              </w:rPr>
            </w:pPr>
            <w:r>
              <w:rPr>
                <w:rFonts w:hint="default" w:ascii="Times New Roman" w:hAnsi="Times New Roman" w:eastAsia="宋体" w:cs="Times New Roman"/>
                <w:b/>
                <w:bCs/>
                <w:color w:val="auto"/>
                <w:spacing w:val="6"/>
                <w:sz w:val="21"/>
                <w:szCs w:val="21"/>
              </w:rPr>
              <w:t>表4-</w:t>
            </w:r>
            <w:r>
              <w:rPr>
                <w:rFonts w:hint="eastAsia" w:ascii="Times New Roman" w:hAnsi="Times New Roman" w:eastAsia="宋体" w:cs="Times New Roman"/>
                <w:b/>
                <w:bCs/>
                <w:color w:val="auto"/>
                <w:spacing w:val="6"/>
                <w:sz w:val="21"/>
                <w:szCs w:val="21"/>
                <w:lang w:val="en-US" w:eastAsia="zh-CN"/>
              </w:rPr>
              <w:t xml:space="preserve">7   </w:t>
            </w:r>
            <w:r>
              <w:rPr>
                <w:rFonts w:hint="default" w:ascii="Times New Roman" w:hAnsi="Times New Roman" w:eastAsia="宋体" w:cs="Times New Roman"/>
                <w:b/>
                <w:bCs/>
                <w:color w:val="auto"/>
                <w:spacing w:val="6"/>
                <w:sz w:val="21"/>
                <w:szCs w:val="21"/>
              </w:rPr>
              <w:t>本项目与《输变电建设项目环境保</w:t>
            </w:r>
            <w:r>
              <w:rPr>
                <w:rFonts w:hint="default" w:ascii="Times New Roman" w:hAnsi="Times New Roman" w:eastAsia="宋体" w:cs="Times New Roman"/>
                <w:b/>
                <w:bCs/>
                <w:color w:val="auto"/>
                <w:spacing w:val="5"/>
                <w:sz w:val="21"/>
                <w:szCs w:val="21"/>
              </w:rPr>
              <w:t>护技术要求》的相符性</w:t>
            </w:r>
          </w:p>
          <w:tbl>
            <w:tblPr>
              <w:tblStyle w:val="31"/>
              <w:tblW w:w="4749"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000"/>
              <w:gridCol w:w="3595"/>
              <w:gridCol w:w="109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jc w:val="center"/>
              </w:trPr>
              <w:tc>
                <w:tcPr>
                  <w:tcW w:w="2302"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要求</w:t>
                  </w:r>
                </w:p>
              </w:tc>
              <w:tc>
                <w:tcPr>
                  <w:tcW w:w="2069"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本项目情况</w:t>
                  </w:r>
                </w:p>
              </w:tc>
              <w:tc>
                <w:tcPr>
                  <w:tcW w:w="628"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相符性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06" w:hRule="atLeast"/>
                <w:jc w:val="center"/>
              </w:trPr>
              <w:tc>
                <w:tcPr>
                  <w:tcW w:w="2302"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9"/>
                      <w:sz w:val="21"/>
                      <w:szCs w:val="21"/>
                    </w:rPr>
                    <w:t>输变电建设项目选址选线应符合生态保</w:t>
                  </w:r>
                  <w:r>
                    <w:rPr>
                      <w:rFonts w:hint="default" w:ascii="Times New Roman" w:hAnsi="Times New Roman" w:eastAsia="宋体" w:cs="Times New Roman"/>
                      <w:color w:val="auto"/>
                      <w:spacing w:val="6"/>
                      <w:sz w:val="21"/>
                      <w:szCs w:val="21"/>
                    </w:rPr>
                    <w:t>护红线管控要求，避让自然保护区、饮用</w:t>
                  </w:r>
                </w:p>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水水源保护区等环境敏感区。</w:t>
                  </w:r>
                </w:p>
              </w:tc>
              <w:tc>
                <w:tcPr>
                  <w:tcW w:w="2069"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9"/>
                      <w:sz w:val="21"/>
                      <w:szCs w:val="21"/>
                    </w:rPr>
                    <w:t>本项目选址不涉及生态保护红线、自</w:t>
                  </w:r>
                  <w:r>
                    <w:rPr>
                      <w:rFonts w:hint="default" w:ascii="Times New Roman" w:hAnsi="Times New Roman" w:eastAsia="宋体" w:cs="Times New Roman"/>
                      <w:color w:val="auto"/>
                      <w:spacing w:val="7"/>
                      <w:sz w:val="21"/>
                      <w:szCs w:val="21"/>
                    </w:rPr>
                    <w:t>然保护区、饮用水水源保护区等环境</w:t>
                  </w:r>
                  <w:r>
                    <w:rPr>
                      <w:rFonts w:hint="default" w:ascii="Times New Roman" w:hAnsi="Times New Roman" w:eastAsia="宋体" w:cs="Times New Roman"/>
                      <w:color w:val="auto"/>
                      <w:spacing w:val="4"/>
                      <w:sz w:val="21"/>
                      <w:szCs w:val="21"/>
                    </w:rPr>
                    <w:t>敏感区。</w:t>
                  </w:r>
                </w:p>
              </w:tc>
              <w:tc>
                <w:tcPr>
                  <w:tcW w:w="628"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73" w:hRule="atLeast"/>
                <w:jc w:val="center"/>
              </w:trPr>
              <w:tc>
                <w:tcPr>
                  <w:tcW w:w="2302"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9"/>
                      <w:sz w:val="21"/>
                      <w:szCs w:val="21"/>
                    </w:rPr>
                    <w:t>变电工程在选址时应按终期规模综合考</w:t>
                  </w:r>
                </w:p>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虑进出线走廊规划，避免进出线进入自然</w:t>
                  </w:r>
                </w:p>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9"/>
                      <w:sz w:val="21"/>
                      <w:szCs w:val="21"/>
                    </w:rPr>
                    <w:t>保护区、饮用水水源保护区等环境敏感</w:t>
                  </w:r>
                </w:p>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区。</w:t>
                  </w:r>
                </w:p>
              </w:tc>
              <w:tc>
                <w:tcPr>
                  <w:tcW w:w="2069"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9"/>
                      <w:sz w:val="21"/>
                      <w:szCs w:val="21"/>
                    </w:rPr>
                    <w:t>本项目变电站按终期规模综合考虑</w:t>
                  </w:r>
                  <w:r>
                    <w:rPr>
                      <w:rFonts w:hint="default" w:ascii="Times New Roman" w:hAnsi="Times New Roman" w:eastAsia="宋体" w:cs="Times New Roman"/>
                      <w:color w:val="auto"/>
                      <w:spacing w:val="6"/>
                      <w:sz w:val="21"/>
                      <w:szCs w:val="21"/>
                    </w:rPr>
                    <w:t>了进出线走廊规划，进出线不涉及自</w:t>
                  </w:r>
                  <w:r>
                    <w:rPr>
                      <w:rFonts w:hint="default" w:ascii="Times New Roman" w:hAnsi="Times New Roman" w:eastAsia="宋体" w:cs="Times New Roman"/>
                      <w:color w:val="auto"/>
                      <w:spacing w:val="7"/>
                      <w:sz w:val="21"/>
                      <w:szCs w:val="21"/>
                    </w:rPr>
                    <w:t>然保护区、饮用水水源保护区等环境</w:t>
                  </w:r>
                </w:p>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敏感区。</w:t>
                  </w:r>
                </w:p>
              </w:tc>
              <w:tc>
                <w:tcPr>
                  <w:tcW w:w="628"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72" w:hRule="atLeast"/>
                <w:jc w:val="center"/>
              </w:trPr>
              <w:tc>
                <w:tcPr>
                  <w:tcW w:w="2302"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50" w:firstLine="76"/>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9"/>
                      <w:sz w:val="21"/>
                      <w:szCs w:val="21"/>
                    </w:rPr>
                    <w:t>户外变电工程及规划架空进出线选址选</w:t>
                  </w:r>
                  <w:r>
                    <w:rPr>
                      <w:rFonts w:hint="default" w:ascii="Times New Roman" w:hAnsi="Times New Roman" w:eastAsia="宋体" w:cs="Times New Roman"/>
                      <w:color w:val="auto"/>
                      <w:spacing w:val="6"/>
                      <w:sz w:val="21"/>
                      <w:szCs w:val="21"/>
                    </w:rPr>
                    <w:t>线时，应关注以居住、医疗卫生、文化教</w:t>
                  </w:r>
                  <w:r>
                    <w:rPr>
                      <w:rFonts w:hint="default" w:ascii="Times New Roman" w:hAnsi="Times New Roman" w:eastAsia="宋体" w:cs="Times New Roman"/>
                      <w:color w:val="auto"/>
                      <w:spacing w:val="-2"/>
                      <w:sz w:val="21"/>
                      <w:szCs w:val="21"/>
                    </w:rPr>
                    <w:t>育、科研、行政办公等为主要功能的区域，</w:t>
                  </w:r>
                  <w:r>
                    <w:rPr>
                      <w:rFonts w:hint="default" w:ascii="Times New Roman" w:hAnsi="Times New Roman" w:eastAsia="宋体" w:cs="Times New Roman"/>
                      <w:color w:val="auto"/>
                      <w:spacing w:val="8"/>
                      <w:sz w:val="21"/>
                      <w:szCs w:val="21"/>
                    </w:rPr>
                    <w:t>采取综合措施，减少电磁和声环境影响。</w:t>
                  </w:r>
                </w:p>
              </w:tc>
              <w:tc>
                <w:tcPr>
                  <w:tcW w:w="2069"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9"/>
                      <w:sz w:val="21"/>
                      <w:szCs w:val="21"/>
                    </w:rPr>
                    <w:t>本项目变电站周围无居住、医疗卫</w:t>
                  </w:r>
                  <w:r>
                    <w:rPr>
                      <w:rFonts w:hint="default" w:ascii="Times New Roman" w:hAnsi="Times New Roman" w:eastAsia="宋体" w:cs="Times New Roman"/>
                      <w:color w:val="auto"/>
                      <w:spacing w:val="6"/>
                      <w:sz w:val="21"/>
                      <w:szCs w:val="21"/>
                    </w:rPr>
                    <w:t>生、文化教育、科研、行政办公等敏</w:t>
                  </w:r>
                </w:p>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感目标</w:t>
                  </w:r>
                </w:p>
              </w:tc>
              <w:tc>
                <w:tcPr>
                  <w:tcW w:w="628"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0" w:hRule="atLeast"/>
                <w:jc w:val="center"/>
              </w:trPr>
              <w:tc>
                <w:tcPr>
                  <w:tcW w:w="2302"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position w:val="1"/>
                      <w:sz w:val="21"/>
                      <w:szCs w:val="21"/>
                    </w:rPr>
                    <w:t>原则上避免在0类声环境功能区建设变</w:t>
                  </w:r>
                  <w:r>
                    <w:rPr>
                      <w:rFonts w:hint="default" w:ascii="Times New Roman" w:hAnsi="Times New Roman" w:eastAsia="宋体" w:cs="Times New Roman"/>
                      <w:color w:val="auto"/>
                      <w:spacing w:val="-1"/>
                      <w:sz w:val="21"/>
                      <w:szCs w:val="21"/>
                    </w:rPr>
                    <w:t>电工程。</w:t>
                  </w:r>
                </w:p>
              </w:tc>
              <w:tc>
                <w:tcPr>
                  <w:tcW w:w="2069"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position w:val="1"/>
                      <w:sz w:val="21"/>
                      <w:szCs w:val="21"/>
                    </w:rPr>
                    <w:t>本项目所在区域为</w:t>
                  </w:r>
                  <w:r>
                    <w:rPr>
                      <w:rFonts w:hint="eastAsia" w:ascii="Times New Roman" w:hAnsi="Times New Roman" w:eastAsia="宋体" w:cs="Times New Roman"/>
                      <w:color w:val="auto"/>
                      <w:spacing w:val="7"/>
                      <w:position w:val="1"/>
                      <w:sz w:val="21"/>
                      <w:szCs w:val="21"/>
                      <w:lang w:val="en-US" w:eastAsia="zh-CN"/>
                    </w:rPr>
                    <w:t>1</w:t>
                  </w:r>
                  <w:r>
                    <w:rPr>
                      <w:rFonts w:hint="default" w:ascii="Times New Roman" w:hAnsi="Times New Roman" w:eastAsia="宋体" w:cs="Times New Roman"/>
                      <w:color w:val="auto"/>
                      <w:spacing w:val="7"/>
                      <w:position w:val="1"/>
                      <w:sz w:val="21"/>
                      <w:szCs w:val="21"/>
                    </w:rPr>
                    <w:t>类声功能区。</w:t>
                  </w:r>
                </w:p>
              </w:tc>
              <w:tc>
                <w:tcPr>
                  <w:tcW w:w="628"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85" w:hRule="atLeast"/>
                <w:jc w:val="center"/>
              </w:trPr>
              <w:tc>
                <w:tcPr>
                  <w:tcW w:w="2302"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变电工程选址时，应综合考虑减少土地占</w:t>
                  </w:r>
                </w:p>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用、植被砍伐和弃土弃渣等，以少对生</w:t>
                  </w:r>
                </w:p>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态环境的不利影响</w:t>
                  </w:r>
                </w:p>
              </w:tc>
              <w:tc>
                <w:tcPr>
                  <w:tcW w:w="2069"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本项目方案选择为土地占用量最小的方案，且不涉及植被砍伐和弃土弃渣。</w:t>
                  </w:r>
                </w:p>
              </w:tc>
              <w:tc>
                <w:tcPr>
                  <w:tcW w:w="628"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p>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符合</w:t>
                  </w:r>
                </w:p>
              </w:tc>
            </w:tr>
          </w:tbl>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（2）根据《环境影响评价技术导则输变电》（HJ24-2020），“按照HJ1113的规定进行选址选线环境合理性分析”。本项目与《输变电建设项目环境保护技术要求》（HJ1113-2020）符合性分析中选址选线符合性分析详见表</w:t>
            </w:r>
            <w:r>
              <w:rPr>
                <w:rFonts w:hint="eastAsia" w:ascii="Times New Roman" w:hAnsi="Times New Roman" w:eastAsia="宋体" w:cs="Times New Roman"/>
                <w:color w:val="auto"/>
                <w:sz w:val="24"/>
                <w:szCs w:val="24"/>
                <w:lang w:val="en-US" w:eastAsia="zh-CN"/>
              </w:rPr>
              <w:t>1-7</w:t>
            </w:r>
            <w:r>
              <w:rPr>
                <w:rFonts w:hint="default" w:ascii="Times New Roman" w:hAnsi="Times New Roman" w:eastAsia="宋体" w:cs="Times New Roman"/>
                <w:color w:val="auto"/>
                <w:sz w:val="24"/>
                <w:szCs w:val="24"/>
              </w:rPr>
              <w:t>，选址符合输变电建设项目环境保护技术要求（HJ1113-2020）相关要求，在此不再赘述。</w:t>
            </w:r>
          </w:p>
          <w:p>
            <w:pPr>
              <w:pStyle w:val="38"/>
              <w:keepNext w:val="0"/>
              <w:keepLines w:val="0"/>
              <w:pageBreakBefore w:val="0"/>
              <w:widowControl w:val="0"/>
              <w:kinsoku/>
              <w:wordWrap/>
              <w:overflowPunct/>
              <w:topLinePunct w:val="0"/>
              <w:autoSpaceDE/>
              <w:autoSpaceDN/>
              <w:bidi w:val="0"/>
              <w:adjustRightInd/>
              <w:snapToGrid/>
              <w:spacing w:line="360" w:lineRule="auto"/>
              <w:ind w:left="105" w:leftChars="50" w:right="105" w:rightChars="5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本项目输电线路在选线阶段，已充分征求所涉地区地方政府相关部门的意见，不影响当地土地规划和城镇发展规划；同时尽量</w:t>
            </w:r>
            <w:r>
              <w:rPr>
                <w:rFonts w:hint="eastAsia" w:ascii="Times New Roman" w:hAnsi="Times New Roman" w:eastAsia="宋体" w:cs="Times New Roman"/>
                <w:color w:val="auto"/>
                <w:sz w:val="24"/>
                <w:szCs w:val="24"/>
                <w:lang w:eastAsia="zh-CN"/>
              </w:rPr>
              <w:t>避开</w:t>
            </w:r>
            <w:r>
              <w:rPr>
                <w:rFonts w:hint="default" w:ascii="Times New Roman" w:hAnsi="Times New Roman" w:eastAsia="宋体" w:cs="Times New Roman"/>
                <w:color w:val="auto"/>
                <w:sz w:val="24"/>
                <w:szCs w:val="24"/>
              </w:rPr>
              <w:t>居民集中区，不压占一级保护林地及一级国家公益林自然保护地、水源地保护区。线路不在生态红线内建设塔基，本项目可以认定为县级以上国土空间规划的输变电基础设施建设，属于“必须且无法避让、符合县级以上国土空间规划的线性基础设施建设、防洪和供水设施建设与运行维护”工程建设内容，是“允许对生态功能不造成破坏的有限人为活动”工程建设活动，工程符合《关于在国土空间规划中统筹划定落实三条控制线的指导意见》的相关要求。输电线路塔基占地已取得相关部门的原则性同意，土地资源消耗符合要求。</w:t>
            </w:r>
          </w:p>
          <w:p>
            <w:pPr>
              <w:pStyle w:val="38"/>
              <w:keepNext w:val="0"/>
              <w:keepLines w:val="0"/>
              <w:pageBreakBefore w:val="0"/>
              <w:widowControl w:val="0"/>
              <w:kinsoku/>
              <w:wordWrap/>
              <w:overflowPunct/>
              <w:topLinePunct w:val="0"/>
              <w:autoSpaceDE/>
              <w:autoSpaceDN/>
              <w:bidi w:val="0"/>
              <w:adjustRightInd/>
              <w:snapToGrid/>
              <w:spacing w:line="360" w:lineRule="auto"/>
              <w:ind w:left="105" w:leftChars="50" w:right="105" w:rightChars="5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因此，本项目线路路径选址是合理可行的。</w:t>
            </w:r>
          </w:p>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z w:val="24"/>
                <w:szCs w:val="24"/>
              </w:rPr>
            </w:pPr>
          </w:p>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z w:val="24"/>
                <w:szCs w:val="24"/>
              </w:rPr>
            </w:pPr>
          </w:p>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z w:val="24"/>
                <w:szCs w:val="24"/>
              </w:rPr>
            </w:pPr>
          </w:p>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z w:val="24"/>
                <w:szCs w:val="24"/>
              </w:rPr>
            </w:pPr>
          </w:p>
        </w:tc>
      </w:tr>
    </w:tbl>
    <w:p>
      <w:pPr>
        <w:pStyle w:val="7"/>
        <w:rPr>
          <w:color w:val="auto"/>
        </w:rPr>
      </w:pPr>
    </w:p>
    <w:p>
      <w:pPr>
        <w:rPr>
          <w:color w:val="auto"/>
        </w:rPr>
        <w:sectPr>
          <w:footerReference r:id="rId9" w:type="default"/>
          <w:pgSz w:w="11906" w:h="16839"/>
          <w:pgMar w:top="1440" w:right="1080" w:bottom="1440" w:left="1080" w:header="0" w:footer="1078" w:gutter="0"/>
          <w:pgBorders>
            <w:top w:val="none" w:sz="0" w:space="0"/>
            <w:left w:val="none" w:sz="0" w:space="0"/>
            <w:bottom w:val="none" w:sz="0" w:space="0"/>
            <w:right w:val="none" w:sz="0" w:space="0"/>
          </w:pgBorders>
          <w:pgNumType w:fmt="decimal"/>
          <w:cols w:space="720" w:num="1"/>
        </w:sectPr>
      </w:pPr>
    </w:p>
    <w:p>
      <w:pPr>
        <w:spacing w:before="97" w:line="222" w:lineRule="auto"/>
        <w:jc w:val="center"/>
        <w:rPr>
          <w:color w:val="auto"/>
        </w:rPr>
      </w:pPr>
      <w:r>
        <w:rPr>
          <w:rFonts w:ascii="黑体" w:hAnsi="黑体" w:eastAsia="黑体" w:cs="黑体"/>
          <w:color w:val="auto"/>
          <w:spacing w:val="-2"/>
          <w:sz w:val="30"/>
          <w:szCs w:val="30"/>
        </w:rPr>
        <w:t>五、主要生态环境保护措施</w:t>
      </w:r>
    </w:p>
    <w:tbl>
      <w:tblPr>
        <w:tblStyle w:val="31"/>
        <w:tblW w:w="5016"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19"/>
        <w:gridCol w:w="411"/>
        <w:gridCol w:w="204"/>
        <w:gridCol w:w="59"/>
        <w:gridCol w:w="9099"/>
        <w:gridCol w:w="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Before w:val="1"/>
          <w:wBefore w:w="10" w:type="pct"/>
          <w:trHeight w:val="12887" w:hRule="atLeast"/>
          <w:jc w:val="center"/>
        </w:trPr>
        <w:tc>
          <w:tcPr>
            <w:tcW w:w="344" w:type="pct"/>
            <w:gridSpan w:val="3"/>
            <w:tcBorders>
              <w:right w:val="single" w:color="000000" w:sz="2" w:space="0"/>
            </w:tcBorders>
            <w:textDirection w:val="tbRlV"/>
            <w:vAlign w:val="top"/>
          </w:tcPr>
          <w:p>
            <w:pPr>
              <w:spacing w:before="122" w:line="217" w:lineRule="auto"/>
              <w:ind w:left="4979"/>
              <w:rPr>
                <w:rFonts w:ascii="宋体" w:hAnsi="宋体" w:eastAsia="宋体" w:cs="宋体"/>
                <w:b/>
                <w:bCs/>
                <w:color w:val="auto"/>
                <w:sz w:val="24"/>
                <w:szCs w:val="24"/>
              </w:rPr>
            </w:pPr>
            <w:r>
              <w:rPr>
                <w:rFonts w:ascii="宋体" w:hAnsi="宋体" w:eastAsia="宋体" w:cs="宋体"/>
                <w:b/>
                <w:bCs/>
                <w:color w:val="auto"/>
                <w:spacing w:val="8"/>
                <w:sz w:val="24"/>
                <w:szCs w:val="24"/>
              </w:rPr>
              <w:t>施工期生态环境保护措施</w:t>
            </w:r>
          </w:p>
        </w:tc>
        <w:tc>
          <w:tcPr>
            <w:tcW w:w="4645" w:type="pct"/>
            <w:gridSpan w:val="2"/>
            <w:tcBorders>
              <w:left w:val="single" w:color="000000" w:sz="2" w:space="0"/>
            </w:tcBorders>
            <w:vAlign w:val="top"/>
          </w:tcPr>
          <w:p>
            <w:pPr>
              <w:spacing w:before="166" w:line="220" w:lineRule="auto"/>
              <w:ind w:left="606"/>
              <w:rPr>
                <w:rFonts w:ascii="宋体" w:hAnsi="宋体" w:eastAsia="宋体" w:cs="宋体"/>
                <w:b/>
                <w:bCs/>
                <w:color w:val="auto"/>
                <w:sz w:val="24"/>
                <w:szCs w:val="24"/>
              </w:rPr>
            </w:pPr>
            <w:r>
              <w:rPr>
                <w:rFonts w:ascii="Times New Roman" w:hAnsi="Times New Roman" w:eastAsia="Times New Roman" w:cs="Times New Roman"/>
                <w:b/>
                <w:bCs/>
                <w:color w:val="auto"/>
                <w:spacing w:val="-5"/>
                <w:sz w:val="24"/>
                <w:szCs w:val="24"/>
              </w:rPr>
              <w:t>1</w:t>
            </w:r>
            <w:r>
              <w:rPr>
                <w:rFonts w:ascii="Times New Roman" w:hAnsi="Times New Roman" w:eastAsia="Times New Roman" w:cs="Times New Roman"/>
                <w:b/>
                <w:bCs/>
                <w:color w:val="auto"/>
                <w:spacing w:val="-25"/>
                <w:sz w:val="24"/>
                <w:szCs w:val="24"/>
              </w:rPr>
              <w:t xml:space="preserve"> </w:t>
            </w:r>
            <w:r>
              <w:rPr>
                <w:rFonts w:ascii="宋体" w:hAnsi="宋体" w:eastAsia="宋体" w:cs="宋体"/>
                <w:b/>
                <w:bCs/>
                <w:color w:val="auto"/>
                <w:spacing w:val="-5"/>
                <w:sz w:val="24"/>
                <w:szCs w:val="24"/>
              </w:rPr>
              <w:t>、施工期生态环境保护措施</w:t>
            </w:r>
          </w:p>
          <w:p>
            <w:pPr>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textAlignment w:val="auto"/>
              <w:rPr>
                <w:rFonts w:ascii="宋体" w:hAnsi="宋体" w:eastAsia="宋体" w:cs="宋体"/>
                <w:color w:val="auto"/>
                <w:sz w:val="24"/>
                <w:szCs w:val="24"/>
              </w:rPr>
            </w:pPr>
            <w:r>
              <w:rPr>
                <w:rFonts w:ascii="宋体" w:hAnsi="宋体" w:eastAsia="宋体" w:cs="宋体"/>
                <w:color w:val="auto"/>
                <w:spacing w:val="-4"/>
                <w:sz w:val="24"/>
                <w:szCs w:val="24"/>
              </w:rPr>
              <w:t>针对本项目引起的生态破坏，评价从工程管理、植被恢复、防止水土流</w:t>
            </w:r>
            <w:r>
              <w:rPr>
                <w:rFonts w:ascii="宋体" w:hAnsi="宋体" w:eastAsia="宋体" w:cs="宋体"/>
                <w:color w:val="auto"/>
                <w:spacing w:val="-2"/>
                <w:sz w:val="24"/>
                <w:szCs w:val="24"/>
              </w:rPr>
              <w:t>失等方面提出了具体的措施。</w:t>
            </w:r>
          </w:p>
          <w:p>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ascii="宋体" w:hAnsi="宋体" w:eastAsia="宋体" w:cs="宋体"/>
                <w:color w:val="auto"/>
                <w:sz w:val="24"/>
                <w:szCs w:val="24"/>
              </w:rPr>
            </w:pPr>
            <w:r>
              <w:rPr>
                <w:rFonts w:hint="eastAsia" w:ascii="Times New Roman" w:hAnsi="Times New Roman" w:eastAsia="宋体" w:cs="Times New Roman"/>
                <w:color w:val="auto"/>
                <w:spacing w:val="-2"/>
                <w:sz w:val="24"/>
                <w:szCs w:val="24"/>
                <w:lang w:eastAsia="zh-CN"/>
              </w:rPr>
              <w:t>（1）</w:t>
            </w:r>
            <w:r>
              <w:rPr>
                <w:rFonts w:ascii="宋体" w:hAnsi="宋体" w:eastAsia="宋体" w:cs="宋体"/>
                <w:color w:val="auto"/>
                <w:spacing w:val="-2"/>
                <w:sz w:val="24"/>
                <w:szCs w:val="24"/>
              </w:rPr>
              <w:t>管理措施</w:t>
            </w:r>
          </w:p>
          <w:p>
            <w:pPr>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textAlignment w:val="auto"/>
              <w:rPr>
                <w:rFonts w:ascii="宋体" w:hAnsi="宋体" w:eastAsia="宋体" w:cs="宋体"/>
                <w:color w:val="auto"/>
                <w:sz w:val="24"/>
                <w:szCs w:val="24"/>
              </w:rPr>
            </w:pPr>
            <w:r>
              <w:rPr>
                <w:rFonts w:ascii="宋体" w:hAnsi="宋体" w:eastAsia="宋体" w:cs="宋体"/>
                <w:color w:val="auto"/>
                <w:spacing w:val="-4"/>
                <w:sz w:val="24"/>
                <w:szCs w:val="24"/>
              </w:rPr>
              <w:t>①施工期间，施工占地周围设置作业范围，施工车辆、人员必须在作业</w:t>
            </w:r>
            <w:r>
              <w:rPr>
                <w:rFonts w:ascii="宋体" w:hAnsi="宋体" w:eastAsia="宋体" w:cs="宋体"/>
                <w:color w:val="auto"/>
                <w:spacing w:val="-1"/>
                <w:sz w:val="24"/>
                <w:szCs w:val="24"/>
              </w:rPr>
              <w:t>带内活动，严禁随意扩大扰动范围；</w:t>
            </w:r>
          </w:p>
          <w:p>
            <w:pPr>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textAlignment w:val="auto"/>
              <w:rPr>
                <w:rFonts w:ascii="宋体" w:hAnsi="宋体" w:eastAsia="宋体" w:cs="宋体"/>
                <w:color w:val="auto"/>
                <w:sz w:val="24"/>
                <w:szCs w:val="24"/>
              </w:rPr>
            </w:pPr>
            <w:r>
              <w:rPr>
                <w:rFonts w:ascii="宋体" w:hAnsi="宋体" w:eastAsia="宋体" w:cs="宋体"/>
                <w:color w:val="auto"/>
                <w:spacing w:val="-4"/>
                <w:sz w:val="24"/>
                <w:szCs w:val="24"/>
              </w:rPr>
              <w:t>②进一步优化施工布置，优化施工道路线路等，尽可能减少施工道路占地对地表植被的破坏；尽可能缩小道路施工作业面积，少占和不占耕地和植被。</w:t>
            </w:r>
          </w:p>
          <w:p>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ascii="宋体" w:hAnsi="宋体" w:eastAsia="宋体" w:cs="宋体"/>
                <w:color w:val="auto"/>
                <w:sz w:val="24"/>
                <w:szCs w:val="24"/>
              </w:rPr>
            </w:pPr>
            <w:r>
              <w:rPr>
                <w:rFonts w:ascii="宋体" w:hAnsi="宋体" w:eastAsia="宋体" w:cs="宋体"/>
                <w:color w:val="auto"/>
                <w:spacing w:val="-2"/>
                <w:sz w:val="24"/>
                <w:szCs w:val="24"/>
              </w:rPr>
              <w:t>③加强对施工人员生态保护的宣传教育，以公告、宣传册发</w:t>
            </w:r>
            <w:r>
              <w:rPr>
                <w:rFonts w:ascii="宋体" w:hAnsi="宋体" w:eastAsia="宋体" w:cs="宋体"/>
                <w:color w:val="auto"/>
                <w:spacing w:val="-3"/>
                <w:sz w:val="24"/>
                <w:szCs w:val="24"/>
              </w:rPr>
              <w:t>放等形式，</w:t>
            </w:r>
            <w:r>
              <w:rPr>
                <w:rFonts w:ascii="宋体" w:hAnsi="宋体" w:eastAsia="宋体" w:cs="宋体"/>
                <w:color w:val="auto"/>
                <w:spacing w:val="-1"/>
                <w:sz w:val="24"/>
                <w:szCs w:val="24"/>
              </w:rPr>
              <w:t>教育施工人员，严禁施工人员非法猎捕野生动物。</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ascii="宋体" w:hAnsi="宋体" w:eastAsia="宋体" w:cs="宋体"/>
                <w:color w:val="auto"/>
                <w:sz w:val="24"/>
                <w:szCs w:val="24"/>
              </w:rPr>
            </w:pPr>
            <w:r>
              <w:rPr>
                <w:rFonts w:ascii="宋体" w:hAnsi="宋体" w:eastAsia="宋体" w:cs="宋体"/>
                <w:color w:val="auto"/>
                <w:spacing w:val="-1"/>
                <w:sz w:val="24"/>
                <w:szCs w:val="24"/>
              </w:rPr>
              <w:t>④执行环境监理制度，加强对施工人员的管理。</w:t>
            </w:r>
          </w:p>
          <w:p>
            <w:pPr>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textAlignment w:val="auto"/>
              <w:rPr>
                <w:rFonts w:ascii="宋体" w:hAnsi="宋体" w:eastAsia="宋体" w:cs="宋体"/>
                <w:color w:val="auto"/>
                <w:sz w:val="24"/>
                <w:szCs w:val="24"/>
              </w:rPr>
            </w:pPr>
            <w:r>
              <w:rPr>
                <w:rFonts w:ascii="宋体" w:hAnsi="宋体" w:eastAsia="宋体" w:cs="宋体"/>
                <w:color w:val="auto"/>
                <w:spacing w:val="-4"/>
                <w:sz w:val="24"/>
                <w:szCs w:val="24"/>
              </w:rPr>
              <w:t>⑤在施工建设期，加强防护。如在临时居住区竖立防火警示牌、划出可</w:t>
            </w:r>
            <w:r>
              <w:rPr>
                <w:rFonts w:hint="eastAsia" w:ascii="宋体" w:hAnsi="宋体" w:eastAsia="宋体" w:cs="宋体"/>
                <w:color w:val="auto"/>
                <w:spacing w:val="-4"/>
                <w:sz w:val="24"/>
                <w:szCs w:val="24"/>
                <w:lang w:eastAsia="zh-CN"/>
              </w:rPr>
              <w:t>生火</w:t>
            </w:r>
            <w:r>
              <w:rPr>
                <w:rFonts w:ascii="宋体" w:hAnsi="宋体" w:eastAsia="宋体" w:cs="宋体"/>
                <w:color w:val="auto"/>
                <w:spacing w:val="-1"/>
                <w:sz w:val="24"/>
                <w:szCs w:val="24"/>
              </w:rPr>
              <w:t>范围，做好消防队伍及设施的建设工作，预防和杜绝火灾。</w:t>
            </w:r>
          </w:p>
          <w:p>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ascii="宋体" w:hAnsi="宋体" w:eastAsia="宋体" w:cs="宋体"/>
                <w:color w:val="auto"/>
                <w:sz w:val="24"/>
                <w:szCs w:val="24"/>
              </w:rPr>
            </w:pPr>
            <w:r>
              <w:rPr>
                <w:rFonts w:hint="eastAsia" w:ascii="Times New Roman" w:hAnsi="Times New Roman" w:eastAsia="宋体" w:cs="Times New Roman"/>
                <w:color w:val="auto"/>
                <w:spacing w:val="-2"/>
                <w:sz w:val="24"/>
                <w:szCs w:val="24"/>
                <w:lang w:eastAsia="zh-CN"/>
              </w:rPr>
              <w:t>（2）</w:t>
            </w:r>
            <w:r>
              <w:rPr>
                <w:rFonts w:ascii="宋体" w:hAnsi="宋体" w:eastAsia="宋体" w:cs="宋体"/>
                <w:color w:val="auto"/>
                <w:spacing w:val="-2"/>
                <w:sz w:val="24"/>
                <w:szCs w:val="24"/>
              </w:rPr>
              <w:t>减缓措施</w:t>
            </w:r>
          </w:p>
          <w:p>
            <w:pPr>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textAlignment w:val="auto"/>
              <w:rPr>
                <w:rFonts w:ascii="宋体" w:hAnsi="宋体" w:eastAsia="宋体" w:cs="宋体"/>
                <w:color w:val="auto"/>
                <w:sz w:val="24"/>
                <w:szCs w:val="24"/>
              </w:rPr>
            </w:pPr>
            <w:r>
              <w:rPr>
                <w:rFonts w:ascii="宋体" w:hAnsi="宋体" w:eastAsia="宋体" w:cs="宋体"/>
                <w:color w:val="auto"/>
                <w:spacing w:val="-4"/>
                <w:sz w:val="24"/>
                <w:szCs w:val="24"/>
              </w:rPr>
              <w:t>①在施工时，施工活动要保证在征地范围内进行，施工便道及临时用地</w:t>
            </w:r>
            <w:r>
              <w:rPr>
                <w:rFonts w:ascii="宋体" w:hAnsi="宋体" w:eastAsia="宋体" w:cs="宋体"/>
                <w:color w:val="auto"/>
                <w:spacing w:val="-2"/>
                <w:sz w:val="24"/>
                <w:szCs w:val="24"/>
              </w:rPr>
              <w:t>要采取“永临结合</w:t>
            </w:r>
            <w:r>
              <w:rPr>
                <w:rFonts w:ascii="宋体" w:hAnsi="宋体" w:eastAsia="宋体" w:cs="宋体"/>
                <w:color w:val="auto"/>
                <w:spacing w:val="-88"/>
                <w:sz w:val="24"/>
                <w:szCs w:val="24"/>
              </w:rPr>
              <w:t xml:space="preserve"> </w:t>
            </w:r>
            <w:r>
              <w:rPr>
                <w:rFonts w:ascii="宋体" w:hAnsi="宋体" w:eastAsia="宋体" w:cs="宋体"/>
                <w:color w:val="auto"/>
                <w:spacing w:val="-2"/>
                <w:sz w:val="24"/>
                <w:szCs w:val="24"/>
              </w:rPr>
              <w:t>”方式，减少对耕地的占</w:t>
            </w:r>
            <w:r>
              <w:rPr>
                <w:rFonts w:ascii="宋体" w:hAnsi="宋体" w:eastAsia="宋体" w:cs="宋体"/>
                <w:color w:val="auto"/>
                <w:spacing w:val="-3"/>
                <w:sz w:val="24"/>
                <w:szCs w:val="24"/>
              </w:rPr>
              <w:t>用。</w:t>
            </w:r>
          </w:p>
          <w:p>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ascii="宋体" w:hAnsi="宋体" w:eastAsia="宋体" w:cs="宋体"/>
                <w:color w:val="auto"/>
                <w:sz w:val="24"/>
                <w:szCs w:val="24"/>
              </w:rPr>
            </w:pPr>
            <w:r>
              <w:rPr>
                <w:rFonts w:ascii="宋体" w:hAnsi="宋体" w:eastAsia="宋体" w:cs="宋体"/>
                <w:color w:val="auto"/>
                <w:spacing w:val="-2"/>
                <w:sz w:val="24"/>
                <w:szCs w:val="24"/>
              </w:rPr>
              <w:t>②采用封闭式施工方式，尽量减少对陆生脊椎动物及其栖息</w:t>
            </w:r>
            <w:r>
              <w:rPr>
                <w:rFonts w:ascii="宋体" w:hAnsi="宋体" w:eastAsia="宋体" w:cs="宋体"/>
                <w:color w:val="auto"/>
                <w:spacing w:val="-3"/>
                <w:sz w:val="24"/>
                <w:szCs w:val="24"/>
              </w:rPr>
              <w:t>地的破坏，</w:t>
            </w:r>
            <w:r>
              <w:rPr>
                <w:rFonts w:ascii="宋体" w:hAnsi="宋体" w:eastAsia="宋体" w:cs="宋体"/>
                <w:color w:val="auto"/>
                <w:spacing w:val="-4"/>
                <w:sz w:val="24"/>
                <w:szCs w:val="24"/>
              </w:rPr>
              <w:t>施工中避免破坏野生动物的洞穴、窝巢等，对工程建设区内的各类生物群落</w:t>
            </w:r>
            <w:r>
              <w:rPr>
                <w:rFonts w:ascii="宋体" w:hAnsi="宋体" w:eastAsia="宋体" w:cs="宋体"/>
                <w:color w:val="auto"/>
                <w:spacing w:val="-2"/>
                <w:sz w:val="24"/>
                <w:szCs w:val="24"/>
              </w:rPr>
              <w:t>予以保护。</w:t>
            </w:r>
          </w:p>
          <w:p>
            <w:pPr>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textAlignment w:val="auto"/>
              <w:rPr>
                <w:rFonts w:ascii="宋体" w:hAnsi="宋体" w:eastAsia="宋体" w:cs="宋体"/>
                <w:color w:val="auto"/>
                <w:sz w:val="24"/>
                <w:szCs w:val="24"/>
              </w:rPr>
            </w:pPr>
            <w:r>
              <w:rPr>
                <w:rFonts w:ascii="宋体" w:hAnsi="宋体" w:eastAsia="宋体" w:cs="宋体"/>
                <w:color w:val="auto"/>
                <w:spacing w:val="-4"/>
                <w:sz w:val="24"/>
                <w:szCs w:val="24"/>
              </w:rPr>
              <w:t>③减少施工面裸露时间：施工单位应随时施工，随时保护，以减少施工</w:t>
            </w:r>
            <w:r>
              <w:rPr>
                <w:rFonts w:ascii="宋体" w:hAnsi="宋体" w:eastAsia="宋体" w:cs="宋体"/>
                <w:color w:val="auto"/>
                <w:spacing w:val="-1"/>
                <w:sz w:val="24"/>
                <w:szCs w:val="24"/>
              </w:rPr>
              <w:t>面裸露时间。避免对周围灌木林的影响。</w:t>
            </w:r>
          </w:p>
          <w:p>
            <w:pPr>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textAlignment w:val="auto"/>
              <w:rPr>
                <w:rFonts w:ascii="宋体" w:hAnsi="宋体" w:eastAsia="宋体" w:cs="宋体"/>
                <w:color w:val="auto"/>
                <w:spacing w:val="-1"/>
                <w:sz w:val="24"/>
                <w:szCs w:val="24"/>
              </w:rPr>
            </w:pPr>
            <w:r>
              <w:rPr>
                <w:rFonts w:ascii="宋体" w:hAnsi="宋体" w:eastAsia="宋体" w:cs="宋体"/>
                <w:color w:val="auto"/>
                <w:spacing w:val="-4"/>
                <w:sz w:val="24"/>
                <w:szCs w:val="24"/>
              </w:rPr>
              <w:t>④新建道路施工过程中应先将表土进行剥离，送至指定地点堆放，并加盖防风抑尘网进行覆盖，施工结束后，表土用于植被恢复和复耕，对道路周边撒播草籽或栽植行道树，严格落实水土保持方案中道路施工防治措施，防</w:t>
            </w:r>
            <w:r>
              <w:rPr>
                <w:rFonts w:ascii="宋体" w:hAnsi="宋体" w:eastAsia="宋体" w:cs="宋体"/>
                <w:color w:val="auto"/>
                <w:spacing w:val="-1"/>
                <w:sz w:val="24"/>
                <w:szCs w:val="24"/>
              </w:rPr>
              <w:t>止水土流失，以减少对生态环境的影响。</w:t>
            </w:r>
          </w:p>
          <w:p>
            <w:pPr>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textAlignment w:val="auto"/>
              <w:rPr>
                <w:rFonts w:ascii="宋体" w:hAnsi="宋体" w:eastAsia="宋体" w:cs="宋体"/>
                <w:color w:val="auto"/>
                <w:spacing w:val="-2"/>
                <w:sz w:val="24"/>
                <w:szCs w:val="24"/>
              </w:rPr>
            </w:pPr>
            <w:r>
              <w:rPr>
                <w:rFonts w:ascii="宋体" w:hAnsi="宋体" w:eastAsia="宋体" w:cs="宋体"/>
                <w:color w:val="auto"/>
                <w:spacing w:val="-4"/>
                <w:sz w:val="24"/>
                <w:szCs w:val="24"/>
              </w:rPr>
              <w:t>⑤对动土区域进行表土剥离，专门堆置，并采取防扬尘防流失措施；边</w:t>
            </w:r>
            <w:r>
              <w:rPr>
                <w:rFonts w:ascii="宋体" w:hAnsi="宋体" w:eastAsia="宋体" w:cs="宋体"/>
                <w:color w:val="auto"/>
                <w:spacing w:val="-2"/>
                <w:sz w:val="24"/>
                <w:szCs w:val="24"/>
              </w:rPr>
              <w:t>建设边进行表土恢复。</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ascii="宋体" w:hAnsi="宋体" w:eastAsia="宋体" w:cs="宋体"/>
                <w:color w:val="auto"/>
                <w:sz w:val="24"/>
                <w:szCs w:val="24"/>
              </w:rPr>
            </w:pPr>
            <w:r>
              <w:rPr>
                <w:rFonts w:ascii="宋体" w:hAnsi="宋体" w:eastAsia="宋体" w:cs="宋体"/>
                <w:color w:val="auto"/>
                <w:spacing w:val="-1"/>
                <w:sz w:val="24"/>
                <w:szCs w:val="24"/>
              </w:rPr>
              <w:t>⑥弃土弃渣送到指定地点堆放，禁止顺坡倾倒。</w:t>
            </w:r>
          </w:p>
          <w:p>
            <w:pPr>
              <w:spacing w:before="176" w:line="286" w:lineRule="auto"/>
              <w:ind w:left="110" w:right="102" w:firstLine="475"/>
              <w:rPr>
                <w:rFonts w:ascii="宋体" w:hAnsi="宋体" w:eastAsia="宋体" w:cs="宋体"/>
                <w:color w:val="auto"/>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Before w:val="1"/>
          <w:wBefore w:w="10" w:type="pct"/>
          <w:trHeight w:val="13807" w:hRule="atLeast"/>
          <w:jc w:val="center"/>
        </w:trPr>
        <w:tc>
          <w:tcPr>
            <w:tcW w:w="344" w:type="pct"/>
            <w:gridSpan w:val="3"/>
            <w:tcBorders>
              <w:right w:val="single" w:color="000000" w:sz="2" w:space="0"/>
            </w:tcBorders>
            <w:vAlign w:val="top"/>
          </w:tcPr>
          <w:p>
            <w:pPr>
              <w:rPr>
                <w:rFonts w:ascii="Arial"/>
                <w:color w:val="auto"/>
                <w:sz w:val="21"/>
              </w:rPr>
            </w:pPr>
          </w:p>
        </w:tc>
        <w:tc>
          <w:tcPr>
            <w:tcW w:w="4645" w:type="pct"/>
            <w:gridSpan w:val="2"/>
            <w:tcBorders>
              <w:left w:val="single" w:color="000000" w:sz="2" w:space="0"/>
            </w:tcBorders>
            <w:vAlign w:val="top"/>
          </w:tcPr>
          <w:p>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ascii="宋体" w:hAnsi="宋体" w:eastAsia="宋体" w:cs="宋体"/>
                <w:color w:val="auto"/>
                <w:sz w:val="24"/>
                <w:szCs w:val="24"/>
              </w:rPr>
            </w:pPr>
            <w:r>
              <w:rPr>
                <w:rFonts w:hint="eastAsia" w:ascii="Times New Roman" w:hAnsi="Times New Roman" w:eastAsia="宋体" w:cs="Times New Roman"/>
                <w:color w:val="auto"/>
                <w:spacing w:val="-2"/>
                <w:sz w:val="24"/>
                <w:szCs w:val="24"/>
                <w:lang w:eastAsia="zh-CN"/>
              </w:rPr>
              <w:t>（3）</w:t>
            </w:r>
            <w:r>
              <w:rPr>
                <w:rFonts w:ascii="宋体" w:hAnsi="宋体" w:eastAsia="宋体" w:cs="宋体"/>
                <w:color w:val="auto"/>
                <w:spacing w:val="-2"/>
                <w:sz w:val="24"/>
                <w:szCs w:val="24"/>
              </w:rPr>
              <w:t>恢复措施</w:t>
            </w:r>
          </w:p>
          <w:p>
            <w:pPr>
              <w:keepNext w:val="0"/>
              <w:keepLines w:val="0"/>
              <w:pageBreakBefore w:val="0"/>
              <w:widowControl w:val="0"/>
              <w:kinsoku/>
              <w:wordWrap/>
              <w:overflowPunct/>
              <w:topLinePunct w:val="0"/>
              <w:autoSpaceDE/>
              <w:autoSpaceDN/>
              <w:bidi w:val="0"/>
              <w:adjustRightInd/>
              <w:snapToGrid/>
              <w:spacing w:line="360" w:lineRule="auto"/>
              <w:ind w:left="0" w:right="0" w:firstLine="496" w:firstLineChars="200"/>
              <w:textAlignment w:val="auto"/>
              <w:rPr>
                <w:rFonts w:ascii="宋体" w:hAnsi="宋体" w:eastAsia="宋体" w:cs="宋体"/>
                <w:color w:val="auto"/>
                <w:sz w:val="24"/>
                <w:szCs w:val="24"/>
              </w:rPr>
            </w:pPr>
            <w:r>
              <w:rPr>
                <w:rFonts w:ascii="宋体" w:hAnsi="宋体" w:eastAsia="宋体" w:cs="宋体"/>
                <w:color w:val="auto"/>
                <w:spacing w:val="4"/>
                <w:sz w:val="24"/>
                <w:szCs w:val="24"/>
              </w:rPr>
              <w:t>①应严格按照水土保持方案中采取的措施对各水土流失防治区进行植</w:t>
            </w:r>
            <w:r>
              <w:rPr>
                <w:rFonts w:ascii="宋体" w:hAnsi="宋体" w:eastAsia="宋体" w:cs="宋体"/>
                <w:color w:val="auto"/>
                <w:spacing w:val="-3"/>
                <w:sz w:val="24"/>
                <w:szCs w:val="24"/>
              </w:rPr>
              <w:t>被恢复。</w:t>
            </w:r>
          </w:p>
          <w:p>
            <w:pPr>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textAlignment w:val="auto"/>
              <w:rPr>
                <w:rFonts w:ascii="宋体" w:hAnsi="宋体" w:eastAsia="宋体" w:cs="宋体"/>
                <w:color w:val="auto"/>
                <w:sz w:val="24"/>
                <w:szCs w:val="24"/>
              </w:rPr>
            </w:pPr>
            <w:r>
              <w:rPr>
                <w:rFonts w:ascii="宋体" w:hAnsi="宋体" w:eastAsia="宋体" w:cs="宋体"/>
                <w:color w:val="auto"/>
                <w:spacing w:val="-4"/>
                <w:sz w:val="24"/>
                <w:szCs w:val="24"/>
              </w:rPr>
              <w:t>②施工结束后，及时对</w:t>
            </w:r>
            <w:r>
              <w:rPr>
                <w:rFonts w:hint="eastAsia" w:ascii="宋体" w:hAnsi="宋体" w:eastAsia="宋体" w:cs="宋体"/>
                <w:color w:val="auto"/>
                <w:spacing w:val="-4"/>
                <w:sz w:val="24"/>
                <w:szCs w:val="24"/>
                <w:lang w:eastAsia="zh-CN"/>
              </w:rPr>
              <w:t>储能站</w:t>
            </w:r>
            <w:r>
              <w:rPr>
                <w:rFonts w:ascii="宋体" w:hAnsi="宋体" w:eastAsia="宋体" w:cs="宋体"/>
                <w:color w:val="auto"/>
                <w:spacing w:val="-4"/>
                <w:sz w:val="24"/>
                <w:szCs w:val="24"/>
              </w:rPr>
              <w:t>区内未硬化的地面全部进行平整，并恢复植被。可以采用栽植灌木，林下撒播草籽的方式进行绿化，尽量选择当地物</w:t>
            </w:r>
            <w:r>
              <w:rPr>
                <w:rFonts w:ascii="宋体" w:hAnsi="宋体" w:eastAsia="宋体" w:cs="宋体"/>
                <w:color w:val="auto"/>
                <w:spacing w:val="-5"/>
                <w:sz w:val="24"/>
                <w:szCs w:val="24"/>
              </w:rPr>
              <w:t>种。</w:t>
            </w:r>
          </w:p>
          <w:p>
            <w:pPr>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textAlignment w:val="auto"/>
              <w:rPr>
                <w:rFonts w:ascii="宋体" w:hAnsi="宋体" w:eastAsia="宋体" w:cs="宋体"/>
                <w:color w:val="auto"/>
                <w:sz w:val="24"/>
                <w:szCs w:val="24"/>
              </w:rPr>
            </w:pPr>
            <w:r>
              <w:rPr>
                <w:rFonts w:ascii="宋体" w:hAnsi="宋体" w:eastAsia="宋体" w:cs="宋体"/>
                <w:color w:val="auto"/>
                <w:spacing w:val="-4"/>
                <w:sz w:val="24"/>
                <w:szCs w:val="24"/>
              </w:rPr>
              <w:t>③运营期加强巡护管理，监测生态恢复效果，对植被恢复不佳区域及时</w:t>
            </w:r>
            <w:r>
              <w:rPr>
                <w:rFonts w:ascii="宋体" w:hAnsi="宋体" w:eastAsia="宋体" w:cs="宋体"/>
                <w:color w:val="auto"/>
                <w:spacing w:val="-2"/>
                <w:sz w:val="24"/>
                <w:szCs w:val="24"/>
              </w:rPr>
              <w:t>补种补栽。</w:t>
            </w:r>
          </w:p>
          <w:p>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ascii="宋体" w:hAnsi="宋体" w:eastAsia="宋体" w:cs="宋体"/>
                <w:color w:val="auto"/>
                <w:sz w:val="24"/>
                <w:szCs w:val="24"/>
              </w:rPr>
            </w:pPr>
            <w:r>
              <w:rPr>
                <w:rFonts w:hint="eastAsia" w:ascii="Times New Roman" w:hAnsi="Times New Roman" w:eastAsia="宋体" w:cs="Times New Roman"/>
                <w:color w:val="auto"/>
                <w:spacing w:val="-2"/>
                <w:sz w:val="24"/>
                <w:szCs w:val="24"/>
                <w:lang w:eastAsia="zh-CN"/>
              </w:rPr>
              <w:t>（4）</w:t>
            </w:r>
            <w:r>
              <w:rPr>
                <w:rFonts w:ascii="宋体" w:hAnsi="宋体" w:eastAsia="宋体" w:cs="宋体"/>
                <w:color w:val="auto"/>
                <w:spacing w:val="-2"/>
                <w:sz w:val="24"/>
                <w:szCs w:val="24"/>
              </w:rPr>
              <w:t>水土流失防治措施</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宋体" w:hAnsi="宋体" w:eastAsia="宋体" w:cs="宋体"/>
                <w:color w:val="auto"/>
                <w:sz w:val="24"/>
                <w:szCs w:val="24"/>
              </w:rPr>
            </w:pPr>
            <w:r>
              <w:rPr>
                <w:rFonts w:ascii="宋体" w:hAnsi="宋体" w:eastAsia="宋体" w:cs="宋体"/>
                <w:color w:val="auto"/>
                <w:sz w:val="24"/>
                <w:szCs w:val="24"/>
              </w:rPr>
              <w:t>施工开始前需进行表土剥离并储存，在施工</w:t>
            </w:r>
            <w:r>
              <w:rPr>
                <w:rFonts w:ascii="宋体" w:hAnsi="宋体" w:eastAsia="宋体" w:cs="宋体"/>
                <w:color w:val="auto"/>
                <w:spacing w:val="-1"/>
                <w:sz w:val="24"/>
                <w:szCs w:val="24"/>
              </w:rPr>
              <w:t>结</w:t>
            </w:r>
            <w:r>
              <w:rPr>
                <w:rFonts w:hint="eastAsia" w:ascii="宋体" w:hAnsi="宋体" w:eastAsia="宋体" w:cs="宋体"/>
                <w:color w:val="auto"/>
                <w:spacing w:val="-1"/>
                <w:sz w:val="24"/>
                <w:szCs w:val="24"/>
                <w:lang w:eastAsia="zh-CN"/>
              </w:rPr>
              <w:t>束后</w:t>
            </w:r>
            <w:r>
              <w:rPr>
                <w:rFonts w:ascii="宋体" w:hAnsi="宋体" w:eastAsia="宋体" w:cs="宋体"/>
                <w:color w:val="auto"/>
                <w:spacing w:val="-1"/>
                <w:sz w:val="24"/>
                <w:szCs w:val="24"/>
              </w:rPr>
              <w:t>恢复植被时使用。</w:t>
            </w:r>
          </w:p>
          <w:p>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ascii="宋体" w:hAnsi="宋体" w:eastAsia="宋体" w:cs="宋体"/>
                <w:color w:val="auto"/>
                <w:sz w:val="24"/>
                <w:szCs w:val="24"/>
              </w:rPr>
            </w:pPr>
            <w:r>
              <w:rPr>
                <w:rFonts w:hint="eastAsia" w:ascii="Times New Roman" w:hAnsi="Times New Roman" w:eastAsia="宋体" w:cs="Times New Roman"/>
                <w:color w:val="auto"/>
                <w:spacing w:val="-2"/>
                <w:sz w:val="24"/>
                <w:szCs w:val="24"/>
                <w:lang w:eastAsia="zh-CN"/>
              </w:rPr>
              <w:t>1）</w:t>
            </w:r>
            <w:r>
              <w:rPr>
                <w:rFonts w:ascii="宋体" w:hAnsi="宋体" w:eastAsia="宋体" w:cs="宋体"/>
                <w:color w:val="auto"/>
                <w:spacing w:val="-2"/>
                <w:sz w:val="24"/>
                <w:szCs w:val="24"/>
              </w:rPr>
              <w:t>基础施工的水土保持措施</w:t>
            </w:r>
          </w:p>
          <w:p>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ascii="宋体" w:hAnsi="宋体" w:eastAsia="宋体" w:cs="宋体"/>
                <w:color w:val="auto"/>
                <w:sz w:val="24"/>
                <w:szCs w:val="24"/>
              </w:rPr>
            </w:pPr>
            <w:r>
              <w:rPr>
                <w:rFonts w:ascii="宋体" w:hAnsi="宋体" w:eastAsia="宋体" w:cs="宋体"/>
                <w:color w:val="auto"/>
                <w:spacing w:val="-2"/>
                <w:sz w:val="24"/>
                <w:szCs w:val="24"/>
              </w:rPr>
              <w:t>①表土剥离</w:t>
            </w:r>
          </w:p>
          <w:p>
            <w:pPr>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textAlignment w:val="auto"/>
              <w:rPr>
                <w:rFonts w:ascii="宋体" w:hAnsi="宋体" w:eastAsia="宋体" w:cs="宋体"/>
                <w:color w:val="auto"/>
                <w:sz w:val="24"/>
                <w:szCs w:val="24"/>
              </w:rPr>
            </w:pPr>
            <w:r>
              <w:rPr>
                <w:rFonts w:ascii="宋体" w:hAnsi="宋体" w:eastAsia="宋体" w:cs="宋体"/>
                <w:color w:val="auto"/>
                <w:spacing w:val="-4"/>
                <w:sz w:val="24"/>
                <w:szCs w:val="24"/>
              </w:rPr>
              <w:t>施工前对施工临时占地进行表土剥离集中堆存于场地一角，采用机械剥</w:t>
            </w:r>
            <w:r>
              <w:rPr>
                <w:rFonts w:ascii="宋体" w:hAnsi="宋体" w:eastAsia="宋体" w:cs="宋体"/>
                <w:color w:val="auto"/>
                <w:spacing w:val="-7"/>
                <w:sz w:val="24"/>
                <w:szCs w:val="24"/>
              </w:rPr>
              <w:t>离。</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ascii="宋体" w:hAnsi="宋体" w:eastAsia="宋体" w:cs="宋体"/>
                <w:color w:val="auto"/>
                <w:sz w:val="24"/>
                <w:szCs w:val="24"/>
              </w:rPr>
            </w:pPr>
            <w:r>
              <w:rPr>
                <w:rFonts w:ascii="宋体" w:hAnsi="宋体" w:eastAsia="宋体" w:cs="宋体"/>
                <w:color w:val="auto"/>
                <w:spacing w:val="-1"/>
                <w:sz w:val="24"/>
                <w:szCs w:val="24"/>
              </w:rPr>
              <w:t>②土地整治、表土回覆</w:t>
            </w:r>
          </w:p>
          <w:p>
            <w:pPr>
              <w:keepNext w:val="0"/>
              <w:keepLines w:val="0"/>
              <w:pageBreakBefore w:val="0"/>
              <w:widowControl w:val="0"/>
              <w:kinsoku/>
              <w:wordWrap/>
              <w:overflowPunct/>
              <w:topLinePunct w:val="0"/>
              <w:autoSpaceDE/>
              <w:autoSpaceDN/>
              <w:bidi w:val="0"/>
              <w:adjustRightInd/>
              <w:snapToGrid/>
              <w:spacing w:line="360" w:lineRule="auto"/>
              <w:ind w:left="0" w:right="0" w:firstLine="496" w:firstLineChars="200"/>
              <w:textAlignment w:val="auto"/>
              <w:rPr>
                <w:rFonts w:ascii="宋体" w:hAnsi="宋体" w:eastAsia="宋体" w:cs="宋体"/>
                <w:color w:val="auto"/>
                <w:sz w:val="24"/>
                <w:szCs w:val="24"/>
              </w:rPr>
            </w:pPr>
            <w:r>
              <w:rPr>
                <w:rFonts w:ascii="宋体" w:hAnsi="宋体" w:eastAsia="宋体" w:cs="宋体"/>
                <w:color w:val="auto"/>
                <w:spacing w:val="4"/>
                <w:sz w:val="24"/>
                <w:szCs w:val="24"/>
              </w:rPr>
              <w:t>施工结束后对施工临时占地清理地表杂物，疏松地表土壤进行土地整</w:t>
            </w:r>
            <w:r>
              <w:rPr>
                <w:rFonts w:ascii="宋体" w:hAnsi="宋体" w:eastAsia="宋体" w:cs="宋体"/>
                <w:color w:val="auto"/>
                <w:spacing w:val="-3"/>
                <w:sz w:val="24"/>
                <w:szCs w:val="24"/>
              </w:rPr>
              <w:t>治、回覆表土。</w:t>
            </w:r>
          </w:p>
          <w:p>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ascii="宋体" w:hAnsi="宋体" w:eastAsia="宋体" w:cs="宋体"/>
                <w:color w:val="auto"/>
                <w:sz w:val="24"/>
                <w:szCs w:val="24"/>
              </w:rPr>
            </w:pPr>
            <w:r>
              <w:rPr>
                <w:rFonts w:ascii="宋体" w:hAnsi="宋体" w:eastAsia="宋体" w:cs="宋体"/>
                <w:color w:val="auto"/>
                <w:spacing w:val="-2"/>
                <w:sz w:val="24"/>
                <w:szCs w:val="24"/>
              </w:rPr>
              <w:t>③植草防护</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ascii="宋体" w:hAnsi="宋体" w:eastAsia="宋体" w:cs="宋体"/>
                <w:color w:val="auto"/>
                <w:sz w:val="24"/>
                <w:szCs w:val="24"/>
              </w:rPr>
            </w:pPr>
            <w:r>
              <w:rPr>
                <w:rFonts w:ascii="宋体" w:hAnsi="宋体" w:eastAsia="宋体" w:cs="宋体"/>
                <w:color w:val="auto"/>
                <w:spacing w:val="-1"/>
                <w:sz w:val="24"/>
                <w:szCs w:val="24"/>
              </w:rPr>
              <w:t>施工结束后对永久占地范围可绿化范围撒播草籽防护。</w:t>
            </w:r>
          </w:p>
          <w:p>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ascii="宋体" w:hAnsi="宋体" w:eastAsia="宋体" w:cs="宋体"/>
                <w:color w:val="auto"/>
                <w:sz w:val="24"/>
                <w:szCs w:val="24"/>
              </w:rPr>
            </w:pPr>
            <w:r>
              <w:rPr>
                <w:rFonts w:ascii="宋体" w:hAnsi="宋体" w:eastAsia="宋体" w:cs="宋体"/>
                <w:color w:val="auto"/>
                <w:spacing w:val="-2"/>
                <w:sz w:val="24"/>
                <w:szCs w:val="24"/>
              </w:rPr>
              <w:t>④临时排水</w:t>
            </w:r>
          </w:p>
          <w:p>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ascii="宋体" w:hAnsi="宋体" w:eastAsia="宋体" w:cs="宋体"/>
                <w:color w:val="auto"/>
                <w:spacing w:val="-2"/>
                <w:sz w:val="24"/>
                <w:szCs w:val="24"/>
              </w:rPr>
            </w:pPr>
            <w:r>
              <w:rPr>
                <w:rFonts w:ascii="宋体" w:hAnsi="宋体" w:eastAsia="宋体" w:cs="宋体"/>
                <w:color w:val="auto"/>
                <w:spacing w:val="-2"/>
                <w:sz w:val="24"/>
                <w:szCs w:val="24"/>
              </w:rPr>
              <w:t>在场地周边采取开挖排水沟措施，用以防止外部雨水汇入施工场地。</w:t>
            </w:r>
          </w:p>
          <w:p>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ascii="宋体" w:hAnsi="宋体" w:eastAsia="宋体" w:cs="宋体"/>
                <w:color w:val="auto"/>
                <w:sz w:val="24"/>
                <w:szCs w:val="24"/>
              </w:rPr>
            </w:pPr>
            <w:r>
              <w:rPr>
                <w:rFonts w:ascii="宋体" w:hAnsi="宋体" w:eastAsia="宋体" w:cs="宋体"/>
                <w:color w:val="auto"/>
                <w:spacing w:val="-2"/>
                <w:sz w:val="24"/>
                <w:szCs w:val="24"/>
              </w:rPr>
              <w:t>⑤沉沙池</w:t>
            </w:r>
          </w:p>
          <w:p>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ascii="宋体" w:hAnsi="宋体" w:eastAsia="宋体" w:cs="宋体"/>
                <w:color w:val="auto"/>
                <w:sz w:val="24"/>
                <w:szCs w:val="24"/>
              </w:rPr>
            </w:pPr>
            <w:r>
              <w:rPr>
                <w:rFonts w:ascii="宋体" w:hAnsi="宋体" w:eastAsia="宋体" w:cs="宋体"/>
                <w:color w:val="auto"/>
                <w:spacing w:val="-2"/>
                <w:sz w:val="24"/>
                <w:szCs w:val="24"/>
              </w:rPr>
              <w:t>施工期在排水沟尾端设置沉沙池，沉沙池集水可用于场地</w:t>
            </w:r>
            <w:r>
              <w:rPr>
                <w:rFonts w:ascii="宋体" w:hAnsi="宋体" w:eastAsia="宋体" w:cs="宋体"/>
                <w:color w:val="auto"/>
                <w:spacing w:val="-3"/>
                <w:sz w:val="24"/>
                <w:szCs w:val="24"/>
              </w:rPr>
              <w:t>内洒水降尘，</w:t>
            </w:r>
            <w:r>
              <w:rPr>
                <w:rFonts w:ascii="宋体" w:hAnsi="宋体" w:eastAsia="宋体" w:cs="宋体"/>
                <w:color w:val="auto"/>
                <w:spacing w:val="-1"/>
                <w:sz w:val="24"/>
                <w:szCs w:val="24"/>
              </w:rPr>
              <w:t>不外排，施工结束后进行回填。</w:t>
            </w:r>
          </w:p>
          <w:p>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ascii="宋体" w:hAnsi="宋体" w:eastAsia="宋体" w:cs="宋体"/>
                <w:color w:val="auto"/>
                <w:sz w:val="24"/>
                <w:szCs w:val="24"/>
              </w:rPr>
            </w:pPr>
            <w:r>
              <w:rPr>
                <w:rFonts w:ascii="宋体" w:hAnsi="宋体" w:eastAsia="宋体" w:cs="宋体"/>
                <w:color w:val="auto"/>
                <w:spacing w:val="-2"/>
                <w:sz w:val="24"/>
                <w:szCs w:val="24"/>
              </w:rPr>
              <w:t>⑥防尘网覆盖</w:t>
            </w:r>
          </w:p>
          <w:p>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ascii="宋体" w:hAnsi="宋体" w:eastAsia="宋体" w:cs="宋体"/>
                <w:color w:val="auto"/>
                <w:sz w:val="24"/>
                <w:szCs w:val="24"/>
              </w:rPr>
            </w:pPr>
            <w:r>
              <w:rPr>
                <w:rFonts w:ascii="宋体" w:hAnsi="宋体" w:eastAsia="宋体" w:cs="宋体"/>
                <w:color w:val="auto"/>
                <w:spacing w:val="-2"/>
                <w:sz w:val="24"/>
                <w:szCs w:val="24"/>
              </w:rPr>
              <w:t>临时堆土表面覆盖防尘网。</w:t>
            </w:r>
          </w:p>
          <w:p>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ascii="宋体" w:hAnsi="宋体" w:eastAsia="宋体" w:cs="宋体"/>
                <w:color w:val="auto"/>
                <w:sz w:val="24"/>
                <w:szCs w:val="24"/>
              </w:rPr>
            </w:pPr>
            <w:r>
              <w:rPr>
                <w:rFonts w:ascii="宋体" w:hAnsi="宋体" w:eastAsia="宋体" w:cs="宋体"/>
                <w:color w:val="auto"/>
                <w:spacing w:val="-2"/>
                <w:sz w:val="24"/>
                <w:szCs w:val="24"/>
              </w:rPr>
              <w:t>⑦临时拦挡</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eastAsia" w:ascii="宋体" w:hAnsi="宋体" w:eastAsia="宋体" w:cs="宋体"/>
                <w:color w:val="auto"/>
                <w:sz w:val="24"/>
                <w:szCs w:val="24"/>
                <w:lang w:eastAsia="zh-CN"/>
              </w:rPr>
            </w:pPr>
            <w:r>
              <w:rPr>
                <w:rFonts w:ascii="宋体" w:hAnsi="宋体" w:eastAsia="宋体" w:cs="宋体"/>
                <w:color w:val="auto"/>
                <w:spacing w:val="-1"/>
                <w:sz w:val="24"/>
                <w:szCs w:val="24"/>
              </w:rPr>
              <w:t>临时堆土坡脚处设置袋装土拦挡，采用梯形断</w:t>
            </w:r>
            <w:r>
              <w:rPr>
                <w:rFonts w:ascii="宋体" w:hAnsi="宋体" w:eastAsia="宋体" w:cs="宋体"/>
                <w:color w:val="auto"/>
                <w:spacing w:val="-2"/>
                <w:sz w:val="24"/>
                <w:szCs w:val="24"/>
              </w:rPr>
              <w:t>面。</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ascii="宋体" w:hAnsi="宋体" w:eastAsia="宋体" w:cs="宋体"/>
                <w:color w:val="auto"/>
                <w:sz w:val="24"/>
                <w:szCs w:val="24"/>
              </w:rPr>
            </w:pPr>
            <w:r>
              <w:rPr>
                <w:rFonts w:hint="eastAsia" w:ascii="Times New Roman" w:hAnsi="Times New Roman" w:eastAsia="宋体" w:cs="Times New Roman"/>
                <w:color w:val="auto"/>
                <w:spacing w:val="-1"/>
                <w:sz w:val="24"/>
                <w:szCs w:val="24"/>
                <w:lang w:eastAsia="zh-CN"/>
              </w:rPr>
              <w:t>3）</w:t>
            </w:r>
            <w:r>
              <w:rPr>
                <w:rFonts w:ascii="宋体" w:hAnsi="宋体" w:eastAsia="宋体" w:cs="宋体"/>
                <w:color w:val="auto"/>
                <w:spacing w:val="-1"/>
                <w:sz w:val="24"/>
                <w:szCs w:val="24"/>
              </w:rPr>
              <w:t>临时占地的水土保持措施</w:t>
            </w:r>
          </w:p>
          <w:p>
            <w:pPr>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textAlignment w:val="auto"/>
              <w:rPr>
                <w:rFonts w:ascii="宋体" w:hAnsi="宋体" w:eastAsia="宋体" w:cs="宋体"/>
                <w:color w:val="auto"/>
                <w:sz w:val="24"/>
                <w:szCs w:val="24"/>
              </w:rPr>
            </w:pPr>
            <w:r>
              <w:rPr>
                <w:rFonts w:ascii="宋体" w:hAnsi="宋体" w:eastAsia="宋体" w:cs="宋体"/>
                <w:color w:val="auto"/>
                <w:spacing w:val="-4"/>
                <w:sz w:val="24"/>
                <w:szCs w:val="24"/>
              </w:rPr>
              <w:t>施工结束后，施工单位应及时拆除临时建筑物，清理和平整场地，对裸</w:t>
            </w:r>
            <w:r>
              <w:rPr>
                <w:rFonts w:ascii="宋体" w:hAnsi="宋体" w:eastAsia="宋体" w:cs="宋体"/>
                <w:color w:val="auto"/>
                <w:spacing w:val="-1"/>
                <w:sz w:val="24"/>
                <w:szCs w:val="24"/>
              </w:rPr>
              <w:t>露的地面覆土并采用撒播原地带性植被的方式进行恢复。</w:t>
            </w:r>
          </w:p>
          <w:p>
            <w:pPr>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ascii="宋体" w:hAnsi="宋体" w:eastAsia="宋体" w:cs="宋体"/>
                <w:color w:val="auto"/>
                <w:sz w:val="24"/>
                <w:szCs w:val="24"/>
              </w:rPr>
            </w:pPr>
            <w:r>
              <w:rPr>
                <w:rFonts w:ascii="宋体" w:hAnsi="宋体" w:eastAsia="宋体" w:cs="宋体"/>
                <w:color w:val="auto"/>
                <w:spacing w:val="-4"/>
                <w:sz w:val="24"/>
                <w:szCs w:val="24"/>
              </w:rPr>
              <w:t>在施工结束后将及时对临时占地进行植被恢复。本项目建设只在短期内对区域地表植被的生态环境产生较小的影响，植被恢复措施完成后，区域内的地表植被生物量不会明显减少，工程建设对区域陆生生态环境不会产生明</w:t>
            </w:r>
            <w:r>
              <w:rPr>
                <w:rFonts w:ascii="宋体" w:hAnsi="宋体" w:eastAsia="宋体" w:cs="宋体"/>
                <w:color w:val="auto"/>
                <w:spacing w:val="-3"/>
                <w:sz w:val="24"/>
                <w:szCs w:val="24"/>
              </w:rPr>
              <w:t>显影响。</w:t>
            </w:r>
          </w:p>
          <w:p>
            <w:pPr>
              <w:spacing w:before="1" w:line="212" w:lineRule="auto"/>
              <w:ind w:left="589"/>
              <w:rPr>
                <w:rFonts w:ascii="宋体" w:hAnsi="宋体" w:eastAsia="宋体" w:cs="宋体"/>
                <w:color w:val="auto"/>
                <w:sz w:val="24"/>
                <w:szCs w:val="24"/>
              </w:rPr>
            </w:pPr>
            <w:r>
              <w:rPr>
                <w:rFonts w:hint="eastAsia" w:ascii="Times New Roman" w:hAnsi="Times New Roman" w:eastAsia="宋体" w:cs="Times New Roman"/>
                <w:color w:val="auto"/>
                <w:spacing w:val="-2"/>
                <w:sz w:val="24"/>
                <w:szCs w:val="24"/>
                <w:lang w:val="en-US" w:eastAsia="zh-CN"/>
              </w:rPr>
              <w:t>4</w:t>
            </w:r>
            <w:r>
              <w:rPr>
                <w:rFonts w:hint="eastAsia" w:ascii="Times New Roman" w:hAnsi="Times New Roman" w:eastAsia="宋体" w:cs="Times New Roman"/>
                <w:color w:val="auto"/>
                <w:spacing w:val="-2"/>
                <w:sz w:val="24"/>
                <w:szCs w:val="24"/>
                <w:lang w:eastAsia="zh-CN"/>
              </w:rPr>
              <w:t>）</w:t>
            </w:r>
            <w:r>
              <w:rPr>
                <w:rFonts w:ascii="宋体" w:hAnsi="宋体" w:eastAsia="宋体" w:cs="宋体"/>
                <w:color w:val="auto"/>
                <w:spacing w:val="-2"/>
                <w:sz w:val="24"/>
                <w:szCs w:val="24"/>
              </w:rPr>
              <w:t>防沙治沙措施</w:t>
            </w:r>
          </w:p>
          <w:p>
            <w:pPr>
              <w:spacing w:before="183" w:line="354" w:lineRule="auto"/>
              <w:ind w:left="125" w:right="102" w:firstLine="463"/>
              <w:rPr>
                <w:rFonts w:ascii="宋体" w:hAnsi="宋体" w:eastAsia="宋体" w:cs="宋体"/>
                <w:color w:val="auto"/>
                <w:sz w:val="24"/>
                <w:szCs w:val="24"/>
              </w:rPr>
            </w:pPr>
            <w:r>
              <w:rPr>
                <w:rFonts w:ascii="宋体" w:hAnsi="宋体" w:eastAsia="宋体" w:cs="宋体"/>
                <w:color w:val="auto"/>
                <w:spacing w:val="-4"/>
                <w:sz w:val="24"/>
                <w:szCs w:val="24"/>
              </w:rPr>
              <w:t>本</w:t>
            </w:r>
            <w:r>
              <w:rPr>
                <w:rFonts w:hint="eastAsia" w:ascii="宋体" w:hAnsi="宋体" w:eastAsia="宋体" w:cs="宋体"/>
                <w:color w:val="auto"/>
                <w:spacing w:val="-4"/>
                <w:sz w:val="24"/>
                <w:szCs w:val="24"/>
                <w:lang w:eastAsia="zh-CN"/>
              </w:rPr>
              <w:t>项目</w:t>
            </w:r>
            <w:r>
              <w:rPr>
                <w:rFonts w:ascii="宋体" w:hAnsi="宋体" w:eastAsia="宋体" w:cs="宋体"/>
                <w:color w:val="auto"/>
                <w:spacing w:val="-4"/>
                <w:sz w:val="24"/>
                <w:szCs w:val="24"/>
              </w:rPr>
              <w:t>位于</w:t>
            </w:r>
            <w:r>
              <w:rPr>
                <w:rFonts w:hint="eastAsia" w:ascii="Times New Roman" w:hAnsi="Times New Roman" w:eastAsia="宋体" w:cs="Times New Roman"/>
                <w:color w:val="auto"/>
                <w:sz w:val="24"/>
                <w:szCs w:val="24"/>
                <w:vertAlign w:val="baseline"/>
                <w:lang w:eastAsia="zh-CN"/>
              </w:rPr>
              <w:t>朝阳市龙城区边杖子镇新房村、朱杖子村</w:t>
            </w:r>
            <w:r>
              <w:rPr>
                <w:rFonts w:ascii="宋体" w:hAnsi="宋体" w:eastAsia="宋体" w:cs="宋体"/>
                <w:color w:val="auto"/>
                <w:spacing w:val="-4"/>
                <w:sz w:val="24"/>
                <w:szCs w:val="24"/>
              </w:rPr>
              <w:t>，位于沙</w:t>
            </w:r>
            <w:r>
              <w:rPr>
                <w:rFonts w:ascii="宋体" w:hAnsi="宋体" w:eastAsia="宋体" w:cs="宋体"/>
                <w:color w:val="auto"/>
                <w:spacing w:val="-6"/>
                <w:sz w:val="24"/>
                <w:szCs w:val="24"/>
              </w:rPr>
              <w:t>区范围内。</w:t>
            </w:r>
          </w:p>
          <w:p>
            <w:pPr>
              <w:spacing w:before="1" w:line="354" w:lineRule="auto"/>
              <w:ind w:left="105" w:right="102" w:firstLine="481"/>
              <w:jc w:val="both"/>
              <w:rPr>
                <w:rFonts w:ascii="宋体" w:hAnsi="宋体" w:eastAsia="宋体" w:cs="宋体"/>
                <w:color w:val="auto"/>
                <w:sz w:val="24"/>
                <w:szCs w:val="24"/>
              </w:rPr>
            </w:pPr>
            <w:r>
              <w:rPr>
                <w:rFonts w:ascii="宋体" w:hAnsi="宋体" w:eastAsia="宋体" w:cs="宋体"/>
                <w:color w:val="auto"/>
                <w:spacing w:val="4"/>
                <w:sz w:val="24"/>
                <w:szCs w:val="24"/>
              </w:rPr>
              <w:t>根据《中华人民共和国防沙治沙法》和《河北</w:t>
            </w:r>
            <w:r>
              <w:rPr>
                <w:rFonts w:ascii="宋体" w:hAnsi="宋体" w:eastAsia="宋体" w:cs="宋体"/>
                <w:color w:val="auto"/>
                <w:spacing w:val="3"/>
                <w:sz w:val="24"/>
                <w:szCs w:val="24"/>
              </w:rPr>
              <w:t>省防沙治沙规划（</w:t>
            </w:r>
            <w:r>
              <w:rPr>
                <w:rFonts w:ascii="Times New Roman" w:hAnsi="Times New Roman" w:eastAsia="Times New Roman" w:cs="Times New Roman"/>
                <w:color w:val="auto"/>
                <w:spacing w:val="3"/>
                <w:sz w:val="24"/>
                <w:szCs w:val="24"/>
              </w:rPr>
              <w:t>2021</w:t>
            </w:r>
            <w:r>
              <w:rPr>
                <w:rFonts w:ascii="Times New Roman" w:hAnsi="Times New Roman" w:eastAsia="Times New Roman" w:cs="Times New Roman"/>
                <w:color w:val="auto"/>
                <w:sz w:val="24"/>
                <w:szCs w:val="24"/>
              </w:rPr>
              <w:t xml:space="preserve"> </w:t>
            </w:r>
            <w:r>
              <w:rPr>
                <w:rFonts w:ascii="宋体" w:hAnsi="宋体" w:eastAsia="宋体" w:cs="宋体"/>
                <w:color w:val="auto"/>
                <w:spacing w:val="2"/>
                <w:sz w:val="24"/>
                <w:szCs w:val="24"/>
              </w:rPr>
              <w:t>—</w:t>
            </w:r>
            <w:r>
              <w:rPr>
                <w:rFonts w:ascii="Times New Roman" w:hAnsi="Times New Roman" w:eastAsia="Times New Roman" w:cs="Times New Roman"/>
                <w:color w:val="auto"/>
                <w:spacing w:val="2"/>
                <w:sz w:val="24"/>
                <w:szCs w:val="24"/>
              </w:rPr>
              <w:t xml:space="preserve">2030 </w:t>
            </w:r>
            <w:r>
              <w:rPr>
                <w:rFonts w:ascii="宋体" w:hAnsi="宋体" w:eastAsia="宋体" w:cs="宋体"/>
                <w:color w:val="auto"/>
                <w:spacing w:val="2"/>
                <w:sz w:val="24"/>
                <w:szCs w:val="24"/>
              </w:rPr>
              <w:t>年）》，针对项目区施工过程，提出如下措</w:t>
            </w:r>
            <w:r>
              <w:rPr>
                <w:rFonts w:ascii="宋体" w:hAnsi="宋体" w:eastAsia="宋体" w:cs="宋体"/>
                <w:color w:val="auto"/>
                <w:spacing w:val="1"/>
                <w:sz w:val="24"/>
                <w:szCs w:val="24"/>
              </w:rPr>
              <w:t>施：场地平整后，采取</w:t>
            </w:r>
            <w:r>
              <w:rPr>
                <w:rFonts w:ascii="宋体" w:hAnsi="宋体" w:eastAsia="宋体" w:cs="宋体"/>
                <w:color w:val="auto"/>
                <w:spacing w:val="-4"/>
                <w:sz w:val="24"/>
                <w:szCs w:val="24"/>
              </w:rPr>
              <w:t>砾石压盖，加盖抑尘网，减少水土流失；项目区位置应根据场地周边植被分布情况，在满足设计要求的前提下进行适当的调整，以减少占地，减少土地</w:t>
            </w:r>
            <w:r>
              <w:rPr>
                <w:rFonts w:ascii="宋体" w:hAnsi="宋体" w:eastAsia="宋体" w:cs="宋体"/>
                <w:color w:val="auto"/>
                <w:spacing w:val="-1"/>
                <w:sz w:val="24"/>
                <w:szCs w:val="24"/>
              </w:rPr>
              <w:t>开挖，严格控制施工区域，避免土地过度开挖造成土地沙化。</w:t>
            </w:r>
          </w:p>
          <w:p>
            <w:pPr>
              <w:keepNext w:val="0"/>
              <w:keepLines w:val="0"/>
              <w:pageBreakBefore w:val="0"/>
              <w:widowControl w:val="0"/>
              <w:kinsoku/>
              <w:wordWrap/>
              <w:overflowPunct/>
              <w:topLinePunct w:val="0"/>
              <w:autoSpaceDE/>
              <w:autoSpaceDN/>
              <w:bidi w:val="0"/>
              <w:adjustRightInd/>
              <w:snapToGrid/>
              <w:spacing w:before="1" w:line="353" w:lineRule="auto"/>
              <w:ind w:left="105" w:leftChars="50" w:right="105" w:rightChars="50" w:firstLine="464" w:firstLineChars="200"/>
              <w:textAlignment w:val="auto"/>
              <w:rPr>
                <w:rFonts w:ascii="宋体" w:hAnsi="宋体" w:eastAsia="宋体" w:cs="宋体"/>
                <w:color w:val="auto"/>
                <w:spacing w:val="-3"/>
                <w:sz w:val="24"/>
                <w:szCs w:val="24"/>
              </w:rPr>
            </w:pPr>
            <w:r>
              <w:rPr>
                <w:rFonts w:ascii="宋体" w:hAnsi="宋体" w:eastAsia="宋体" w:cs="宋体"/>
                <w:color w:val="auto"/>
                <w:spacing w:val="-4"/>
                <w:sz w:val="24"/>
                <w:szCs w:val="24"/>
              </w:rPr>
              <w:t>针对施工机械及运输车辆，提出如下措施：施工期间应划定施工活动范围，减少压占植被面积，尽量选取植被较少区域作为施工活动区，风机施工</w:t>
            </w:r>
            <w:r>
              <w:rPr>
                <w:rFonts w:ascii="宋体" w:hAnsi="宋体" w:eastAsia="宋体" w:cs="宋体"/>
                <w:color w:val="auto"/>
                <w:spacing w:val="-9"/>
                <w:sz w:val="24"/>
                <w:szCs w:val="24"/>
              </w:rPr>
              <w:t>开挖表土与回填土分开单独堆放，临时堆放在施工区内，并采取密目网苫盖，</w:t>
            </w:r>
            <w:r>
              <w:rPr>
                <w:rFonts w:ascii="宋体" w:hAnsi="宋体" w:eastAsia="宋体" w:cs="宋体"/>
                <w:color w:val="auto"/>
                <w:spacing w:val="-4"/>
                <w:sz w:val="24"/>
                <w:szCs w:val="24"/>
              </w:rPr>
              <w:t>设置围挡，加盖苫布等措施，减少土地沙化和水土流失，施工完</w:t>
            </w:r>
            <w:r>
              <w:rPr>
                <w:rFonts w:hint="eastAsia" w:ascii="宋体" w:hAnsi="宋体" w:eastAsia="宋体" w:cs="宋体"/>
                <w:color w:val="auto"/>
                <w:spacing w:val="-4"/>
                <w:sz w:val="24"/>
                <w:szCs w:val="24"/>
                <w:lang w:eastAsia="zh-CN"/>
              </w:rPr>
              <w:t>成后</w:t>
            </w:r>
            <w:r>
              <w:rPr>
                <w:rFonts w:ascii="宋体" w:hAnsi="宋体" w:eastAsia="宋体" w:cs="宋体"/>
                <w:color w:val="auto"/>
                <w:spacing w:val="-4"/>
                <w:sz w:val="24"/>
                <w:szCs w:val="24"/>
              </w:rPr>
              <w:t>及时回覆表土，及时复垦，因地制宜恢复临时占地地表植被，加种当地优势作物沙地鸭梨等，泼洒草籽等方式</w:t>
            </w:r>
            <w:r>
              <w:rPr>
                <w:rFonts w:hint="eastAsia" w:ascii="宋体" w:hAnsi="宋体" w:eastAsia="宋体" w:cs="宋体"/>
                <w:color w:val="auto"/>
                <w:spacing w:val="-4"/>
                <w:sz w:val="24"/>
                <w:szCs w:val="24"/>
                <w:lang w:eastAsia="zh-CN"/>
              </w:rPr>
              <w:t>，让</w:t>
            </w:r>
            <w:r>
              <w:rPr>
                <w:rFonts w:ascii="宋体" w:hAnsi="宋体" w:eastAsia="宋体" w:cs="宋体"/>
                <w:color w:val="auto"/>
                <w:spacing w:val="-4"/>
                <w:sz w:val="24"/>
                <w:szCs w:val="24"/>
              </w:rPr>
              <w:t>农田区域尽快恢复种植，及时恢复原有地貌，提高防风固沙能力；在道路两侧和河湖周边，建设城乡一体、功能完善的防护林体系，充分发挥其降噪除尘、防止水土流失、防风固沙等生态功能；施工临时道路应尽可能利用机耕路等现有道路</w:t>
            </w:r>
            <w:r>
              <w:rPr>
                <w:rFonts w:hint="eastAsia" w:ascii="宋体" w:hAnsi="宋体" w:eastAsia="宋体" w:cs="宋体"/>
                <w:color w:val="auto"/>
                <w:spacing w:val="-4"/>
                <w:sz w:val="24"/>
                <w:szCs w:val="24"/>
                <w:lang w:eastAsia="zh-CN"/>
              </w:rPr>
              <w:t>，在</w:t>
            </w:r>
            <w:r>
              <w:rPr>
                <w:rFonts w:ascii="宋体" w:hAnsi="宋体" w:eastAsia="宋体" w:cs="宋体"/>
                <w:color w:val="auto"/>
                <w:spacing w:val="-4"/>
                <w:sz w:val="24"/>
                <w:szCs w:val="24"/>
              </w:rPr>
              <w:t>道路两侧补种优势物种和泼洒草籽的方式，以减少临时道路工程对生态环境的影响，对新建和改建道路，严格控制施工作业区，施工表土就近堆放，设置硬质围挡，对剥离表土加盖苫布，抑尘网等措施，减少水土流失，施工结</w:t>
            </w:r>
            <w:r>
              <w:rPr>
                <w:rFonts w:hint="eastAsia" w:ascii="宋体" w:hAnsi="宋体" w:eastAsia="宋体" w:cs="宋体"/>
                <w:color w:val="auto"/>
                <w:spacing w:val="-4"/>
                <w:sz w:val="24"/>
                <w:szCs w:val="24"/>
                <w:lang w:eastAsia="zh-CN"/>
              </w:rPr>
              <w:t>束后</w:t>
            </w:r>
            <w:r>
              <w:rPr>
                <w:rFonts w:ascii="宋体" w:hAnsi="宋体" w:eastAsia="宋体" w:cs="宋体"/>
                <w:color w:val="auto"/>
                <w:spacing w:val="-4"/>
                <w:sz w:val="24"/>
                <w:szCs w:val="24"/>
              </w:rPr>
              <w:t>及时回填，及时复垦，在</w:t>
            </w:r>
            <w:r>
              <w:rPr>
                <w:rFonts w:ascii="宋体" w:hAnsi="宋体" w:eastAsia="宋体" w:cs="宋体"/>
                <w:color w:val="auto"/>
                <w:spacing w:val="-9"/>
                <w:sz w:val="24"/>
                <w:szCs w:val="24"/>
              </w:rPr>
              <w:t>道路两侧，种植当地优势物种，泼洒草籽</w:t>
            </w:r>
            <w:r>
              <w:rPr>
                <w:rFonts w:hint="eastAsia" w:ascii="宋体" w:hAnsi="宋体" w:eastAsia="宋体" w:cs="宋体"/>
                <w:color w:val="auto"/>
                <w:spacing w:val="-9"/>
                <w:sz w:val="24"/>
                <w:szCs w:val="24"/>
                <w:lang w:eastAsia="zh-CN"/>
              </w:rPr>
              <w:t>等方式</w:t>
            </w:r>
            <w:r>
              <w:rPr>
                <w:rFonts w:ascii="宋体" w:hAnsi="宋体" w:eastAsia="宋体" w:cs="宋体"/>
                <w:color w:val="auto"/>
                <w:spacing w:val="-9"/>
                <w:sz w:val="24"/>
                <w:szCs w:val="24"/>
              </w:rPr>
              <w:t>，避免土地沙化；</w:t>
            </w:r>
            <w:r>
              <w:rPr>
                <w:rFonts w:ascii="宋体" w:hAnsi="宋体" w:eastAsia="宋体" w:cs="宋体"/>
                <w:color w:val="auto"/>
                <w:spacing w:val="-4"/>
                <w:sz w:val="24"/>
                <w:szCs w:val="24"/>
              </w:rPr>
              <w:t>加强地下水资源开发利用监督管理，建立科学的用水制度，优化配置和合理调度水资源，合理安排工农业生产和人民生活用水，保证生活生态用水，推广应用节水措施，减少地下水开采。施工过程中提高水资源利用效率，切实节约用水，施工用水由附近村庄购买，不开采地下水，采用水车拉水，施工</w:t>
            </w:r>
            <w:r>
              <w:rPr>
                <w:rFonts w:ascii="宋体" w:hAnsi="宋体" w:eastAsia="宋体" w:cs="宋体"/>
                <w:color w:val="auto"/>
                <w:sz w:val="24"/>
                <w:szCs w:val="24"/>
              </w:rPr>
              <w:t>废水经简单沉淀处理后循环利用，泼洒抑尘，</w:t>
            </w:r>
            <w:r>
              <w:rPr>
                <w:rFonts w:ascii="宋体" w:hAnsi="宋体" w:eastAsia="宋体" w:cs="宋体"/>
                <w:color w:val="auto"/>
                <w:spacing w:val="-1"/>
                <w:sz w:val="24"/>
                <w:szCs w:val="24"/>
              </w:rPr>
              <w:t>浇灌植被等，不外排。</w:t>
            </w:r>
            <w:r>
              <w:rPr>
                <w:rFonts w:ascii="宋体" w:hAnsi="宋体" w:eastAsia="宋体" w:cs="宋体"/>
                <w:color w:val="auto"/>
                <w:spacing w:val="-4"/>
                <w:sz w:val="24"/>
                <w:szCs w:val="24"/>
              </w:rPr>
              <w:t>施工结束后，对施工作业区进行定期巡查，补种当地优势作物，泼洒草</w:t>
            </w:r>
            <w:r>
              <w:rPr>
                <w:rFonts w:ascii="宋体" w:hAnsi="宋体" w:eastAsia="宋体" w:cs="宋体"/>
                <w:color w:val="auto"/>
                <w:spacing w:val="-1"/>
                <w:sz w:val="24"/>
                <w:szCs w:val="24"/>
              </w:rPr>
              <w:t>籽等方式，避免土地沙化加剧。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 w:type="pct"/>
          <w:trHeight w:val="90" w:hRule="atLeast"/>
          <w:jc w:val="center"/>
        </w:trPr>
        <w:tc>
          <w:tcPr>
            <w:tcW w:w="324" w:type="pct"/>
            <w:gridSpan w:val="3"/>
            <w:tcBorders>
              <w:right w:val="single" w:color="000000" w:sz="2" w:space="0"/>
            </w:tcBorders>
            <w:vAlign w:val="top"/>
          </w:tcPr>
          <w:p>
            <w:pPr>
              <w:rPr>
                <w:rFonts w:ascii="Arial"/>
                <w:color w:val="auto"/>
                <w:sz w:val="21"/>
              </w:rPr>
            </w:pPr>
          </w:p>
        </w:tc>
        <w:tc>
          <w:tcPr>
            <w:tcW w:w="4674" w:type="pct"/>
            <w:gridSpan w:val="2"/>
            <w:tcBorders>
              <w:left w:val="single" w:color="000000" w:sz="2" w:space="0"/>
            </w:tcBorders>
            <w:vAlign w:val="top"/>
          </w:tcPr>
          <w:p>
            <w:pPr>
              <w:spacing w:before="8" w:line="353" w:lineRule="auto"/>
              <w:ind w:left="107" w:right="40" w:firstLine="480"/>
              <w:jc w:val="both"/>
              <w:rPr>
                <w:rFonts w:ascii="宋体" w:hAnsi="宋体" w:eastAsia="宋体" w:cs="宋体"/>
                <w:color w:val="auto"/>
                <w:sz w:val="24"/>
                <w:szCs w:val="24"/>
              </w:rPr>
            </w:pPr>
            <w:r>
              <w:rPr>
                <w:rFonts w:ascii="宋体" w:hAnsi="宋体" w:eastAsia="宋体" w:cs="宋体"/>
                <w:color w:val="auto"/>
                <w:spacing w:val="-2"/>
                <w:sz w:val="24"/>
                <w:szCs w:val="24"/>
              </w:rPr>
              <w:t>本项目防沙治沙工程建设单位为第一责任人，施工队作为措施落实方，</w:t>
            </w:r>
            <w:r>
              <w:rPr>
                <w:rFonts w:ascii="宋体" w:hAnsi="宋体" w:eastAsia="宋体" w:cs="宋体"/>
                <w:color w:val="auto"/>
                <w:spacing w:val="-9"/>
                <w:sz w:val="24"/>
                <w:szCs w:val="24"/>
              </w:rPr>
              <w:t>属于主要责任人。建设单位应在施工队施工过程中，提出具体的目标及要求，并落实到具体人员。邀请各级林业部门组织开展多层次、多形式的技术培训，</w:t>
            </w:r>
            <w:r>
              <w:rPr>
                <w:rFonts w:ascii="宋体" w:hAnsi="宋体" w:eastAsia="宋体" w:cs="宋体"/>
                <w:color w:val="auto"/>
                <w:spacing w:val="-4"/>
                <w:sz w:val="24"/>
                <w:szCs w:val="24"/>
              </w:rPr>
              <w:t>加强参与防沙治沙工程的人员的培训工作，使其掌握防沙治沙工程建设、管理的基本技术要求，增强人员主动参与防沙治沙能力和积极性。项目建设的各个环节过程中，加强人员的节水意识，避免铺张浪费，提高水的重复利用</w:t>
            </w:r>
            <w:r>
              <w:rPr>
                <w:rFonts w:ascii="宋体" w:hAnsi="宋体" w:eastAsia="宋体" w:cs="宋体"/>
                <w:color w:val="auto"/>
                <w:spacing w:val="-5"/>
                <w:sz w:val="24"/>
                <w:szCs w:val="24"/>
              </w:rPr>
              <w:t>性。</w:t>
            </w:r>
          </w:p>
          <w:p>
            <w:pPr>
              <w:spacing w:line="218" w:lineRule="auto"/>
              <w:ind w:left="590"/>
              <w:rPr>
                <w:rFonts w:ascii="宋体" w:hAnsi="宋体" w:eastAsia="宋体" w:cs="宋体"/>
                <w:color w:val="auto"/>
                <w:sz w:val="24"/>
                <w:szCs w:val="24"/>
              </w:rPr>
            </w:pPr>
            <w:r>
              <w:rPr>
                <w:rFonts w:ascii="宋体" w:hAnsi="宋体" w:eastAsia="宋体" w:cs="宋体"/>
                <w:color w:val="auto"/>
                <w:spacing w:val="-1"/>
                <w:sz w:val="24"/>
                <w:szCs w:val="24"/>
              </w:rPr>
              <w:t>综上所述，本项目建设不会造成</w:t>
            </w:r>
            <w:r>
              <w:rPr>
                <w:rFonts w:hint="eastAsia" w:ascii="宋体" w:hAnsi="宋体" w:eastAsia="宋体" w:cs="宋体"/>
                <w:color w:val="auto"/>
                <w:spacing w:val="-1"/>
                <w:sz w:val="24"/>
                <w:szCs w:val="24"/>
                <w:lang w:val="en-US" w:eastAsia="zh-CN"/>
              </w:rPr>
              <w:t>当地</w:t>
            </w:r>
            <w:r>
              <w:rPr>
                <w:rFonts w:ascii="宋体" w:hAnsi="宋体" w:eastAsia="宋体" w:cs="宋体"/>
                <w:color w:val="auto"/>
                <w:spacing w:val="-1"/>
                <w:sz w:val="24"/>
                <w:szCs w:val="24"/>
              </w:rPr>
              <w:t>土地沙化恶化。</w:t>
            </w:r>
          </w:p>
          <w:p>
            <w:pPr>
              <w:spacing w:before="174" w:line="220" w:lineRule="auto"/>
              <w:ind w:left="583"/>
              <w:rPr>
                <w:rFonts w:ascii="宋体" w:hAnsi="宋体" w:eastAsia="宋体" w:cs="宋体"/>
                <w:b/>
                <w:bCs/>
                <w:color w:val="auto"/>
                <w:sz w:val="24"/>
                <w:szCs w:val="24"/>
              </w:rPr>
            </w:pPr>
            <w:r>
              <w:rPr>
                <w:rFonts w:ascii="Times New Roman" w:hAnsi="Times New Roman" w:eastAsia="Times New Roman" w:cs="Times New Roman"/>
                <w:b/>
                <w:bCs/>
                <w:color w:val="auto"/>
                <w:spacing w:val="-3"/>
                <w:sz w:val="24"/>
                <w:szCs w:val="24"/>
              </w:rPr>
              <w:t>2</w:t>
            </w:r>
            <w:r>
              <w:rPr>
                <w:rFonts w:ascii="Times New Roman" w:hAnsi="Times New Roman" w:eastAsia="Times New Roman" w:cs="Times New Roman"/>
                <w:b/>
                <w:bCs/>
                <w:color w:val="auto"/>
                <w:spacing w:val="-34"/>
                <w:sz w:val="24"/>
                <w:szCs w:val="24"/>
              </w:rPr>
              <w:t xml:space="preserve"> </w:t>
            </w:r>
            <w:r>
              <w:rPr>
                <w:rFonts w:ascii="宋体" w:hAnsi="宋体" w:eastAsia="宋体" w:cs="宋体"/>
                <w:b/>
                <w:bCs/>
                <w:color w:val="auto"/>
                <w:spacing w:val="-3"/>
                <w:sz w:val="24"/>
                <w:szCs w:val="24"/>
              </w:rPr>
              <w:t>、施工期污染防治措施</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lang w:eastAsia="zh-CN"/>
              </w:rPr>
              <w:t>（1）</w:t>
            </w:r>
            <w:r>
              <w:rPr>
                <w:rFonts w:hint="default" w:ascii="Times New Roman" w:hAnsi="Times New Roman" w:eastAsia="宋体" w:cs="Times New Roman"/>
                <w:color w:val="auto"/>
                <w:spacing w:val="-1"/>
                <w:sz w:val="24"/>
                <w:szCs w:val="24"/>
              </w:rPr>
              <w:t>施工期废气污染防治措施</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rPr>
              <w:t>评价建议在施工期采取以下措施：</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lang w:eastAsia="zh-CN"/>
              </w:rPr>
              <w:t>1）</w:t>
            </w:r>
            <w:r>
              <w:rPr>
                <w:rFonts w:hint="default" w:ascii="Times New Roman" w:hAnsi="Times New Roman" w:eastAsia="宋体" w:cs="Times New Roman"/>
                <w:color w:val="auto"/>
                <w:spacing w:val="-1"/>
                <w:sz w:val="24"/>
                <w:szCs w:val="24"/>
              </w:rPr>
              <w:t>施工单位文明施工，加强施工期的环境管理和环境监控工作，并接受环境保护部门的监督管理。施工场地出口应设置车辆冲洗设施，设置冲洗槽和沉淀池，车辆驶出施工场地前，应将车厢外和轮胎冲洗干净，确保出场运输车辆清洗率达到100%，避免车辆将泥土带到道路上产生二次扬尘，冲洗水沉淀后循环使用。</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lang w:eastAsia="zh-CN"/>
              </w:rPr>
              <w:t>2）</w:t>
            </w:r>
            <w:r>
              <w:rPr>
                <w:rFonts w:hint="default" w:ascii="Times New Roman" w:hAnsi="Times New Roman" w:eastAsia="宋体" w:cs="Times New Roman"/>
                <w:color w:val="auto"/>
                <w:spacing w:val="-1"/>
                <w:sz w:val="24"/>
                <w:szCs w:val="24"/>
              </w:rPr>
              <w:t>为避免混凝土搅拌产生大量扬尘污染，本项目直接购置成品混凝土并由罐车直接运至施工点。</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lang w:eastAsia="zh-CN"/>
              </w:rPr>
              <w:t>3）</w:t>
            </w:r>
            <w:r>
              <w:rPr>
                <w:rFonts w:hint="default" w:ascii="Times New Roman" w:hAnsi="Times New Roman" w:eastAsia="宋体" w:cs="Times New Roman"/>
                <w:color w:val="auto"/>
                <w:spacing w:val="-1"/>
                <w:sz w:val="24"/>
                <w:szCs w:val="24"/>
              </w:rPr>
              <w:t>施工期间做到“七个100%”，即工地周边围挡100%，物料堆放苫盖100%；出入车辆冲洗100%；施工道路、材料加工堆放区硬化100%；湿法作业100%；渣土车密闭运输100%；外脚手架安全立网张挂100%。</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rPr>
              <w:t>①在施工现场周围建筑防护围墙高度不低于2.5m，确保施工现场100%围蔽，场内道路、临时堆场及车辆进出道路应定时洒水，保持湿润，避免或减少产生扬尘。</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rPr>
              <w:t>②基础开挖过程中，应定时、及时洒水使施工区域保持一定的湿度，对施工场地内松散、干涸的表土，也应定时、及时洒水或采取临时覆盖措施防止起尘，做到施工场地100%覆盖。</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rPr>
              <w:t>③车辆运输散体材料和废弃物时，必须100%密闭、包扎、覆盖，不得沿途漏撒；运载土方的车辆必须在规定的时间内，按指定路段行驶，控制扬尘污染。</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rPr>
              <w:t>④加强材料转运与使用的管理，规范操作。进出场地的车辆限制车速，且出装卸场地前应先冲洗干净，减少车轮、底盘携带的泥土散落，做到出工地车辆100%冲净车轮。</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rPr>
              <w:t>⑤施工结束后，立即进行空地进行恢复。</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lang w:eastAsia="zh-CN"/>
              </w:rPr>
              <w:t>4）</w:t>
            </w:r>
            <w:r>
              <w:rPr>
                <w:rFonts w:hint="default" w:ascii="Times New Roman" w:hAnsi="Times New Roman" w:eastAsia="宋体" w:cs="Times New Roman"/>
                <w:color w:val="auto"/>
                <w:spacing w:val="-1"/>
                <w:sz w:val="24"/>
                <w:szCs w:val="24"/>
              </w:rPr>
              <w:t>施工过程中产生的建筑垃圾在施工期间应当及时清运；生活垃圾应当设置专用垃圾箱，做到日产日清。</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lang w:eastAsia="zh-CN"/>
              </w:rPr>
              <w:t>5）</w:t>
            </w:r>
            <w:r>
              <w:rPr>
                <w:rFonts w:hint="default" w:ascii="Times New Roman" w:hAnsi="Times New Roman" w:eastAsia="宋体" w:cs="Times New Roman"/>
                <w:color w:val="auto"/>
                <w:spacing w:val="-1"/>
                <w:sz w:val="24"/>
                <w:szCs w:val="24"/>
              </w:rPr>
              <w:t>临时堆场中堆存土方时，应合理堆放并定期洒水进行扬尘控制。</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lang w:eastAsia="zh-CN"/>
              </w:rPr>
              <w:t>6）</w:t>
            </w:r>
            <w:r>
              <w:rPr>
                <w:rFonts w:hint="default" w:ascii="Times New Roman" w:hAnsi="Times New Roman" w:eastAsia="宋体" w:cs="Times New Roman"/>
                <w:color w:val="auto"/>
                <w:spacing w:val="-1"/>
                <w:sz w:val="24"/>
                <w:szCs w:val="24"/>
              </w:rPr>
              <w:t>定期维护施工机械和运输车辆，保持车况良好，减少车辆尾气影响。施工单位应加强对施工人员的环境保护宣讲教育，</w:t>
            </w:r>
            <w:r>
              <w:rPr>
                <w:rFonts w:hint="default" w:ascii="Times New Roman" w:hAnsi="Times New Roman" w:eastAsia="宋体" w:cs="Times New Roman"/>
                <w:color w:val="auto"/>
                <w:spacing w:val="-1"/>
                <w:sz w:val="24"/>
                <w:szCs w:val="24"/>
                <w:lang w:eastAsia="zh-CN"/>
              </w:rPr>
              <w:t>增强</w:t>
            </w:r>
            <w:r>
              <w:rPr>
                <w:rFonts w:hint="default" w:ascii="Times New Roman" w:hAnsi="Times New Roman" w:eastAsia="宋体" w:cs="Times New Roman"/>
                <w:color w:val="auto"/>
                <w:spacing w:val="-1"/>
                <w:sz w:val="24"/>
                <w:szCs w:val="24"/>
              </w:rPr>
              <w:t>员工环保意识，从而使员工自觉地维护和遵守各项污染减缓措施，有利于各项措施的贯彻实施。</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采取上述措施后，本项目施工期废气对周围大气环境的影响在可接受范围内。</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lang w:eastAsia="zh-CN"/>
              </w:rPr>
              <w:t>（2）</w:t>
            </w:r>
            <w:r>
              <w:rPr>
                <w:rFonts w:hint="eastAsia" w:ascii="宋体" w:hAnsi="宋体" w:eastAsia="宋体" w:cs="宋体"/>
                <w:color w:val="auto"/>
                <w:spacing w:val="-1"/>
                <w:sz w:val="24"/>
                <w:szCs w:val="24"/>
              </w:rPr>
              <w:t>施工期废水处理措施</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lang w:eastAsia="zh-CN"/>
              </w:rPr>
              <w:t>1）</w:t>
            </w:r>
            <w:r>
              <w:rPr>
                <w:rFonts w:hint="eastAsia" w:ascii="宋体" w:hAnsi="宋体" w:eastAsia="宋体" w:cs="宋体"/>
                <w:color w:val="auto"/>
                <w:spacing w:val="-1"/>
                <w:sz w:val="24"/>
                <w:szCs w:val="24"/>
              </w:rPr>
              <w:t>施工人员的生活污水</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施工期设置临时生产生活区，设置防渗旱厕，由当地环卫部门定期处理，不外排。</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lang w:eastAsia="zh-CN"/>
              </w:rPr>
              <w:t>2）</w:t>
            </w:r>
            <w:r>
              <w:rPr>
                <w:rFonts w:hint="eastAsia" w:ascii="宋体" w:hAnsi="宋体" w:eastAsia="宋体" w:cs="宋体"/>
                <w:color w:val="auto"/>
                <w:spacing w:val="-1"/>
                <w:sz w:val="24"/>
                <w:szCs w:val="24"/>
              </w:rPr>
              <w:t>施工废水</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施工期建设单位应采取如下污水防治措施：</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①施工单位要做好施工场地周围的拦挡措施，尽量避免雨天开挖作业。</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eastAsia" w:ascii="宋体" w:hAnsi="宋体" w:eastAsia="宋体" w:cs="宋体"/>
                <w:color w:val="auto"/>
                <w:spacing w:val="-1"/>
                <w:sz w:val="24"/>
                <w:szCs w:val="24"/>
              </w:rPr>
            </w:pPr>
            <w:r>
              <w:rPr>
                <w:rFonts w:hint="eastAsia" w:ascii="宋体" w:hAnsi="宋体" w:eastAsia="宋体" w:cs="宋体"/>
                <w:color w:val="auto"/>
                <w:spacing w:val="-1"/>
                <w:sz w:val="24"/>
                <w:szCs w:val="24"/>
              </w:rPr>
              <w:t>②施工废水（车辆清洗等）经临时沉淀池去除悬浮物后回用不外排。</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ascii="宋体" w:hAnsi="宋体" w:eastAsia="宋体" w:cs="宋体"/>
                <w:color w:val="auto"/>
                <w:sz w:val="24"/>
                <w:szCs w:val="24"/>
              </w:rPr>
            </w:pPr>
            <w:r>
              <w:rPr>
                <w:rFonts w:hint="eastAsia" w:ascii="宋体" w:hAnsi="宋体" w:eastAsia="宋体" w:cs="宋体"/>
                <w:color w:val="auto"/>
                <w:spacing w:val="-1"/>
                <w:sz w:val="24"/>
                <w:szCs w:val="24"/>
              </w:rPr>
              <w:t>③输电线路施工人员生活污水利用输电线路沿线村镇居民现有污水处理设施（包括旱厕及化粪池）处理。</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lang w:eastAsia="zh-CN"/>
              </w:rPr>
              <w:t>（3）</w:t>
            </w:r>
            <w:r>
              <w:rPr>
                <w:rFonts w:hint="default" w:ascii="Times New Roman" w:hAnsi="Times New Roman" w:eastAsia="宋体" w:cs="Times New Roman"/>
                <w:color w:val="auto"/>
                <w:spacing w:val="-1"/>
                <w:sz w:val="24"/>
                <w:szCs w:val="24"/>
              </w:rPr>
              <w:t>施工期噪声防治措施</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lang w:eastAsia="zh-CN"/>
              </w:rPr>
              <w:t>1）</w:t>
            </w:r>
            <w:r>
              <w:rPr>
                <w:rFonts w:hint="default" w:ascii="Times New Roman" w:hAnsi="Times New Roman" w:eastAsia="宋体" w:cs="Times New Roman"/>
                <w:color w:val="auto"/>
                <w:spacing w:val="-1"/>
                <w:sz w:val="24"/>
                <w:szCs w:val="24"/>
              </w:rPr>
              <w:t>施工场地噪声</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rPr>
              <w:t>虽然施工期场地噪声可以达标排放，对环境影响小，但为将施工期噪声对环境的影响降至最低，评价提出以下噪声防治措施：</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rPr>
              <w:t>①降低声源的噪声强度。尽量选用低噪声设备，同时加强设备的日常维修保养，使施工机械保持良好的运行状态，避免高噪声设备在非正常状态下运转，有效缩小施工期噪声影响范围。</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rPr>
              <w:t>②加强施工噪声监督管理。在</w:t>
            </w:r>
            <w:r>
              <w:rPr>
                <w:rFonts w:hint="default" w:ascii="Times New Roman" w:hAnsi="Times New Roman" w:eastAsia="宋体" w:cs="Times New Roman"/>
                <w:color w:val="auto"/>
                <w:spacing w:val="-1"/>
                <w:sz w:val="24"/>
                <w:szCs w:val="24"/>
                <w:lang w:eastAsia="zh-CN"/>
              </w:rPr>
              <w:t>储能站</w:t>
            </w:r>
            <w:r>
              <w:rPr>
                <w:rFonts w:hint="default" w:ascii="Times New Roman" w:hAnsi="Times New Roman" w:eastAsia="宋体" w:cs="Times New Roman"/>
                <w:color w:val="auto"/>
                <w:spacing w:val="-1"/>
                <w:sz w:val="24"/>
                <w:szCs w:val="24"/>
              </w:rPr>
              <w:t>区距离村庄较近时，施工时间应在昼间进行，夜间不得进行施工，尽量减轻施工过程产生的机械噪声对环境的影响。</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rPr>
              <w:t>③对于以振动噪声为主的设备，可采取增加减振垫来降低噪声，一般降噪效果可达5～15dB</w:t>
            </w:r>
            <w:r>
              <w:rPr>
                <w:rFonts w:hint="eastAsia" w:ascii="Times New Roman" w:hAnsi="Times New Roman" w:eastAsia="宋体" w:cs="Times New Roman"/>
                <w:color w:val="auto"/>
                <w:spacing w:val="-1"/>
                <w:sz w:val="24"/>
                <w:szCs w:val="24"/>
                <w:lang w:eastAsia="zh-CN"/>
              </w:rPr>
              <w:t>（</w:t>
            </w:r>
            <w:r>
              <w:rPr>
                <w:rFonts w:hint="default" w:ascii="Times New Roman" w:hAnsi="Times New Roman" w:eastAsia="宋体" w:cs="Times New Roman"/>
                <w:color w:val="auto"/>
                <w:spacing w:val="-1"/>
                <w:sz w:val="24"/>
                <w:szCs w:val="24"/>
              </w:rPr>
              <w:t>A</w:t>
            </w:r>
            <w:r>
              <w:rPr>
                <w:rFonts w:hint="default" w:ascii="Times New Roman" w:hAnsi="Times New Roman" w:eastAsia="宋体" w:cs="Times New Roman"/>
                <w:color w:val="auto"/>
                <w:spacing w:val="-1"/>
                <w:sz w:val="24"/>
                <w:szCs w:val="24"/>
                <w:lang w:eastAsia="zh-CN"/>
              </w:rPr>
              <w:t>）</w:t>
            </w:r>
            <w:r>
              <w:rPr>
                <w:rFonts w:hint="default" w:ascii="Times New Roman" w:hAnsi="Times New Roman" w:eastAsia="宋体" w:cs="Times New Roman"/>
                <w:color w:val="auto"/>
                <w:spacing w:val="-1"/>
                <w:sz w:val="24"/>
                <w:szCs w:val="24"/>
              </w:rPr>
              <w:t>；对于以空气动力性噪声为主的设备，可加装隔声罩或增加吸声内衬垫方式进行降噪，降噪效率可达5～20dB</w:t>
            </w:r>
            <w:r>
              <w:rPr>
                <w:rFonts w:hint="eastAsia" w:ascii="Times New Roman" w:hAnsi="Times New Roman" w:eastAsia="宋体" w:cs="Times New Roman"/>
                <w:color w:val="auto"/>
                <w:spacing w:val="-1"/>
                <w:sz w:val="24"/>
                <w:szCs w:val="24"/>
                <w:lang w:eastAsia="zh-CN"/>
              </w:rPr>
              <w:t>（</w:t>
            </w:r>
            <w:r>
              <w:rPr>
                <w:rFonts w:hint="default" w:ascii="Times New Roman" w:hAnsi="Times New Roman" w:eastAsia="宋体" w:cs="Times New Roman"/>
                <w:color w:val="auto"/>
                <w:spacing w:val="-1"/>
                <w:sz w:val="24"/>
                <w:szCs w:val="24"/>
              </w:rPr>
              <w:t>A</w:t>
            </w:r>
            <w:r>
              <w:rPr>
                <w:rFonts w:hint="default" w:ascii="Times New Roman" w:hAnsi="Times New Roman" w:eastAsia="宋体" w:cs="Times New Roman"/>
                <w:color w:val="auto"/>
                <w:spacing w:val="-1"/>
                <w:sz w:val="24"/>
                <w:szCs w:val="24"/>
                <w:lang w:eastAsia="zh-CN"/>
              </w:rPr>
              <w:t>）</w:t>
            </w:r>
            <w:r>
              <w:rPr>
                <w:rFonts w:hint="default" w:ascii="Times New Roman" w:hAnsi="Times New Roman" w:eastAsia="宋体" w:cs="Times New Roman"/>
                <w:color w:val="auto"/>
                <w:spacing w:val="-1"/>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rPr>
              <w:t>④加强施工队伍的教育，</w:t>
            </w:r>
            <w:r>
              <w:rPr>
                <w:rFonts w:hint="default" w:ascii="Times New Roman" w:hAnsi="Times New Roman" w:eastAsia="宋体" w:cs="Times New Roman"/>
                <w:color w:val="auto"/>
                <w:spacing w:val="-1"/>
                <w:sz w:val="24"/>
                <w:szCs w:val="24"/>
                <w:lang w:eastAsia="zh-CN"/>
              </w:rPr>
              <w:t>增强</w:t>
            </w:r>
            <w:r>
              <w:rPr>
                <w:rFonts w:hint="default" w:ascii="Times New Roman" w:hAnsi="Times New Roman" w:eastAsia="宋体" w:cs="Times New Roman"/>
                <w:color w:val="auto"/>
                <w:spacing w:val="-1"/>
                <w:sz w:val="24"/>
                <w:szCs w:val="24"/>
              </w:rPr>
              <w:t>职工的环保意识，对一些零星的手工作业，如装卸施工器材和管线，尽可能做到轻拿轻放，并辅以一定的噪声减缓措施，如在未硬化的沙土地进行管件器材装卸。</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lang w:eastAsia="zh-CN"/>
              </w:rPr>
              <w:t>2）</w:t>
            </w:r>
            <w:r>
              <w:rPr>
                <w:rFonts w:hint="default" w:ascii="Times New Roman" w:hAnsi="Times New Roman" w:eastAsia="宋体" w:cs="Times New Roman"/>
                <w:color w:val="auto"/>
                <w:spacing w:val="-1"/>
                <w:sz w:val="24"/>
                <w:szCs w:val="24"/>
              </w:rPr>
              <w:t>交通噪声</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rPr>
              <w:t>为进一步减少交通运输噪声对运输道路沿线居民的影响，评价建议建设单位应对施工运输车辆行驶时间、行驶路线进行严格控制和管理，施工车辆安排在白天通行，禁止夜间运输，注意避开噪声敏感时段和敏感区域。在运输道路临近居民点处设置警示牌，提醒来往车辆减速慢行，本项目施工车辆在通过居民点时，应减速行驶和禁止鸣笛，同时加强道路养护和车辆的维修保养，从源头降低噪声，尽量减轻交通运输噪声对道路沿线居民的影响。项目施工噪声产生的影响属于短期影响，待施工结束后即可消除。</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rPr>
              <w:t>施工过程中产生的噪声通过采取以上防治措施后，对周围环境的影响较小。</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lang w:eastAsia="zh-CN"/>
              </w:rPr>
              <w:t>（4）</w:t>
            </w:r>
            <w:r>
              <w:rPr>
                <w:rFonts w:hint="default" w:ascii="Times New Roman" w:hAnsi="Times New Roman" w:eastAsia="宋体" w:cs="Times New Roman"/>
                <w:color w:val="auto"/>
                <w:spacing w:val="-1"/>
                <w:sz w:val="24"/>
                <w:szCs w:val="24"/>
              </w:rPr>
              <w:t>施工期固体废物处理措施</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rPr>
              <w:t>施工期固体废物为施工废渣、少量泥浆及施工人员生活垃圾。</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rPr>
              <w:t>本项目</w:t>
            </w:r>
            <w:r>
              <w:rPr>
                <w:rFonts w:hint="default" w:ascii="Times New Roman" w:hAnsi="Times New Roman" w:eastAsia="宋体" w:cs="Times New Roman"/>
                <w:color w:val="auto"/>
                <w:spacing w:val="-1"/>
                <w:sz w:val="24"/>
                <w:szCs w:val="24"/>
                <w:lang w:val="en-US" w:eastAsia="zh-CN"/>
              </w:rPr>
              <w:t>土石方平衡</w:t>
            </w:r>
            <w:r>
              <w:rPr>
                <w:rFonts w:hint="default" w:ascii="Times New Roman" w:hAnsi="Times New Roman" w:eastAsia="宋体" w:cs="Times New Roman"/>
                <w:color w:val="auto"/>
                <w:spacing w:val="-1"/>
                <w:sz w:val="24"/>
                <w:szCs w:val="24"/>
              </w:rPr>
              <w:t>，无弃方。</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sz w:val="24"/>
                <w:szCs w:val="24"/>
              </w:rPr>
              <w:t>根据《输变电建设项目环境保护技术要求》（HJ1113-2020），施工过程中产生的建筑垃圾、生活垃圾及临时道路平整产生的碎石（临时道路仅进行简单）应分类集中收集，并按国家和地方有关规定定期进行清运处置，其中较小的碎石可用于临时道路表面的铺设，较大的碎石不能铺设道路的作为建筑垃圾处理。施工完成后及时做好迹地清理工作。在农田和经济作物区施工时，施工临时占地宜采取隔离保护措施，施工结束后应将混凝土余料和残渣及时清除，以免影响后期土地功能的恢复。</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jc w:val="both"/>
              <w:textAlignment w:val="auto"/>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rPr>
              <w:t>通过以上措施，施工期固体废物对环境的影响较小。</w:t>
            </w: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jc w:val="both"/>
              <w:textAlignment w:val="auto"/>
              <w:rPr>
                <w:rFonts w:ascii="宋体" w:hAnsi="宋体" w:eastAsia="宋体" w:cs="宋体"/>
                <w:color w:val="auto"/>
                <w:spacing w:val="-1"/>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jc w:val="both"/>
              <w:textAlignment w:val="auto"/>
              <w:rPr>
                <w:rFonts w:ascii="宋体" w:hAnsi="宋体" w:eastAsia="宋体" w:cs="宋体"/>
                <w:color w:val="auto"/>
                <w:spacing w:val="-1"/>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jc w:val="both"/>
              <w:textAlignment w:val="auto"/>
              <w:rPr>
                <w:rFonts w:ascii="宋体" w:hAnsi="宋体" w:eastAsia="宋体" w:cs="宋体"/>
                <w:color w:val="auto"/>
                <w:spacing w:val="-1"/>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jc w:val="both"/>
              <w:textAlignment w:val="auto"/>
              <w:rPr>
                <w:rFonts w:ascii="宋体" w:hAnsi="宋体" w:eastAsia="宋体" w:cs="宋体"/>
                <w:color w:val="auto"/>
                <w:spacing w:val="-1"/>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jc w:val="both"/>
              <w:textAlignment w:val="auto"/>
              <w:rPr>
                <w:rFonts w:ascii="宋体" w:hAnsi="宋体" w:eastAsia="宋体" w:cs="宋体"/>
                <w:color w:val="auto"/>
                <w:spacing w:val="-1"/>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jc w:val="both"/>
              <w:textAlignment w:val="auto"/>
              <w:rPr>
                <w:rFonts w:ascii="宋体" w:hAnsi="宋体" w:eastAsia="宋体" w:cs="宋体"/>
                <w:color w:val="auto"/>
                <w:spacing w:val="-1"/>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gridAfter w:val="1"/>
          <w:wAfter w:w="1" w:type="pct"/>
          <w:trHeight w:val="13059" w:hRule="atLeast"/>
          <w:jc w:val="center"/>
        </w:trPr>
        <w:tc>
          <w:tcPr>
            <w:tcW w:w="324" w:type="pct"/>
            <w:gridSpan w:val="3"/>
            <w:tcBorders>
              <w:top w:val="single" w:color="000000" w:sz="2" w:space="0"/>
              <w:right w:val="single" w:color="000000" w:sz="2" w:space="0"/>
            </w:tcBorders>
            <w:textDirection w:val="tbRlV"/>
            <w:vAlign w:val="top"/>
          </w:tcPr>
          <w:p>
            <w:pPr>
              <w:spacing w:before="122" w:line="216" w:lineRule="auto"/>
              <w:ind w:left="96"/>
              <w:jc w:val="center"/>
              <w:rPr>
                <w:rFonts w:ascii="宋体" w:hAnsi="宋体" w:eastAsia="宋体" w:cs="宋体"/>
                <w:color w:val="auto"/>
                <w:sz w:val="20"/>
                <w:szCs w:val="20"/>
              </w:rPr>
            </w:pPr>
            <w:r>
              <w:rPr>
                <w:rFonts w:ascii="宋体" w:hAnsi="宋体" w:eastAsia="宋体" w:cs="宋体"/>
                <w:b/>
                <w:bCs/>
                <w:color w:val="auto"/>
                <w:spacing w:val="8"/>
                <w:sz w:val="24"/>
                <w:szCs w:val="24"/>
              </w:rPr>
              <w:t>运</w:t>
            </w:r>
            <w:r>
              <w:rPr>
                <w:rFonts w:ascii="宋体" w:hAnsi="宋体" w:eastAsia="宋体" w:cs="宋体"/>
                <w:b/>
                <w:bCs/>
                <w:color w:val="auto"/>
                <w:spacing w:val="-37"/>
                <w:sz w:val="24"/>
                <w:szCs w:val="24"/>
              </w:rPr>
              <w:t xml:space="preserve"> </w:t>
            </w:r>
            <w:r>
              <w:rPr>
                <w:rFonts w:ascii="宋体" w:hAnsi="宋体" w:eastAsia="宋体" w:cs="宋体"/>
                <w:b/>
                <w:bCs/>
                <w:color w:val="auto"/>
                <w:spacing w:val="8"/>
                <w:sz w:val="24"/>
                <w:szCs w:val="24"/>
              </w:rPr>
              <w:t>营</w:t>
            </w:r>
            <w:r>
              <w:rPr>
                <w:rFonts w:ascii="宋体" w:hAnsi="宋体" w:eastAsia="宋体" w:cs="宋体"/>
                <w:b/>
                <w:bCs/>
                <w:color w:val="auto"/>
                <w:spacing w:val="-35"/>
                <w:sz w:val="24"/>
                <w:szCs w:val="24"/>
              </w:rPr>
              <w:t xml:space="preserve"> </w:t>
            </w:r>
            <w:r>
              <w:rPr>
                <w:rFonts w:ascii="宋体" w:hAnsi="宋体" w:eastAsia="宋体" w:cs="宋体"/>
                <w:b/>
                <w:bCs/>
                <w:color w:val="auto"/>
                <w:spacing w:val="8"/>
                <w:sz w:val="24"/>
                <w:szCs w:val="24"/>
              </w:rPr>
              <w:t>期生</w:t>
            </w:r>
            <w:r>
              <w:rPr>
                <w:rFonts w:ascii="宋体" w:hAnsi="宋体" w:eastAsia="宋体" w:cs="宋体"/>
                <w:b/>
                <w:bCs/>
                <w:color w:val="auto"/>
                <w:spacing w:val="-33"/>
                <w:sz w:val="24"/>
                <w:szCs w:val="24"/>
              </w:rPr>
              <w:t xml:space="preserve"> </w:t>
            </w:r>
            <w:r>
              <w:rPr>
                <w:rFonts w:ascii="宋体" w:hAnsi="宋体" w:eastAsia="宋体" w:cs="宋体"/>
                <w:b/>
                <w:bCs/>
                <w:color w:val="auto"/>
                <w:spacing w:val="8"/>
                <w:sz w:val="24"/>
                <w:szCs w:val="24"/>
              </w:rPr>
              <w:t>态</w:t>
            </w:r>
            <w:r>
              <w:rPr>
                <w:rFonts w:ascii="宋体" w:hAnsi="宋体" w:eastAsia="宋体" w:cs="宋体"/>
                <w:b/>
                <w:bCs/>
                <w:color w:val="auto"/>
                <w:spacing w:val="-37"/>
                <w:sz w:val="24"/>
                <w:szCs w:val="24"/>
              </w:rPr>
              <w:t xml:space="preserve"> </w:t>
            </w:r>
            <w:r>
              <w:rPr>
                <w:rFonts w:ascii="宋体" w:hAnsi="宋体" w:eastAsia="宋体" w:cs="宋体"/>
                <w:b/>
                <w:bCs/>
                <w:color w:val="auto"/>
                <w:spacing w:val="8"/>
                <w:sz w:val="24"/>
                <w:szCs w:val="24"/>
              </w:rPr>
              <w:t>环</w:t>
            </w:r>
            <w:r>
              <w:rPr>
                <w:rFonts w:ascii="宋体" w:hAnsi="宋体" w:eastAsia="宋体" w:cs="宋体"/>
                <w:b/>
                <w:bCs/>
                <w:color w:val="auto"/>
                <w:spacing w:val="-36"/>
                <w:sz w:val="24"/>
                <w:szCs w:val="24"/>
              </w:rPr>
              <w:t xml:space="preserve"> </w:t>
            </w:r>
            <w:r>
              <w:rPr>
                <w:rFonts w:ascii="宋体" w:hAnsi="宋体" w:eastAsia="宋体" w:cs="宋体"/>
                <w:b/>
                <w:bCs/>
                <w:color w:val="auto"/>
                <w:spacing w:val="8"/>
                <w:sz w:val="24"/>
                <w:szCs w:val="24"/>
              </w:rPr>
              <w:t>境</w:t>
            </w:r>
            <w:r>
              <w:rPr>
                <w:rFonts w:ascii="宋体" w:hAnsi="宋体" w:eastAsia="宋体" w:cs="宋体"/>
                <w:b/>
                <w:bCs/>
                <w:color w:val="auto"/>
                <w:spacing w:val="-37"/>
                <w:sz w:val="24"/>
                <w:szCs w:val="24"/>
              </w:rPr>
              <w:t xml:space="preserve"> </w:t>
            </w:r>
            <w:r>
              <w:rPr>
                <w:rFonts w:ascii="宋体" w:hAnsi="宋体" w:eastAsia="宋体" w:cs="宋体"/>
                <w:b/>
                <w:bCs/>
                <w:color w:val="auto"/>
                <w:spacing w:val="8"/>
                <w:sz w:val="24"/>
                <w:szCs w:val="24"/>
              </w:rPr>
              <w:t>保</w:t>
            </w:r>
            <w:r>
              <w:rPr>
                <w:rFonts w:ascii="宋体" w:hAnsi="宋体" w:eastAsia="宋体" w:cs="宋体"/>
                <w:b/>
                <w:bCs/>
                <w:color w:val="auto"/>
                <w:spacing w:val="-35"/>
                <w:sz w:val="24"/>
                <w:szCs w:val="24"/>
              </w:rPr>
              <w:t xml:space="preserve"> </w:t>
            </w:r>
            <w:r>
              <w:rPr>
                <w:rFonts w:ascii="宋体" w:hAnsi="宋体" w:eastAsia="宋体" w:cs="宋体"/>
                <w:b/>
                <w:bCs/>
                <w:color w:val="auto"/>
                <w:spacing w:val="8"/>
                <w:sz w:val="24"/>
                <w:szCs w:val="24"/>
              </w:rPr>
              <w:t>护</w:t>
            </w:r>
            <w:r>
              <w:rPr>
                <w:rFonts w:ascii="宋体" w:hAnsi="宋体" w:eastAsia="宋体" w:cs="宋体"/>
                <w:b/>
                <w:bCs/>
                <w:color w:val="auto"/>
                <w:spacing w:val="-38"/>
                <w:sz w:val="24"/>
                <w:szCs w:val="24"/>
              </w:rPr>
              <w:t xml:space="preserve"> </w:t>
            </w:r>
            <w:r>
              <w:rPr>
                <w:rFonts w:ascii="宋体" w:hAnsi="宋体" w:eastAsia="宋体" w:cs="宋体"/>
                <w:b/>
                <w:bCs/>
                <w:color w:val="auto"/>
                <w:spacing w:val="8"/>
                <w:sz w:val="24"/>
                <w:szCs w:val="24"/>
              </w:rPr>
              <w:t>措</w:t>
            </w:r>
            <w:r>
              <w:rPr>
                <w:rFonts w:ascii="宋体" w:hAnsi="宋体" w:eastAsia="宋体" w:cs="宋体"/>
                <w:b/>
                <w:bCs/>
                <w:color w:val="auto"/>
                <w:spacing w:val="-35"/>
                <w:sz w:val="24"/>
                <w:szCs w:val="24"/>
              </w:rPr>
              <w:t xml:space="preserve"> </w:t>
            </w:r>
            <w:r>
              <w:rPr>
                <w:rFonts w:ascii="宋体" w:hAnsi="宋体" w:eastAsia="宋体" w:cs="宋体"/>
                <w:b/>
                <w:bCs/>
                <w:color w:val="auto"/>
                <w:spacing w:val="8"/>
                <w:sz w:val="24"/>
                <w:szCs w:val="24"/>
              </w:rPr>
              <w:t>施</w:t>
            </w:r>
          </w:p>
        </w:tc>
        <w:tc>
          <w:tcPr>
            <w:tcW w:w="4674" w:type="pct"/>
            <w:gridSpan w:val="2"/>
            <w:tcBorders>
              <w:top w:val="single" w:color="000000" w:sz="2" w:space="0"/>
              <w:left w:val="single" w:color="000000" w:sz="2" w:space="0"/>
            </w:tcBorders>
            <w:vAlign w:val="top"/>
          </w:tcPr>
          <w:p>
            <w:pPr>
              <w:keepNext w:val="0"/>
              <w:keepLines w:val="0"/>
              <w:pageBreakBefore w:val="0"/>
              <w:widowControl w:val="0"/>
              <w:kinsoku/>
              <w:wordWrap/>
              <w:overflowPunct/>
              <w:topLinePunct w:val="0"/>
              <w:autoSpaceDE/>
              <w:autoSpaceDN/>
              <w:bidi w:val="0"/>
              <w:adjustRightInd/>
              <w:snapToGrid/>
              <w:spacing w:line="360" w:lineRule="auto"/>
              <w:ind w:left="0" w:right="0" w:firstLine="46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pacing w:val="-5"/>
                <w:sz w:val="24"/>
                <w:szCs w:val="24"/>
              </w:rPr>
              <w:t>1</w:t>
            </w:r>
            <w:r>
              <w:rPr>
                <w:rFonts w:hint="default" w:ascii="Times New Roman" w:hAnsi="Times New Roman" w:eastAsia="宋体" w:cs="Times New Roman"/>
                <w:b/>
                <w:bCs/>
                <w:color w:val="auto"/>
                <w:spacing w:val="-25"/>
                <w:sz w:val="24"/>
                <w:szCs w:val="24"/>
              </w:rPr>
              <w:t xml:space="preserve"> </w:t>
            </w:r>
            <w:r>
              <w:rPr>
                <w:rFonts w:hint="default" w:ascii="Times New Roman" w:hAnsi="Times New Roman" w:eastAsia="宋体" w:cs="Times New Roman"/>
                <w:b/>
                <w:bCs/>
                <w:color w:val="auto"/>
                <w:spacing w:val="-5"/>
                <w:sz w:val="24"/>
                <w:szCs w:val="24"/>
              </w:rPr>
              <w:t>、运营期生态环境保护措施</w:t>
            </w:r>
          </w:p>
          <w:p>
            <w:pPr>
              <w:keepNext w:val="0"/>
              <w:keepLines w:val="0"/>
              <w:pageBreakBefore w:val="0"/>
              <w:widowControl w:val="0"/>
              <w:kinsoku/>
              <w:wordWrap/>
              <w:overflowPunct/>
              <w:topLinePunct w:val="0"/>
              <w:autoSpaceDE/>
              <w:autoSpaceDN/>
              <w:bidi w:val="0"/>
              <w:adjustRightInd/>
              <w:snapToGrid/>
              <w:spacing w:line="360" w:lineRule="auto"/>
              <w:ind w:left="0" w:right="0" w:firstLine="488"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2"/>
                <w:sz w:val="24"/>
                <w:szCs w:val="24"/>
              </w:rPr>
              <w:t>项目建成运营后，建设单位应做好长期监控工作，时刻关注植被恢</w:t>
            </w:r>
            <w:r>
              <w:rPr>
                <w:rFonts w:hint="default" w:ascii="Times New Roman" w:hAnsi="Times New Roman" w:eastAsia="宋体" w:cs="Times New Roman"/>
                <w:color w:val="auto"/>
                <w:spacing w:val="-4"/>
                <w:sz w:val="24"/>
                <w:szCs w:val="24"/>
              </w:rPr>
              <w:t>复和水土流失情况，及时发现问题，并采取相应措施，使植被尽快恢复</w:t>
            </w:r>
            <w:r>
              <w:rPr>
                <w:rFonts w:hint="eastAsia" w:ascii="Times New Roman" w:hAnsi="Times New Roman" w:eastAsia="宋体" w:cs="Times New Roman"/>
                <w:color w:val="auto"/>
                <w:spacing w:val="-4"/>
                <w:sz w:val="24"/>
                <w:szCs w:val="24"/>
                <w:lang w:eastAsia="zh-CN"/>
              </w:rPr>
              <w:t>，让</w:t>
            </w:r>
            <w:r>
              <w:rPr>
                <w:rFonts w:hint="default" w:ascii="Times New Roman" w:hAnsi="Times New Roman" w:eastAsia="宋体" w:cs="Times New Roman"/>
                <w:color w:val="auto"/>
                <w:spacing w:val="-4"/>
                <w:sz w:val="24"/>
                <w:szCs w:val="24"/>
              </w:rPr>
              <w:t>野</w:t>
            </w:r>
            <w:r>
              <w:rPr>
                <w:rFonts w:hint="default" w:ascii="Times New Roman" w:hAnsi="Times New Roman" w:eastAsia="宋体" w:cs="Times New Roman"/>
                <w:color w:val="auto"/>
                <w:spacing w:val="-1"/>
                <w:sz w:val="24"/>
                <w:szCs w:val="24"/>
              </w:rPr>
              <w:t>生动物尽早回到原来的栖息地，将项目对植物和动物的影响降至最低。</w:t>
            </w:r>
          </w:p>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470" w:firstLineChars="200"/>
              <w:textAlignment w:val="auto"/>
              <w:rPr>
                <w:rFonts w:hint="default" w:ascii="Times New Roman" w:hAnsi="Times New Roman" w:eastAsia="宋体" w:cs="Times New Roman"/>
                <w:color w:val="auto"/>
                <w:sz w:val="24"/>
                <w:szCs w:val="24"/>
              </w:rPr>
            </w:pPr>
            <w:r>
              <w:rPr>
                <w:rFonts w:hint="eastAsia" w:ascii="Times New Roman" w:hAnsi="Times New Roman" w:eastAsia="宋体" w:cs="Times New Roman"/>
                <w:b/>
                <w:bCs/>
                <w:color w:val="auto"/>
                <w:spacing w:val="-3"/>
                <w:sz w:val="24"/>
                <w:szCs w:val="24"/>
                <w:lang w:val="en-US" w:eastAsia="zh-CN"/>
              </w:rPr>
              <w:t>2、</w:t>
            </w:r>
            <w:r>
              <w:rPr>
                <w:rFonts w:hint="default" w:ascii="Times New Roman" w:hAnsi="Times New Roman" w:eastAsia="宋体" w:cs="Times New Roman"/>
                <w:b/>
                <w:bCs/>
                <w:color w:val="auto"/>
                <w:spacing w:val="3"/>
                <w:sz w:val="24"/>
                <w:szCs w:val="24"/>
              </w:rPr>
              <w:t>电磁环境保护措施</w:t>
            </w:r>
          </w:p>
          <w:p>
            <w:pPr>
              <w:pStyle w:val="51"/>
              <w:keepNext w:val="0"/>
              <w:keepLines w:val="0"/>
              <w:pageBreakBefore w:val="0"/>
              <w:widowControl w:val="0"/>
              <w:kinsoku/>
              <w:wordWrap/>
              <w:overflowPunct/>
              <w:topLinePunct/>
              <w:autoSpaceDE/>
              <w:autoSpaceDN/>
              <w:bidi w:val="0"/>
              <w:adjustRightInd/>
              <w:snapToGrid/>
              <w:spacing w:line="360" w:lineRule="auto"/>
              <w:ind w:left="42" w:right="42" w:firstLine="420"/>
              <w:textAlignment w:val="auto"/>
              <w:rPr>
                <w:rFonts w:cs="Times New Roman"/>
                <w:color w:val="auto"/>
                <w:spacing w:val="-2"/>
                <w:sz w:val="24"/>
                <w:szCs w:val="24"/>
              </w:rPr>
            </w:pPr>
            <w:r>
              <w:rPr>
                <w:rFonts w:cs="Times New Roman"/>
                <w:color w:val="auto"/>
                <w:sz w:val="24"/>
                <w:szCs w:val="24"/>
              </w:rPr>
              <w:t>输电线路采用架空的方式，架空输电线路保证足够的导线对地高度，优化导线相间距离以及导线布置，利用屏蔽作用以降低输电线路对周围电磁环境的影响，运行期做好设备维护</w:t>
            </w:r>
            <w:r>
              <w:rPr>
                <w:rFonts w:cs="Times New Roman"/>
                <w:color w:val="auto"/>
                <w:spacing w:val="1"/>
                <w:sz w:val="24"/>
                <w:szCs w:val="24"/>
              </w:rPr>
              <w:t>和运行管理，确保输电线路沿线工频电场、工</w:t>
            </w:r>
            <w:r>
              <w:rPr>
                <w:rFonts w:cs="Times New Roman"/>
                <w:color w:val="auto"/>
                <w:sz w:val="24"/>
                <w:szCs w:val="24"/>
              </w:rPr>
              <w:t>频磁场均能满足《电磁环境控制限值》（GB</w:t>
            </w:r>
            <w:r>
              <w:rPr>
                <w:rFonts w:cs="Times New Roman"/>
                <w:color w:val="auto"/>
                <w:spacing w:val="-2"/>
                <w:sz w:val="24"/>
                <w:szCs w:val="24"/>
              </w:rPr>
              <w:t>8702-2014）相应限值要求。</w:t>
            </w:r>
            <w:r>
              <w:rPr>
                <w:rFonts w:cs="Times New Roman"/>
                <w:color w:val="auto"/>
                <w:sz w:val="24"/>
                <w:szCs w:val="24"/>
              </w:rPr>
              <w:t>严格按照《</w:t>
            </w:r>
            <w:r>
              <w:rPr>
                <w:rFonts w:hint="eastAsia" w:cs="Times New Roman"/>
                <w:color w:val="auto"/>
                <w:sz w:val="24"/>
                <w:szCs w:val="24"/>
                <w:lang w:eastAsia="zh-CN"/>
              </w:rPr>
              <w:t>110kV～750kV架空输电线路设计规范</w:t>
            </w:r>
            <w:r>
              <w:rPr>
                <w:rFonts w:cs="Times New Roman"/>
                <w:color w:val="auto"/>
                <w:sz w:val="24"/>
                <w:szCs w:val="24"/>
              </w:rPr>
              <w:t>》（GB50545-2010）相关要求进行</w:t>
            </w:r>
            <w:r>
              <w:rPr>
                <w:rFonts w:cs="Times New Roman"/>
                <w:color w:val="auto"/>
                <w:spacing w:val="-1"/>
                <w:sz w:val="24"/>
                <w:szCs w:val="24"/>
              </w:rPr>
              <w:t>优化设计，路径选线充分考虑沿线城镇规划、交通、通信设</w:t>
            </w:r>
            <w:r>
              <w:rPr>
                <w:rFonts w:cs="Times New Roman"/>
                <w:color w:val="auto"/>
                <w:spacing w:val="-2"/>
                <w:sz w:val="24"/>
                <w:szCs w:val="24"/>
              </w:rPr>
              <w:t>施及居民区。</w:t>
            </w:r>
            <w:r>
              <w:rPr>
                <w:rFonts w:hint="eastAsia" w:cs="Times New Roman"/>
                <w:color w:val="auto"/>
                <w:spacing w:val="-2"/>
                <w:sz w:val="24"/>
                <w:szCs w:val="24"/>
              </w:rPr>
              <w:t>具体措施如下：</w:t>
            </w:r>
          </w:p>
          <w:p>
            <w:pPr>
              <w:pStyle w:val="51"/>
              <w:keepNext w:val="0"/>
              <w:keepLines w:val="0"/>
              <w:pageBreakBefore w:val="0"/>
              <w:widowControl w:val="0"/>
              <w:kinsoku/>
              <w:wordWrap/>
              <w:overflowPunct/>
              <w:topLinePunct/>
              <w:autoSpaceDE/>
              <w:autoSpaceDN/>
              <w:bidi w:val="0"/>
              <w:adjustRightInd/>
              <w:snapToGrid/>
              <w:spacing w:line="360" w:lineRule="auto"/>
              <w:ind w:left="42" w:right="42" w:firstLine="412"/>
              <w:textAlignment w:val="auto"/>
              <w:rPr>
                <w:rFonts w:cs="Times New Roman"/>
                <w:color w:val="auto"/>
                <w:spacing w:val="-2"/>
                <w:sz w:val="24"/>
                <w:szCs w:val="24"/>
              </w:rPr>
            </w:pPr>
            <w:r>
              <w:rPr>
                <w:rFonts w:hint="eastAsia" w:cs="Times New Roman"/>
                <w:color w:val="auto"/>
                <w:spacing w:val="-2"/>
                <w:sz w:val="24"/>
                <w:szCs w:val="24"/>
              </w:rPr>
              <w:t>（</w:t>
            </w:r>
            <w:r>
              <w:rPr>
                <w:rFonts w:cs="Times New Roman"/>
                <w:color w:val="auto"/>
                <w:spacing w:val="-2"/>
                <w:sz w:val="24"/>
                <w:szCs w:val="24"/>
              </w:rPr>
              <w:t>1</w:t>
            </w:r>
            <w:r>
              <w:rPr>
                <w:rFonts w:hint="eastAsia" w:cs="Times New Roman"/>
                <w:color w:val="auto"/>
                <w:spacing w:val="-2"/>
                <w:sz w:val="24"/>
                <w:szCs w:val="24"/>
              </w:rPr>
              <w:t>）施工期：</w:t>
            </w:r>
          </w:p>
          <w:p>
            <w:pPr>
              <w:pStyle w:val="51"/>
              <w:keepNext w:val="0"/>
              <w:keepLines w:val="0"/>
              <w:pageBreakBefore w:val="0"/>
              <w:widowControl w:val="0"/>
              <w:kinsoku/>
              <w:wordWrap/>
              <w:overflowPunct/>
              <w:topLinePunct/>
              <w:autoSpaceDE/>
              <w:autoSpaceDN/>
              <w:bidi w:val="0"/>
              <w:adjustRightInd/>
              <w:snapToGrid/>
              <w:spacing w:line="360" w:lineRule="auto"/>
              <w:ind w:left="42" w:right="42" w:firstLine="412"/>
              <w:textAlignment w:val="auto"/>
              <w:rPr>
                <w:rFonts w:cs="Times New Roman"/>
                <w:color w:val="auto"/>
                <w:spacing w:val="-2"/>
                <w:sz w:val="24"/>
                <w:szCs w:val="24"/>
              </w:rPr>
            </w:pPr>
            <w:r>
              <w:rPr>
                <w:rFonts w:hint="eastAsia" w:cs="Times New Roman"/>
                <w:color w:val="auto"/>
                <w:spacing w:val="-2"/>
                <w:sz w:val="24"/>
                <w:szCs w:val="24"/>
              </w:rPr>
              <w:t>施工阶段远离居民区。</w:t>
            </w:r>
          </w:p>
          <w:p>
            <w:pPr>
              <w:pStyle w:val="51"/>
              <w:keepNext w:val="0"/>
              <w:keepLines w:val="0"/>
              <w:pageBreakBefore w:val="0"/>
              <w:widowControl w:val="0"/>
              <w:kinsoku/>
              <w:wordWrap/>
              <w:overflowPunct/>
              <w:topLinePunct/>
              <w:autoSpaceDE/>
              <w:autoSpaceDN/>
              <w:bidi w:val="0"/>
              <w:adjustRightInd/>
              <w:snapToGrid/>
              <w:spacing w:line="360" w:lineRule="auto"/>
              <w:ind w:left="42" w:right="42" w:firstLine="412"/>
              <w:textAlignment w:val="auto"/>
              <w:rPr>
                <w:rFonts w:cs="Times New Roman"/>
                <w:color w:val="auto"/>
                <w:spacing w:val="-2"/>
                <w:sz w:val="24"/>
                <w:szCs w:val="24"/>
              </w:rPr>
            </w:pPr>
            <w:r>
              <w:rPr>
                <w:rFonts w:hint="eastAsia" w:cs="Times New Roman"/>
                <w:color w:val="auto"/>
                <w:spacing w:val="-2"/>
                <w:sz w:val="24"/>
                <w:szCs w:val="24"/>
              </w:rPr>
              <w:t>（</w:t>
            </w:r>
            <w:r>
              <w:rPr>
                <w:rFonts w:cs="Times New Roman"/>
                <w:color w:val="auto"/>
                <w:spacing w:val="-2"/>
                <w:sz w:val="24"/>
                <w:szCs w:val="24"/>
              </w:rPr>
              <w:t>2</w:t>
            </w:r>
            <w:r>
              <w:rPr>
                <w:rFonts w:hint="eastAsia" w:cs="Times New Roman"/>
                <w:color w:val="auto"/>
                <w:spacing w:val="-2"/>
                <w:sz w:val="24"/>
                <w:szCs w:val="24"/>
              </w:rPr>
              <w:t>）运营期：</w:t>
            </w:r>
          </w:p>
          <w:p>
            <w:pPr>
              <w:pStyle w:val="51"/>
              <w:keepNext w:val="0"/>
              <w:keepLines w:val="0"/>
              <w:pageBreakBefore w:val="0"/>
              <w:widowControl w:val="0"/>
              <w:kinsoku/>
              <w:wordWrap/>
              <w:overflowPunct/>
              <w:topLinePunct/>
              <w:autoSpaceDE/>
              <w:autoSpaceDN/>
              <w:bidi w:val="0"/>
              <w:adjustRightInd/>
              <w:snapToGrid/>
              <w:spacing w:line="360" w:lineRule="auto"/>
              <w:ind w:left="42" w:right="42" w:firstLine="412"/>
              <w:textAlignment w:val="auto"/>
              <w:rPr>
                <w:rFonts w:cs="Times New Roman"/>
                <w:color w:val="auto"/>
                <w:spacing w:val="-2"/>
                <w:sz w:val="24"/>
                <w:szCs w:val="24"/>
              </w:rPr>
            </w:pPr>
            <w:r>
              <w:rPr>
                <w:rFonts w:hint="eastAsia" w:cs="Times New Roman"/>
                <w:color w:val="auto"/>
                <w:spacing w:val="-2"/>
                <w:sz w:val="24"/>
                <w:szCs w:val="24"/>
              </w:rPr>
              <w:t>①运行</w:t>
            </w:r>
            <w:r>
              <w:rPr>
                <w:rFonts w:hint="eastAsia" w:cs="Times New Roman"/>
                <w:color w:val="auto"/>
                <w:spacing w:val="-2"/>
                <w:sz w:val="24"/>
                <w:szCs w:val="24"/>
                <w:lang w:eastAsia="zh-CN"/>
              </w:rPr>
              <w:t>期间</w:t>
            </w:r>
            <w:r>
              <w:rPr>
                <w:rFonts w:hint="eastAsia" w:cs="Times New Roman"/>
                <w:color w:val="auto"/>
                <w:spacing w:val="-2"/>
                <w:sz w:val="24"/>
                <w:szCs w:val="24"/>
              </w:rPr>
              <w:t>加强对工作人员进行有关电磁环境知识的培训，加强宣传教育，以减小电磁场对工作人员的影响。加强对附近居民有关高电压知识和环保知识的</w:t>
            </w:r>
            <w:r>
              <w:rPr>
                <w:rFonts w:hint="eastAsia" w:cs="Times New Roman"/>
                <w:color w:val="auto"/>
                <w:spacing w:val="-2"/>
                <w:sz w:val="24"/>
                <w:szCs w:val="24"/>
                <w:lang w:eastAsia="zh-CN"/>
              </w:rPr>
              <w:t>宣传</w:t>
            </w:r>
            <w:r>
              <w:rPr>
                <w:rFonts w:hint="eastAsia" w:cs="Times New Roman"/>
                <w:color w:val="auto"/>
                <w:spacing w:val="-2"/>
                <w:sz w:val="24"/>
                <w:szCs w:val="24"/>
              </w:rPr>
              <w:t>教育。</w:t>
            </w:r>
          </w:p>
          <w:p>
            <w:pPr>
              <w:pStyle w:val="51"/>
              <w:keepNext w:val="0"/>
              <w:keepLines w:val="0"/>
              <w:pageBreakBefore w:val="0"/>
              <w:widowControl w:val="0"/>
              <w:kinsoku/>
              <w:wordWrap/>
              <w:overflowPunct/>
              <w:topLinePunct/>
              <w:autoSpaceDE/>
              <w:autoSpaceDN/>
              <w:bidi w:val="0"/>
              <w:adjustRightInd/>
              <w:snapToGrid/>
              <w:spacing w:line="360" w:lineRule="auto"/>
              <w:ind w:left="42" w:right="42" w:firstLine="412"/>
              <w:textAlignment w:val="auto"/>
              <w:rPr>
                <w:rFonts w:cs="Times New Roman"/>
                <w:color w:val="auto"/>
                <w:spacing w:val="-2"/>
                <w:sz w:val="24"/>
                <w:szCs w:val="24"/>
              </w:rPr>
            </w:pPr>
            <w:r>
              <w:rPr>
                <w:rFonts w:hint="eastAsia" w:cs="Times New Roman"/>
                <w:color w:val="auto"/>
                <w:spacing w:val="-2"/>
                <w:sz w:val="24"/>
                <w:szCs w:val="24"/>
              </w:rPr>
              <w:t>②输电线路铁塔座架上应于醒目位置设置安全警示标志，标明严禁攀登，以避免居民尤其是儿童攀爬而发生意外。</w:t>
            </w:r>
          </w:p>
          <w:p>
            <w:pPr>
              <w:pStyle w:val="51"/>
              <w:keepNext w:val="0"/>
              <w:keepLines w:val="0"/>
              <w:pageBreakBefore w:val="0"/>
              <w:widowControl w:val="0"/>
              <w:kinsoku/>
              <w:wordWrap/>
              <w:overflowPunct/>
              <w:topLinePunct/>
              <w:autoSpaceDE/>
              <w:autoSpaceDN/>
              <w:bidi w:val="0"/>
              <w:adjustRightInd/>
              <w:snapToGrid/>
              <w:spacing w:line="360" w:lineRule="auto"/>
              <w:ind w:left="42" w:right="42" w:firstLine="412"/>
              <w:textAlignment w:val="auto"/>
              <w:rPr>
                <w:rFonts w:hint="default" w:ascii="Times New Roman" w:hAnsi="Times New Roman" w:eastAsia="宋体" w:cs="Times New Roman"/>
                <w:color w:val="auto"/>
                <w:sz w:val="24"/>
                <w:szCs w:val="24"/>
              </w:rPr>
            </w:pPr>
            <w:r>
              <w:rPr>
                <w:rFonts w:hint="eastAsia" w:cs="Times New Roman"/>
                <w:color w:val="auto"/>
                <w:spacing w:val="-2"/>
                <w:sz w:val="24"/>
                <w:szCs w:val="24"/>
              </w:rPr>
              <w:t>③架空输电线路线下耕地、园地、牧草地、畜禽饲养地、养殖水面、道路等场所，应给出警示和防护指示标志。</w:t>
            </w:r>
          </w:p>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51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pacing w:val="7"/>
                <w:sz w:val="24"/>
                <w:szCs w:val="24"/>
              </w:rPr>
              <w:t>3.声环境保护措施</w:t>
            </w:r>
          </w:p>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512"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8"/>
                <w:position w:val="1"/>
                <w:sz w:val="24"/>
                <w:szCs w:val="24"/>
              </w:rPr>
              <w:t>架空线路建设时通过选用加工工艺水平高、表面光滑的导线减少电晕放电，并采取提高导线对地高度等措施，以降低可听噪声，满足《声环境质量标准》（GB3096－2008）中1类标准要求。</w:t>
            </w:r>
          </w:p>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51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pacing w:val="7"/>
                <w:sz w:val="24"/>
                <w:szCs w:val="24"/>
              </w:rPr>
              <w:t>4.运营期水环境保护措施</w:t>
            </w:r>
          </w:p>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516"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9"/>
                <w:sz w:val="24"/>
                <w:szCs w:val="24"/>
              </w:rPr>
              <w:t>运营期不产生废水。</w:t>
            </w:r>
          </w:p>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502"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pacing w:val="5"/>
                <w:sz w:val="24"/>
                <w:szCs w:val="24"/>
              </w:rPr>
              <w:t>5.</w:t>
            </w:r>
            <w:r>
              <w:rPr>
                <w:rFonts w:hint="default" w:ascii="Times New Roman" w:hAnsi="Times New Roman" w:eastAsia="宋体" w:cs="Times New Roman"/>
                <w:b/>
                <w:bCs/>
                <w:color w:val="auto"/>
                <w:spacing w:val="-24"/>
                <w:sz w:val="24"/>
                <w:szCs w:val="24"/>
              </w:rPr>
              <w:t xml:space="preserve"> </w:t>
            </w:r>
            <w:r>
              <w:rPr>
                <w:rFonts w:hint="default" w:ascii="Times New Roman" w:hAnsi="Times New Roman" w:eastAsia="宋体" w:cs="Times New Roman"/>
                <w:b/>
                <w:bCs/>
                <w:color w:val="auto"/>
                <w:spacing w:val="5"/>
                <w:sz w:val="24"/>
                <w:szCs w:val="24"/>
              </w:rPr>
              <w:t>固体废物污染防治措施</w:t>
            </w:r>
          </w:p>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516"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9"/>
                <w:sz w:val="24"/>
                <w:szCs w:val="24"/>
              </w:rPr>
              <w:t>运营期不产生</w:t>
            </w:r>
            <w:r>
              <w:rPr>
                <w:rFonts w:hint="eastAsia" w:ascii="Times New Roman" w:hAnsi="Times New Roman" w:eastAsia="宋体" w:cs="Times New Roman"/>
                <w:color w:val="auto"/>
                <w:spacing w:val="9"/>
                <w:sz w:val="24"/>
                <w:szCs w:val="24"/>
                <w:lang w:val="en-US" w:eastAsia="zh-CN"/>
              </w:rPr>
              <w:t>固废</w:t>
            </w:r>
            <w:r>
              <w:rPr>
                <w:rFonts w:hint="default" w:ascii="Times New Roman" w:hAnsi="Times New Roman" w:eastAsia="宋体" w:cs="Times New Roman"/>
                <w:color w:val="auto"/>
                <w:spacing w:val="9"/>
                <w:sz w:val="24"/>
                <w:szCs w:val="24"/>
              </w:rPr>
              <w:t>。</w:t>
            </w:r>
          </w:p>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506"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pacing w:val="6"/>
                <w:sz w:val="24"/>
                <w:szCs w:val="24"/>
              </w:rPr>
              <w:t>6.环境风险控制措施</w:t>
            </w:r>
          </w:p>
          <w:p>
            <w:pPr>
              <w:spacing w:before="32" w:line="219" w:lineRule="auto"/>
              <w:ind w:firstLine="504" w:firstLineChars="200"/>
              <w:rPr>
                <w:rFonts w:hint="default" w:ascii="Times New Roman" w:hAnsi="Times New Roman" w:eastAsia="宋体" w:cs="Times New Roman"/>
                <w:color w:val="auto"/>
                <w:spacing w:val="6"/>
                <w:sz w:val="24"/>
                <w:szCs w:val="24"/>
                <w:lang w:val="en-US" w:eastAsia="zh-CN"/>
              </w:rPr>
            </w:pPr>
            <w:r>
              <w:rPr>
                <w:rFonts w:hint="eastAsia" w:ascii="Times New Roman" w:hAnsi="Times New Roman" w:eastAsia="宋体" w:cs="Times New Roman"/>
                <w:color w:val="auto"/>
                <w:spacing w:val="6"/>
                <w:sz w:val="24"/>
                <w:szCs w:val="24"/>
                <w:lang w:val="en-US" w:eastAsia="zh-CN"/>
              </w:rPr>
              <w:t>本项目不涉及环境风险物质。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989" w:hRule="atLeast"/>
          <w:jc w:val="center"/>
        </w:trPr>
        <w:tc>
          <w:tcPr>
            <w:tcW w:w="220" w:type="pct"/>
            <w:gridSpan w:val="2"/>
            <w:tcBorders>
              <w:right w:val="single" w:color="000000" w:sz="2" w:space="0"/>
            </w:tcBorders>
            <w:shd w:val="clear" w:color="auto" w:fill="auto"/>
            <w:textDirection w:val="tbRlV"/>
            <w:vAlign w:val="center"/>
          </w:tcPr>
          <w:p>
            <w:pPr>
              <w:spacing w:before="112" w:line="216" w:lineRule="auto"/>
              <w:ind w:left="470" w:leftChars="0"/>
              <w:jc w:val="center"/>
              <w:rPr>
                <w:rFonts w:ascii="宋体" w:hAnsi="宋体" w:eastAsia="宋体" w:cs="宋体"/>
                <w:color w:val="auto"/>
                <w:kern w:val="2"/>
                <w:sz w:val="20"/>
                <w:szCs w:val="20"/>
                <w:lang w:val="en-US" w:eastAsia="zh-CN" w:bidi="ar-SA"/>
              </w:rPr>
            </w:pPr>
            <w:r>
              <w:rPr>
                <w:rFonts w:ascii="宋体" w:hAnsi="宋体" w:eastAsia="宋体" w:cs="宋体"/>
                <w:color w:val="auto"/>
                <w:spacing w:val="8"/>
                <w:sz w:val="22"/>
                <w:szCs w:val="22"/>
              </w:rPr>
              <w:t>其</w:t>
            </w:r>
            <w:r>
              <w:rPr>
                <w:rFonts w:ascii="宋体" w:hAnsi="宋体" w:eastAsia="宋体" w:cs="宋体"/>
                <w:color w:val="auto"/>
                <w:spacing w:val="-35"/>
                <w:sz w:val="22"/>
                <w:szCs w:val="22"/>
              </w:rPr>
              <w:t xml:space="preserve"> </w:t>
            </w:r>
            <w:r>
              <w:rPr>
                <w:rFonts w:ascii="宋体" w:hAnsi="宋体" w:eastAsia="宋体" w:cs="宋体"/>
                <w:color w:val="auto"/>
                <w:spacing w:val="8"/>
                <w:sz w:val="22"/>
                <w:szCs w:val="22"/>
              </w:rPr>
              <w:t>他</w:t>
            </w:r>
          </w:p>
        </w:tc>
        <w:tc>
          <w:tcPr>
            <w:tcW w:w="4779" w:type="pct"/>
            <w:gridSpan w:val="4"/>
            <w:tcBorders>
              <w:left w:val="single" w:color="000000" w:sz="2" w:space="0"/>
            </w:tcBorders>
            <w:shd w:val="clear" w:color="auto" w:fill="auto"/>
            <w:vAlign w:val="top"/>
          </w:tcPr>
          <w:p>
            <w:pPr>
              <w:pStyle w:val="38"/>
              <w:keepNext w:val="0"/>
              <w:keepLines w:val="0"/>
              <w:pageBreakBefore w:val="0"/>
              <w:widowControl w:val="0"/>
              <w:kinsoku/>
              <w:wordWrap/>
              <w:overflowPunct/>
              <w:topLinePunct w:val="0"/>
              <w:autoSpaceDE/>
              <w:autoSpaceDN/>
              <w:bidi w:val="0"/>
              <w:adjustRightInd/>
              <w:snapToGrid/>
              <w:spacing w:line="360" w:lineRule="auto"/>
              <w:ind w:left="0" w:right="0" w:firstLine="506" w:firstLineChars="200"/>
              <w:textAlignment w:val="auto"/>
              <w:rPr>
                <w:rFonts w:hint="default" w:ascii="Times New Roman" w:hAnsi="Times New Roman" w:eastAsia="宋体" w:cs="Times New Roman"/>
                <w:b/>
                <w:bCs/>
                <w:color w:val="auto"/>
                <w:spacing w:val="6"/>
                <w:sz w:val="24"/>
                <w:szCs w:val="24"/>
              </w:rPr>
            </w:pPr>
            <w:r>
              <w:rPr>
                <w:rFonts w:hint="eastAsia" w:ascii="Times New Roman" w:hAnsi="Times New Roman" w:eastAsia="宋体" w:cs="Times New Roman"/>
                <w:b/>
                <w:bCs/>
                <w:color w:val="auto"/>
                <w:spacing w:val="6"/>
                <w:sz w:val="24"/>
                <w:szCs w:val="24"/>
                <w:lang w:val="en-US" w:eastAsia="zh-CN"/>
              </w:rPr>
              <w:t>7.</w:t>
            </w:r>
            <w:r>
              <w:rPr>
                <w:rFonts w:hint="default" w:ascii="Times New Roman" w:hAnsi="Times New Roman" w:eastAsia="宋体" w:cs="Times New Roman"/>
                <w:b/>
                <w:bCs/>
                <w:color w:val="auto"/>
                <w:spacing w:val="6"/>
                <w:sz w:val="24"/>
                <w:szCs w:val="24"/>
              </w:rPr>
              <w:t>竣工环保验收内容</w:t>
            </w:r>
          </w:p>
          <w:p>
            <w:pPr>
              <w:keepNext w:val="0"/>
              <w:keepLines w:val="0"/>
              <w:pageBreakBefore w:val="0"/>
              <w:widowControl w:val="0"/>
              <w:kinsoku/>
              <w:wordWrap/>
              <w:overflowPunct/>
              <w:topLinePunct w:val="0"/>
              <w:autoSpaceDE/>
              <w:autoSpaceDN/>
              <w:bidi w:val="0"/>
              <w:adjustRightInd/>
              <w:snapToGrid/>
              <w:spacing w:line="360" w:lineRule="auto"/>
              <w:ind w:firstLine="504" w:firstLineChars="200"/>
              <w:textAlignment w:val="auto"/>
              <w:rPr>
                <w:rFonts w:hint="eastAsia" w:ascii="Times New Roman" w:hAnsi="Times New Roman" w:eastAsia="宋体" w:cs="Times New Roman"/>
                <w:color w:val="auto"/>
                <w:spacing w:val="6"/>
                <w:sz w:val="24"/>
                <w:szCs w:val="24"/>
                <w:lang w:val="en-US" w:eastAsia="zh-CN"/>
              </w:rPr>
            </w:pPr>
            <w:r>
              <w:rPr>
                <w:rFonts w:hint="eastAsia" w:ascii="Times New Roman" w:hAnsi="Times New Roman" w:eastAsia="宋体" w:cs="Times New Roman"/>
                <w:color w:val="auto"/>
                <w:spacing w:val="6"/>
                <w:sz w:val="24"/>
                <w:szCs w:val="24"/>
                <w:lang w:val="en-US" w:eastAsia="zh-CN"/>
              </w:rPr>
              <w:t>根据《建设项目环境保护管理条例》，建设项目需要配套建设的环境保护设施，必须与主体工程同时设计、同时施工、同时投产使用。本项目竣工后，建设单位应当自主开展竣工环保验收，如实查验、监测、记载建设项目环境保护设施的建设和调试情况，编制验收调查表。结合本项目内容及污染物排放情况，本评价拟定了本项目竣工环保验收建议调查内容及监测计划，详见表5-1、表5-2。</w:t>
            </w:r>
          </w:p>
          <w:p>
            <w:pPr>
              <w:pStyle w:val="52"/>
              <w:autoSpaceDE/>
              <w:autoSpaceDN/>
              <w:rPr>
                <w:color w:val="auto"/>
                <w:spacing w:val="-4"/>
              </w:rPr>
            </w:pPr>
            <w:r>
              <w:rPr>
                <w:color w:val="auto"/>
              </w:rPr>
              <w:t>表</w:t>
            </w:r>
            <w:r>
              <w:rPr>
                <w:rFonts w:hint="default" w:ascii="Times New Roman" w:hAnsi="Times New Roman" w:cs="Times New Roman"/>
                <w:bCs/>
                <w:color w:val="auto"/>
              </w:rPr>
              <w:t>5-1</w:t>
            </w:r>
            <w:r>
              <w:rPr>
                <w:color w:val="auto"/>
              </w:rPr>
              <w:t>环保竣工验收调查主要内容一览表</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2"/>
              <w:gridCol w:w="1793"/>
              <w:gridCol w:w="63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2"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序号</w:t>
                  </w:r>
                </w:p>
              </w:tc>
              <w:tc>
                <w:tcPr>
                  <w:tcW w:w="1793"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验收对象</w:t>
                  </w:r>
                </w:p>
              </w:tc>
              <w:tc>
                <w:tcPr>
                  <w:tcW w:w="6363"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验收内容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2"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1</w:t>
                  </w:r>
                </w:p>
              </w:tc>
              <w:tc>
                <w:tcPr>
                  <w:tcW w:w="1793"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相关资料、手续</w:t>
                  </w:r>
                </w:p>
              </w:tc>
              <w:tc>
                <w:tcPr>
                  <w:tcW w:w="6363"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lang w:eastAsia="zh-CN"/>
                    </w:rPr>
                    <w:t>项目环保手续是否齐备，环保档案是否齐全。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2"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2</w:t>
                  </w:r>
                </w:p>
              </w:tc>
              <w:tc>
                <w:tcPr>
                  <w:tcW w:w="1793"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lang w:eastAsia="zh-CN"/>
                    </w:rPr>
                    <w:t>实际工程内容、方案</w:t>
                  </w:r>
                  <w:r>
                    <w:rPr>
                      <w:rFonts w:ascii="Times New Roman" w:hAnsi="Times New Roman" w:cs="Times New Roman" w:eastAsiaTheme="minorEastAsia"/>
                      <w:color w:val="auto"/>
                      <w:spacing w:val="-3"/>
                      <w:sz w:val="21"/>
                      <w:szCs w:val="21"/>
                      <w:lang w:eastAsia="zh-CN"/>
                    </w:rPr>
                    <w:t>设计情况</w:t>
                  </w:r>
                </w:p>
              </w:tc>
              <w:tc>
                <w:tcPr>
                  <w:tcW w:w="6363"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lang w:eastAsia="zh-CN"/>
                    </w:rPr>
                    <w:t>核查实际工程内容、方案设计变更情况和造成的环境影响</w:t>
                  </w:r>
                  <w:r>
                    <w:rPr>
                      <w:rFonts w:ascii="Times New Roman" w:hAnsi="Times New Roman" w:cs="Times New Roman" w:eastAsiaTheme="minorEastAsia"/>
                      <w:color w:val="auto"/>
                      <w:spacing w:val="-7"/>
                      <w:sz w:val="21"/>
                      <w:szCs w:val="21"/>
                      <w:lang w:eastAsia="zh-CN"/>
                    </w:rPr>
                    <w:t>变化情况。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2"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3</w:t>
                  </w:r>
                </w:p>
              </w:tc>
              <w:tc>
                <w:tcPr>
                  <w:tcW w:w="1793"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环境保护目标调查</w:t>
                  </w:r>
                </w:p>
              </w:tc>
              <w:tc>
                <w:tcPr>
                  <w:tcW w:w="6363"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lang w:eastAsia="zh-CN"/>
                    </w:rPr>
                    <w:t>调查环境保护目标有无变更情况。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2"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4</w:t>
                  </w:r>
                </w:p>
              </w:tc>
              <w:tc>
                <w:tcPr>
                  <w:tcW w:w="1793"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环保措施落实情况</w:t>
                  </w:r>
                </w:p>
              </w:tc>
              <w:tc>
                <w:tcPr>
                  <w:tcW w:w="6363"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lang w:eastAsia="zh-CN"/>
                    </w:rPr>
                    <w:t>核实设计文件、环境影响评价文件及其审批文件中提出的设计、施工及运行阶段的电磁环境、水环境、声环境、固体废物及生态保护等各项措施的落实情况及实施效果。是</w:t>
                  </w:r>
                  <w:r>
                    <w:rPr>
                      <w:rFonts w:ascii="Times New Roman" w:hAnsi="Times New Roman" w:cs="Times New Roman" w:eastAsiaTheme="minorEastAsia"/>
                      <w:color w:val="auto"/>
                      <w:spacing w:val="-6"/>
                      <w:sz w:val="21"/>
                      <w:szCs w:val="21"/>
                      <w:lang w:eastAsia="zh-CN"/>
                    </w:rPr>
                    <w:t>否落实施工期的表土防护、植被恢复等生态保护措施</w:t>
                  </w:r>
                  <w:r>
                    <w:rPr>
                      <w:rFonts w:ascii="Times New Roman" w:hAnsi="Times New Roman" w:cs="Times New Roman" w:eastAsiaTheme="minorEastAsia"/>
                      <w:color w:val="auto"/>
                      <w:spacing w:val="-7"/>
                      <w:sz w:val="21"/>
                      <w:szCs w:val="21"/>
                      <w:lang w:eastAsia="zh-CN"/>
                    </w:rPr>
                    <w:t>。施</w:t>
                  </w:r>
                  <w:r>
                    <w:rPr>
                      <w:rFonts w:ascii="Times New Roman" w:hAnsi="Times New Roman" w:cs="Times New Roman" w:eastAsiaTheme="minorEastAsia"/>
                      <w:color w:val="auto"/>
                      <w:sz w:val="21"/>
                      <w:szCs w:val="21"/>
                      <w:lang w:eastAsia="zh-CN"/>
                    </w:rPr>
                    <w:t>工中对土壤分层开挖，分别堆放，分层复原的情况，施工结束后拆除施工临时道路</w:t>
                  </w:r>
                  <w:r>
                    <w:rPr>
                      <w:rFonts w:hint="eastAsia" w:ascii="Times New Roman" w:hAnsi="Times New Roman" w:cs="Times New Roman" w:eastAsiaTheme="minorEastAsia"/>
                      <w:color w:val="auto"/>
                      <w:sz w:val="21"/>
                      <w:szCs w:val="21"/>
                      <w:lang w:eastAsia="zh-CN"/>
                    </w:rPr>
                    <w:t>及其他</w:t>
                  </w:r>
                  <w:r>
                    <w:rPr>
                      <w:rFonts w:ascii="Times New Roman" w:hAnsi="Times New Roman" w:cs="Times New Roman" w:eastAsiaTheme="minorEastAsia"/>
                      <w:color w:val="auto"/>
                      <w:sz w:val="21"/>
                      <w:szCs w:val="21"/>
                      <w:lang w:eastAsia="zh-CN"/>
                    </w:rPr>
                    <w:t>临时设施的情况，对项目</w:t>
                  </w:r>
                  <w:r>
                    <w:rPr>
                      <w:rFonts w:ascii="Times New Roman" w:hAnsi="Times New Roman" w:cs="Times New Roman" w:eastAsiaTheme="minorEastAsia"/>
                      <w:color w:val="auto"/>
                      <w:spacing w:val="-1"/>
                      <w:sz w:val="21"/>
                      <w:szCs w:val="21"/>
                      <w:lang w:eastAsia="zh-CN"/>
                    </w:rPr>
                    <w:t>永久占地和临时占地进行生态恢复的情况。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2"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5</w:t>
                  </w:r>
                </w:p>
              </w:tc>
              <w:tc>
                <w:tcPr>
                  <w:tcW w:w="1793"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污染物达标排放情况</w:t>
                  </w:r>
                </w:p>
              </w:tc>
              <w:tc>
                <w:tcPr>
                  <w:tcW w:w="6363"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pacing w:val="-2"/>
                      <w:sz w:val="21"/>
                      <w:szCs w:val="21"/>
                      <w:lang w:eastAsia="zh-CN"/>
                    </w:rPr>
                    <w:t>竣工验收中，应该对输电线路沿线工频电场、工频磁场、</w:t>
                  </w:r>
                  <w:r>
                    <w:rPr>
                      <w:rFonts w:ascii="Times New Roman" w:hAnsi="Times New Roman" w:cs="Times New Roman" w:eastAsiaTheme="minorEastAsia"/>
                      <w:color w:val="auto"/>
                      <w:sz w:val="21"/>
                      <w:szCs w:val="21"/>
                      <w:lang w:eastAsia="zh-CN"/>
                    </w:rPr>
                    <w:t>噪声水平进行监测。工频电场、工频磁场是</w:t>
                  </w:r>
                  <w:r>
                    <w:rPr>
                      <w:rFonts w:ascii="Times New Roman" w:hAnsi="Times New Roman" w:cs="Times New Roman" w:eastAsiaTheme="minorEastAsia"/>
                      <w:color w:val="auto"/>
                      <w:spacing w:val="-2"/>
                      <w:sz w:val="21"/>
                      <w:szCs w:val="21"/>
                      <w:lang w:eastAsia="zh-CN"/>
                    </w:rPr>
                    <w:t>否满足4kV/m</w:t>
                  </w:r>
                  <w:r>
                    <w:rPr>
                      <w:rFonts w:ascii="Times New Roman" w:hAnsi="Times New Roman" w:cs="Times New Roman" w:eastAsiaTheme="minorEastAsia"/>
                      <w:color w:val="auto"/>
                      <w:spacing w:val="-6"/>
                      <w:sz w:val="21"/>
                      <w:szCs w:val="21"/>
                      <w:lang w:eastAsia="zh-CN"/>
                    </w:rPr>
                    <w:t>和100µT评价标准要求，架空输电线路线下的耕地、园地、</w:t>
                  </w:r>
                  <w:r>
                    <w:rPr>
                      <w:rFonts w:ascii="Times New Roman" w:hAnsi="Times New Roman" w:cs="Times New Roman" w:eastAsiaTheme="minorEastAsia"/>
                      <w:color w:val="auto"/>
                      <w:spacing w:val="-7"/>
                      <w:sz w:val="21"/>
                      <w:szCs w:val="21"/>
                      <w:lang w:eastAsia="zh-CN"/>
                    </w:rPr>
                    <w:t>牧草地、畜禽饲养地、养殖水面、道路等场所</w:t>
                  </w:r>
                  <w:r>
                    <w:rPr>
                      <w:rFonts w:ascii="Times New Roman" w:hAnsi="Times New Roman" w:cs="Times New Roman" w:eastAsiaTheme="minorEastAsia"/>
                      <w:color w:val="auto"/>
                      <w:spacing w:val="-8"/>
                      <w:sz w:val="21"/>
                      <w:szCs w:val="21"/>
                      <w:lang w:eastAsia="zh-CN"/>
                    </w:rPr>
                    <w:t>，是否满足</w:t>
                  </w:r>
                  <w:r>
                    <w:rPr>
                      <w:rFonts w:ascii="Times New Roman" w:hAnsi="Times New Roman" w:cs="Times New Roman" w:eastAsiaTheme="minorEastAsia"/>
                      <w:color w:val="auto"/>
                      <w:sz w:val="21"/>
                      <w:szCs w:val="21"/>
                      <w:lang w:eastAsia="zh-CN"/>
                    </w:rPr>
                    <w:t>10kV/m评价标准要求；敏感目标处噪声是否满足《声环境质量标准》（GB3096-2008）</w:t>
                  </w:r>
                  <w:r>
                    <w:rPr>
                      <w:rFonts w:ascii="Times New Roman" w:hAnsi="Times New Roman" w:cs="Times New Roman" w:eastAsiaTheme="minorEastAsia"/>
                      <w:color w:val="auto"/>
                      <w:spacing w:val="-2"/>
                      <w:sz w:val="21"/>
                      <w:szCs w:val="21"/>
                      <w:lang w:eastAsia="zh-CN"/>
                    </w:rPr>
                    <w:t>中1类标准要求。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2"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6</w:t>
                  </w:r>
                </w:p>
              </w:tc>
              <w:tc>
                <w:tcPr>
                  <w:tcW w:w="1793"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环境问题调查</w:t>
                  </w:r>
                </w:p>
              </w:tc>
              <w:tc>
                <w:tcPr>
                  <w:tcW w:w="6363"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lang w:eastAsia="zh-CN"/>
                    </w:rPr>
                    <w:t>调查项目施工期和运行期实际存在的及公众反映强烈的</w:t>
                  </w:r>
                  <w:r>
                    <w:rPr>
                      <w:rFonts w:ascii="Times New Roman" w:hAnsi="Times New Roman" w:cs="Times New Roman" w:eastAsiaTheme="minorEastAsia"/>
                      <w:color w:val="auto"/>
                      <w:spacing w:val="-7"/>
                      <w:sz w:val="21"/>
                      <w:szCs w:val="21"/>
                      <w:lang w:eastAsia="zh-CN"/>
                    </w:rPr>
                    <w:t>环境问题。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2"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7</w:t>
                  </w:r>
                </w:p>
              </w:tc>
              <w:tc>
                <w:tcPr>
                  <w:tcW w:w="1793"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环保投资落实情况</w:t>
                  </w:r>
                </w:p>
              </w:tc>
              <w:tc>
                <w:tcPr>
                  <w:tcW w:w="6363"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lang w:eastAsia="zh-CN"/>
                    </w:rPr>
                    <w:t>调查项目环保投资落实情况。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62"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8</w:t>
                  </w:r>
                </w:p>
              </w:tc>
              <w:tc>
                <w:tcPr>
                  <w:tcW w:w="1793"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环境监测</w:t>
                  </w:r>
                </w:p>
              </w:tc>
              <w:tc>
                <w:tcPr>
                  <w:tcW w:w="6363"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lang w:eastAsia="zh-CN"/>
                    </w:rPr>
                    <w:t>落实环境影响报告表中环境管理内容，实施环境影响报告表监测计划。竣工验收中，对所有环境影响因子如工频电</w:t>
                  </w:r>
                  <w:r>
                    <w:rPr>
                      <w:rFonts w:ascii="Times New Roman" w:hAnsi="Times New Roman" w:cs="Times New Roman" w:eastAsiaTheme="minorEastAsia"/>
                      <w:color w:val="auto"/>
                      <w:spacing w:val="-7"/>
                      <w:sz w:val="21"/>
                      <w:szCs w:val="21"/>
                      <w:lang w:eastAsia="zh-CN"/>
                    </w:rPr>
                    <w:t>场、工频磁场、噪声进行监测，对出现超</w:t>
                  </w:r>
                  <w:r>
                    <w:rPr>
                      <w:rFonts w:ascii="Times New Roman" w:hAnsi="Times New Roman" w:cs="Times New Roman" w:eastAsiaTheme="minorEastAsia"/>
                      <w:color w:val="auto"/>
                      <w:spacing w:val="-8"/>
                      <w:sz w:val="21"/>
                      <w:szCs w:val="21"/>
                      <w:lang w:eastAsia="zh-CN"/>
                    </w:rPr>
                    <w:t>标情况的居民房</w:t>
                  </w:r>
                  <w:r>
                    <w:rPr>
                      <w:rFonts w:ascii="Times New Roman" w:hAnsi="Times New Roman" w:cs="Times New Roman" w:eastAsiaTheme="minorEastAsia"/>
                      <w:color w:val="auto"/>
                      <w:sz w:val="21"/>
                      <w:szCs w:val="21"/>
                      <w:lang w:eastAsia="zh-CN"/>
                    </w:rPr>
                    <w:t>屋须采取相应措施。</w:t>
                  </w:r>
                </w:p>
              </w:tc>
            </w:tr>
          </w:tbl>
          <w:p>
            <w:pPr>
              <w:pStyle w:val="5"/>
              <w:ind w:left="0" w:leftChars="0" w:firstLine="0" w:firstLineChars="0"/>
              <w:rPr>
                <w:rFonts w:hint="eastAsia"/>
                <w:lang w:val="en-US" w:eastAsia="zh-CN"/>
              </w:rPr>
            </w:pPr>
          </w:p>
          <w:p>
            <w:pPr>
              <w:pStyle w:val="51"/>
              <w:ind w:left="42" w:right="42" w:firstLine="420"/>
              <w:rPr>
                <w:rFonts w:cs="Times New Roman"/>
                <w:color w:val="auto"/>
              </w:rPr>
            </w:pPr>
            <w:r>
              <w:rPr>
                <w:rFonts w:cs="Times New Roman"/>
                <w:color w:val="auto"/>
              </w:rPr>
              <w:t>本项目总投资为</w:t>
            </w:r>
            <w:r>
              <w:rPr>
                <w:rFonts w:hint="eastAsia" w:cs="Times New Roman"/>
                <w:color w:val="auto"/>
                <w:lang w:val="en-US" w:eastAsia="zh-CN"/>
              </w:rPr>
              <w:t>1653</w:t>
            </w:r>
            <w:r>
              <w:rPr>
                <w:rFonts w:cs="Times New Roman"/>
                <w:color w:val="auto"/>
              </w:rPr>
              <w:t>万元，其中环保投资为</w:t>
            </w:r>
            <w:r>
              <w:rPr>
                <w:rFonts w:hint="eastAsia" w:cs="Times New Roman"/>
                <w:color w:val="auto"/>
                <w:lang w:val="en-US" w:eastAsia="zh-CN"/>
              </w:rPr>
              <w:t>80</w:t>
            </w:r>
            <w:r>
              <w:rPr>
                <w:rFonts w:cs="Times New Roman"/>
                <w:color w:val="auto"/>
              </w:rPr>
              <w:t>万元，占项目总投资的</w:t>
            </w:r>
            <w:r>
              <w:rPr>
                <w:rFonts w:hint="eastAsia" w:cs="Times New Roman"/>
                <w:color w:val="auto"/>
                <w:lang w:val="en-US" w:eastAsia="zh-CN"/>
              </w:rPr>
              <w:t>4.8</w:t>
            </w:r>
            <w:r>
              <w:rPr>
                <w:rFonts w:cs="Times New Roman"/>
                <w:color w:val="auto"/>
              </w:rPr>
              <w:t>%。项目环保投资具体如表5-</w:t>
            </w:r>
            <w:r>
              <w:rPr>
                <w:rFonts w:hint="eastAsia" w:cs="Times New Roman"/>
                <w:color w:val="auto"/>
                <w:lang w:val="en-US" w:eastAsia="zh-CN"/>
              </w:rPr>
              <w:t>2</w:t>
            </w:r>
            <w:r>
              <w:rPr>
                <w:rFonts w:cs="Times New Roman"/>
                <w:color w:val="auto"/>
              </w:rPr>
              <w:t>所示。</w:t>
            </w:r>
          </w:p>
          <w:p>
            <w:pPr>
              <w:pStyle w:val="29"/>
              <w:kinsoku/>
              <w:topLinePunct/>
              <w:autoSpaceDE/>
              <w:autoSpaceDN/>
              <w:spacing w:line="360" w:lineRule="atLeast"/>
              <w:ind w:firstLine="0" w:firstLineChars="0"/>
              <w:rPr>
                <w:rFonts w:eastAsiaTheme="minorEastAsia"/>
                <w:color w:val="auto"/>
                <w:lang w:eastAsia="zh-CN"/>
              </w:rPr>
            </w:pPr>
            <w:bookmarkStart w:id="49" w:name="_Hlk169658778"/>
            <w:r>
              <w:rPr>
                <w:rFonts w:eastAsiaTheme="minorEastAsia"/>
                <w:color w:val="auto"/>
                <w:lang w:eastAsia="zh-CN"/>
              </w:rPr>
              <w:t>表</w:t>
            </w:r>
            <w:r>
              <w:rPr>
                <w:rFonts w:hint="default" w:ascii="Times New Roman" w:hAnsi="Times New Roman" w:cs="Times New Roman"/>
                <w:bCs/>
                <w:color w:val="auto"/>
                <w:lang w:val="en-US" w:eastAsia="zh-CN"/>
              </w:rPr>
              <w:t>5-2</w:t>
            </w:r>
            <w:r>
              <w:rPr>
                <w:rFonts w:hint="eastAsia" w:ascii="Times New Roman" w:hAnsi="Times New Roman" w:cs="Times New Roman"/>
                <w:bCs/>
                <w:color w:val="auto"/>
                <w:lang w:val="en-US" w:eastAsia="zh-CN"/>
              </w:rPr>
              <w:t xml:space="preserve">  </w:t>
            </w:r>
            <w:r>
              <w:rPr>
                <w:rFonts w:eastAsiaTheme="minorEastAsia"/>
                <w:color w:val="auto"/>
                <w:lang w:eastAsia="zh-CN"/>
              </w:rPr>
              <w:t>环保投资一览表</w:t>
            </w:r>
          </w:p>
          <w:tbl>
            <w:tblPr>
              <w:tblStyle w:val="21"/>
              <w:tblW w:w="488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8"/>
              <w:gridCol w:w="2200"/>
              <w:gridCol w:w="4610"/>
              <w:gridCol w:w="15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622" w:type="pct"/>
                  <w:gridSpan w:val="2"/>
                  <w:vAlign w:val="center"/>
                </w:tcPr>
                <w:p>
                  <w:pPr>
                    <w:pStyle w:val="5"/>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项目</w:t>
                  </w:r>
                </w:p>
              </w:tc>
              <w:tc>
                <w:tcPr>
                  <w:tcW w:w="2526" w:type="pct"/>
                  <w:vAlign w:val="center"/>
                </w:tcPr>
                <w:p>
                  <w:pPr>
                    <w:pStyle w:val="5"/>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lang w:eastAsia="zh-CN"/>
                    </w:rPr>
                    <w:t>措施主要内容</w:t>
                  </w:r>
                </w:p>
              </w:tc>
              <w:tc>
                <w:tcPr>
                  <w:tcW w:w="850" w:type="pct"/>
                  <w:vAlign w:val="center"/>
                </w:tcPr>
                <w:p>
                  <w:pPr>
                    <w:pStyle w:val="5"/>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lang w:eastAsia="zh-CN"/>
                    </w:rPr>
                    <w:t>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16" w:type="pct"/>
                  <w:vMerge w:val="restart"/>
                  <w:vAlign w:val="center"/>
                </w:tcPr>
                <w:p>
                  <w:pPr>
                    <w:pStyle w:val="5"/>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施工期</w:t>
                  </w:r>
                </w:p>
              </w:tc>
              <w:tc>
                <w:tcPr>
                  <w:tcW w:w="1205" w:type="pct"/>
                  <w:vAlign w:val="center"/>
                </w:tcPr>
                <w:p>
                  <w:pPr>
                    <w:pStyle w:val="5"/>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大气防治措施</w:t>
                  </w:r>
                </w:p>
              </w:tc>
              <w:tc>
                <w:tcPr>
                  <w:tcW w:w="2526" w:type="pct"/>
                  <w:vAlign w:val="center"/>
                </w:tcPr>
                <w:p>
                  <w:pPr>
                    <w:pStyle w:val="5"/>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设置围挡、散体物料苫盖、封闭运输车运送等</w:t>
                  </w:r>
                </w:p>
              </w:tc>
              <w:tc>
                <w:tcPr>
                  <w:tcW w:w="850" w:type="pct"/>
                  <w:vAlign w:val="center"/>
                </w:tcPr>
                <w:p>
                  <w:pPr>
                    <w:pStyle w:val="5"/>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color w:val="auto"/>
                      <w:sz w:val="21"/>
                      <w:szCs w:val="21"/>
                      <w:lang w:eastAsia="zh-CN"/>
                    </w:rPr>
                  </w:pPr>
                  <w:r>
                    <w:rPr>
                      <w:rFonts w:hint="eastAsia" w:ascii="Times New Roman" w:hAnsi="Times New Roman" w:cs="Times New Roman" w:eastAsiaTheme="minorEastAsia"/>
                      <w:color w:val="auto"/>
                      <w:sz w:val="21"/>
                      <w:szCs w:val="21"/>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16" w:type="pct"/>
                  <w:vMerge w:val="continue"/>
                  <w:vAlign w:val="center"/>
                </w:tcPr>
                <w:p>
                  <w:pPr>
                    <w:pStyle w:val="5"/>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p>
              </w:tc>
              <w:tc>
                <w:tcPr>
                  <w:tcW w:w="1205" w:type="pct"/>
                  <w:vAlign w:val="center"/>
                </w:tcPr>
                <w:p>
                  <w:pPr>
                    <w:pStyle w:val="5"/>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废水防治措施</w:t>
                  </w:r>
                </w:p>
              </w:tc>
              <w:tc>
                <w:tcPr>
                  <w:tcW w:w="2526" w:type="pct"/>
                  <w:vAlign w:val="center"/>
                </w:tcPr>
                <w:p>
                  <w:pPr>
                    <w:pStyle w:val="5"/>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冲洗废水沉淀后回用、生活污水排入村庄化粪池，定期清掏做农家肥</w:t>
                  </w:r>
                </w:p>
              </w:tc>
              <w:tc>
                <w:tcPr>
                  <w:tcW w:w="850" w:type="pct"/>
                  <w:vAlign w:val="center"/>
                </w:tcPr>
                <w:p>
                  <w:pPr>
                    <w:pStyle w:val="5"/>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color w:val="auto"/>
                      <w:sz w:val="21"/>
                      <w:szCs w:val="21"/>
                      <w:lang w:eastAsia="zh-CN"/>
                    </w:rPr>
                  </w:pPr>
                  <w:r>
                    <w:rPr>
                      <w:rFonts w:hint="eastAsia" w:ascii="Times New Roman" w:hAnsi="Times New Roman" w:cs="Times New Roman" w:eastAsiaTheme="minorEastAsia"/>
                      <w:color w:val="auto"/>
                      <w:sz w:val="21"/>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16" w:type="pct"/>
                  <w:vMerge w:val="continue"/>
                  <w:vAlign w:val="center"/>
                </w:tcPr>
                <w:p>
                  <w:pPr>
                    <w:pStyle w:val="5"/>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p>
              </w:tc>
              <w:tc>
                <w:tcPr>
                  <w:tcW w:w="1205" w:type="pct"/>
                  <w:vAlign w:val="center"/>
                </w:tcPr>
                <w:p>
                  <w:pPr>
                    <w:pStyle w:val="5"/>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噪声防治措施</w:t>
                  </w:r>
                </w:p>
              </w:tc>
              <w:tc>
                <w:tcPr>
                  <w:tcW w:w="2526" w:type="pct"/>
                  <w:vAlign w:val="center"/>
                </w:tcPr>
                <w:p>
                  <w:pPr>
                    <w:pStyle w:val="5"/>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选用低噪施工设备，加强施工机械保养、合理安排施工时间</w:t>
                  </w:r>
                </w:p>
              </w:tc>
              <w:tc>
                <w:tcPr>
                  <w:tcW w:w="850" w:type="pct"/>
                  <w:vAlign w:val="center"/>
                </w:tcPr>
                <w:p>
                  <w:pPr>
                    <w:pStyle w:val="5"/>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color w:val="auto"/>
                      <w:sz w:val="21"/>
                      <w:szCs w:val="21"/>
                      <w:lang w:eastAsia="zh-CN"/>
                    </w:rPr>
                  </w:pPr>
                  <w:r>
                    <w:rPr>
                      <w:rFonts w:hint="eastAsia" w:ascii="Times New Roman" w:hAnsi="Times New Roman" w:cs="Times New Roman" w:eastAsiaTheme="minorEastAsia"/>
                      <w:color w:val="auto"/>
                      <w:sz w:val="21"/>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16" w:type="pct"/>
                  <w:vMerge w:val="continue"/>
                  <w:vAlign w:val="center"/>
                </w:tcPr>
                <w:p>
                  <w:pPr>
                    <w:pStyle w:val="5"/>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p>
              </w:tc>
              <w:tc>
                <w:tcPr>
                  <w:tcW w:w="1205" w:type="pct"/>
                  <w:vAlign w:val="center"/>
                </w:tcPr>
                <w:p>
                  <w:pPr>
                    <w:pStyle w:val="5"/>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固废防治措施</w:t>
                  </w:r>
                </w:p>
              </w:tc>
              <w:tc>
                <w:tcPr>
                  <w:tcW w:w="2526" w:type="pct"/>
                  <w:vAlign w:val="center"/>
                </w:tcPr>
                <w:p>
                  <w:pPr>
                    <w:pStyle w:val="5"/>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生活垃圾统一清运处理、弃土用于平整场地</w:t>
                  </w:r>
                </w:p>
              </w:tc>
              <w:tc>
                <w:tcPr>
                  <w:tcW w:w="850" w:type="pct"/>
                  <w:vAlign w:val="center"/>
                </w:tcPr>
                <w:p>
                  <w:pPr>
                    <w:pStyle w:val="5"/>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eastAsia" w:ascii="Times New Roman" w:hAnsi="Times New Roman" w:cs="Times New Roman" w:eastAsiaTheme="minorEastAsia"/>
                      <w:color w:val="auto"/>
                      <w:sz w:val="21"/>
                      <w:szCs w:val="21"/>
                      <w:lang w:eastAsia="zh-CN"/>
                    </w:rPr>
                  </w:pPr>
                  <w:r>
                    <w:rPr>
                      <w:rFonts w:hint="eastAsia" w:ascii="Times New Roman" w:hAnsi="Times New Roman" w:cs="Times New Roman" w:eastAsiaTheme="minorEastAsia"/>
                      <w:color w:val="auto"/>
                      <w:sz w:val="21"/>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9" w:hRule="atLeast"/>
                <w:jc w:val="center"/>
              </w:trPr>
              <w:tc>
                <w:tcPr>
                  <w:tcW w:w="416" w:type="pct"/>
                  <w:vMerge w:val="continue"/>
                  <w:vAlign w:val="center"/>
                </w:tcPr>
                <w:p>
                  <w:pPr>
                    <w:pStyle w:val="5"/>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p>
              </w:tc>
              <w:tc>
                <w:tcPr>
                  <w:tcW w:w="1205" w:type="pct"/>
                  <w:vAlign w:val="center"/>
                </w:tcPr>
                <w:p>
                  <w:pPr>
                    <w:pStyle w:val="5"/>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生态防护措施</w:t>
                  </w:r>
                </w:p>
              </w:tc>
              <w:tc>
                <w:tcPr>
                  <w:tcW w:w="2526" w:type="pct"/>
                  <w:vAlign w:val="center"/>
                </w:tcPr>
                <w:p>
                  <w:pPr>
                    <w:pStyle w:val="5"/>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土壤分层回填，临时占地及时清理、复耕、复植</w:t>
                  </w:r>
                </w:p>
              </w:tc>
              <w:tc>
                <w:tcPr>
                  <w:tcW w:w="850" w:type="pct"/>
                  <w:vAlign w:val="center"/>
                </w:tcPr>
                <w:p>
                  <w:pPr>
                    <w:pStyle w:val="5"/>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416" w:type="pct"/>
                  <w:vAlign w:val="center"/>
                </w:tcPr>
                <w:p>
                  <w:pPr>
                    <w:pStyle w:val="5"/>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运营期</w:t>
                  </w:r>
                </w:p>
              </w:tc>
              <w:tc>
                <w:tcPr>
                  <w:tcW w:w="1205" w:type="pct"/>
                  <w:vAlign w:val="center"/>
                </w:tcPr>
                <w:p>
                  <w:pPr>
                    <w:pStyle w:val="5"/>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生态防治措施</w:t>
                  </w:r>
                </w:p>
              </w:tc>
              <w:tc>
                <w:tcPr>
                  <w:tcW w:w="2526" w:type="pct"/>
                  <w:vAlign w:val="center"/>
                </w:tcPr>
                <w:p>
                  <w:pPr>
                    <w:pStyle w:val="5"/>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塔基周围进行绿化，植被复耕、复植</w:t>
                  </w:r>
                </w:p>
              </w:tc>
              <w:tc>
                <w:tcPr>
                  <w:tcW w:w="850" w:type="pct"/>
                  <w:vAlign w:val="center"/>
                </w:tcPr>
                <w:p>
                  <w:pPr>
                    <w:pStyle w:val="5"/>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1622" w:type="pct"/>
                  <w:gridSpan w:val="2"/>
                  <w:vAlign w:val="center"/>
                </w:tcPr>
                <w:p>
                  <w:pPr>
                    <w:pStyle w:val="5"/>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环境监测</w:t>
                  </w:r>
                </w:p>
              </w:tc>
              <w:tc>
                <w:tcPr>
                  <w:tcW w:w="2526" w:type="pct"/>
                  <w:vAlign w:val="center"/>
                </w:tcPr>
                <w:p>
                  <w:pPr>
                    <w:pStyle w:val="5"/>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环保验收监测</w:t>
                  </w:r>
                </w:p>
              </w:tc>
              <w:tc>
                <w:tcPr>
                  <w:tcW w:w="850" w:type="pct"/>
                  <w:vAlign w:val="center"/>
                </w:tcPr>
                <w:p>
                  <w:pPr>
                    <w:pStyle w:val="5"/>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9" w:hRule="atLeast"/>
                <w:jc w:val="center"/>
              </w:trPr>
              <w:tc>
                <w:tcPr>
                  <w:tcW w:w="4149" w:type="pct"/>
                  <w:gridSpan w:val="3"/>
                  <w:vAlign w:val="center"/>
                </w:tcPr>
                <w:p>
                  <w:pPr>
                    <w:pStyle w:val="5"/>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rPr>
                    <w:t>合计</w:t>
                  </w:r>
                </w:p>
              </w:tc>
              <w:tc>
                <w:tcPr>
                  <w:tcW w:w="850" w:type="pct"/>
                  <w:vAlign w:val="center"/>
                </w:tcPr>
                <w:p>
                  <w:pPr>
                    <w:pStyle w:val="5"/>
                    <w:keepNext w:val="0"/>
                    <w:keepLines w:val="0"/>
                    <w:pageBreakBefore w:val="0"/>
                    <w:widowControl w:val="0"/>
                    <w:kinsoku/>
                    <w:wordWrap/>
                    <w:overflowPunct/>
                    <w:topLinePunct/>
                    <w:autoSpaceDE/>
                    <w:autoSpaceDN/>
                    <w:bidi w:val="0"/>
                    <w:adjustRightInd/>
                    <w:snapToGrid/>
                    <w:spacing w:line="240" w:lineRule="auto"/>
                    <w:ind w:firstLine="0" w:firstLineChars="0"/>
                    <w:jc w:val="center"/>
                    <w:textAlignment w:val="auto"/>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80</w:t>
                  </w:r>
                </w:p>
              </w:tc>
            </w:tr>
            <w:bookmarkEnd w:id="49"/>
          </w:tbl>
          <w:p>
            <w:pPr>
              <w:rPr>
                <w:rFonts w:hint="eastAsia"/>
                <w:lang w:val="en-US" w:eastAsia="zh-CN"/>
              </w:rPr>
            </w:pPr>
          </w:p>
          <w:p>
            <w:pPr>
              <w:spacing w:before="48" w:line="219" w:lineRule="auto"/>
              <w:ind w:left="594"/>
              <w:rPr>
                <w:rFonts w:ascii="Times New Roman" w:hAnsi="Times New Roman" w:eastAsia="Times New Roman" w:cs="Times New Roman"/>
                <w:b/>
                <w:bCs/>
                <w:color w:val="auto"/>
                <w:spacing w:val="-6"/>
                <w:sz w:val="24"/>
                <w:szCs w:val="24"/>
              </w:rPr>
            </w:pPr>
            <w:r>
              <w:rPr>
                <w:rFonts w:hint="eastAsia" w:ascii="Times New Roman" w:hAnsi="Times New Roman" w:eastAsia="Times New Roman" w:cs="Times New Roman"/>
                <w:b/>
                <w:bCs/>
                <w:color w:val="auto"/>
                <w:spacing w:val="-6"/>
                <w:sz w:val="24"/>
                <w:szCs w:val="24"/>
                <w:lang w:val="en-US" w:eastAsia="zh-CN"/>
              </w:rPr>
              <w:t>8.</w:t>
            </w:r>
            <w:r>
              <w:rPr>
                <w:rFonts w:ascii="Times New Roman" w:hAnsi="Times New Roman" w:eastAsia="Times New Roman" w:cs="Times New Roman"/>
                <w:b/>
                <w:bCs/>
                <w:color w:val="auto"/>
                <w:spacing w:val="-6"/>
                <w:sz w:val="24"/>
                <w:szCs w:val="24"/>
              </w:rPr>
              <w:t>环境监理及监测计划</w:t>
            </w:r>
          </w:p>
          <w:p>
            <w:pPr>
              <w:spacing w:before="182" w:line="210" w:lineRule="auto"/>
              <w:ind w:left="588"/>
              <w:rPr>
                <w:rFonts w:ascii="宋体" w:hAnsi="宋体" w:eastAsia="宋体" w:cs="宋体"/>
                <w:color w:val="auto"/>
                <w:sz w:val="24"/>
                <w:szCs w:val="24"/>
              </w:rPr>
            </w:pPr>
            <w:r>
              <w:rPr>
                <w:rFonts w:hint="eastAsia" w:ascii="Times New Roman" w:hAnsi="Times New Roman" w:eastAsia="宋体" w:cs="Times New Roman"/>
                <w:color w:val="auto"/>
                <w:spacing w:val="-2"/>
                <w:sz w:val="24"/>
                <w:szCs w:val="24"/>
                <w:lang w:eastAsia="zh-CN"/>
              </w:rPr>
              <w:t>（1）</w:t>
            </w:r>
            <w:r>
              <w:rPr>
                <w:rFonts w:ascii="宋体" w:hAnsi="宋体" w:eastAsia="宋体" w:cs="宋体"/>
                <w:color w:val="auto"/>
                <w:spacing w:val="-2"/>
                <w:sz w:val="24"/>
                <w:szCs w:val="24"/>
              </w:rPr>
              <w:t>环境管理</w:t>
            </w:r>
          </w:p>
          <w:p>
            <w:pPr>
              <w:spacing w:before="192" w:line="359" w:lineRule="auto"/>
              <w:ind w:left="110" w:right="102" w:firstLine="477"/>
              <w:rPr>
                <w:rFonts w:ascii="宋体" w:hAnsi="宋体" w:eastAsia="宋体" w:cs="宋体"/>
                <w:color w:val="auto"/>
                <w:sz w:val="24"/>
                <w:szCs w:val="24"/>
              </w:rPr>
            </w:pPr>
            <w:r>
              <w:rPr>
                <w:rFonts w:ascii="宋体" w:hAnsi="宋体" w:eastAsia="宋体" w:cs="宋体"/>
                <w:color w:val="auto"/>
                <w:spacing w:val="-4"/>
                <w:sz w:val="24"/>
                <w:szCs w:val="24"/>
              </w:rPr>
              <w:t>根据国家有关规定，建设单位应设立专门环保机构，负责施工期和营运</w:t>
            </w:r>
            <w:r>
              <w:rPr>
                <w:rFonts w:ascii="宋体" w:hAnsi="宋体" w:eastAsia="宋体" w:cs="宋体"/>
                <w:color w:val="auto"/>
                <w:spacing w:val="-2"/>
                <w:sz w:val="24"/>
                <w:szCs w:val="24"/>
              </w:rPr>
              <w:t>期的环境管理工作。</w:t>
            </w:r>
          </w:p>
          <w:p>
            <w:pPr>
              <w:spacing w:line="212" w:lineRule="auto"/>
              <w:ind w:left="606"/>
              <w:rPr>
                <w:rFonts w:ascii="宋体" w:hAnsi="宋体" w:eastAsia="宋体" w:cs="宋体"/>
                <w:color w:val="auto"/>
                <w:sz w:val="24"/>
                <w:szCs w:val="24"/>
              </w:rPr>
            </w:pPr>
            <w:r>
              <w:rPr>
                <w:rFonts w:hint="eastAsia" w:ascii="Times New Roman" w:hAnsi="Times New Roman" w:eastAsia="宋体" w:cs="Times New Roman"/>
                <w:color w:val="auto"/>
                <w:spacing w:val="-3"/>
                <w:sz w:val="24"/>
                <w:szCs w:val="24"/>
                <w:lang w:eastAsia="zh-CN"/>
              </w:rPr>
              <w:t>1）</w:t>
            </w:r>
            <w:r>
              <w:rPr>
                <w:rFonts w:ascii="宋体" w:hAnsi="宋体" w:eastAsia="宋体" w:cs="宋体"/>
                <w:color w:val="auto"/>
                <w:spacing w:val="-3"/>
                <w:sz w:val="24"/>
                <w:szCs w:val="24"/>
              </w:rPr>
              <w:t>施工期环境管理职能及任务</w:t>
            </w:r>
          </w:p>
          <w:p>
            <w:pPr>
              <w:spacing w:before="193" w:line="359" w:lineRule="auto"/>
              <w:ind w:left="108" w:right="102" w:firstLine="480"/>
              <w:rPr>
                <w:rFonts w:ascii="宋体" w:hAnsi="宋体" w:eastAsia="宋体" w:cs="宋体"/>
                <w:color w:val="auto"/>
                <w:sz w:val="24"/>
                <w:szCs w:val="24"/>
              </w:rPr>
            </w:pPr>
            <w:r>
              <w:rPr>
                <w:rFonts w:ascii="宋体" w:hAnsi="宋体" w:eastAsia="宋体" w:cs="宋体"/>
                <w:color w:val="auto"/>
                <w:spacing w:val="-4"/>
                <w:sz w:val="24"/>
                <w:szCs w:val="24"/>
              </w:rPr>
              <w:t>本项目的施工均采取招投标制，施工招标中应对投标单位提出施工期间的环保要求，在施工设计文件中详细说明施工</w:t>
            </w:r>
            <w:r>
              <w:rPr>
                <w:rFonts w:hint="eastAsia" w:ascii="宋体" w:hAnsi="宋体" w:eastAsia="宋体" w:cs="宋体"/>
                <w:color w:val="auto"/>
                <w:spacing w:val="-4"/>
                <w:sz w:val="24"/>
                <w:szCs w:val="24"/>
                <w:lang w:eastAsia="zh-CN"/>
              </w:rPr>
              <w:t>期间</w:t>
            </w:r>
            <w:r>
              <w:rPr>
                <w:rFonts w:ascii="宋体" w:hAnsi="宋体" w:eastAsia="宋体" w:cs="宋体"/>
                <w:color w:val="auto"/>
                <w:spacing w:val="-4"/>
                <w:sz w:val="24"/>
                <w:szCs w:val="24"/>
              </w:rPr>
              <w:t>应注意的环保问题，严格要</w:t>
            </w:r>
            <w:r>
              <w:rPr>
                <w:rFonts w:ascii="宋体" w:hAnsi="宋体" w:eastAsia="宋体" w:cs="宋体"/>
                <w:color w:val="auto"/>
                <w:spacing w:val="-5"/>
                <w:sz w:val="24"/>
                <w:szCs w:val="24"/>
              </w:rPr>
              <w:t>求施工单位按设计文件施工，满足环境保护“三同时</w:t>
            </w:r>
            <w:r>
              <w:rPr>
                <w:rFonts w:ascii="宋体" w:hAnsi="宋体" w:eastAsia="宋体" w:cs="宋体"/>
                <w:color w:val="auto"/>
                <w:spacing w:val="-77"/>
                <w:sz w:val="24"/>
                <w:szCs w:val="24"/>
              </w:rPr>
              <w:t xml:space="preserve"> </w:t>
            </w:r>
            <w:r>
              <w:rPr>
                <w:rFonts w:ascii="宋体" w:hAnsi="宋体" w:eastAsia="宋体" w:cs="宋体"/>
                <w:color w:val="auto"/>
                <w:spacing w:val="-5"/>
                <w:sz w:val="24"/>
                <w:szCs w:val="24"/>
              </w:rPr>
              <w:t>”要求，即环保措施及</w:t>
            </w:r>
            <w:r>
              <w:rPr>
                <w:rFonts w:ascii="宋体" w:hAnsi="宋体" w:eastAsia="宋体" w:cs="宋体"/>
                <w:color w:val="auto"/>
                <w:spacing w:val="-4"/>
                <w:sz w:val="24"/>
                <w:szCs w:val="24"/>
              </w:rPr>
              <w:t>植被恢复措施必须与主体工程同时设计、同时施工、同时投产。建设方在施工期间应有专人负责环境管理工作，对施工中的每一道工序都应严格检查是</w:t>
            </w:r>
            <w:r>
              <w:rPr>
                <w:rFonts w:ascii="宋体" w:hAnsi="宋体" w:eastAsia="宋体" w:cs="宋体"/>
                <w:color w:val="auto"/>
                <w:spacing w:val="-1"/>
                <w:sz w:val="24"/>
                <w:szCs w:val="24"/>
              </w:rPr>
              <w:t>否满足环保要求，并不定期地对施工点进行监督抽查。</w:t>
            </w:r>
          </w:p>
          <w:p>
            <w:pPr>
              <w:spacing w:line="217" w:lineRule="auto"/>
              <w:ind w:left="586"/>
              <w:rPr>
                <w:rFonts w:ascii="宋体" w:hAnsi="宋体" w:eastAsia="宋体" w:cs="宋体"/>
                <w:color w:val="auto"/>
                <w:sz w:val="24"/>
                <w:szCs w:val="24"/>
              </w:rPr>
            </w:pPr>
            <w:r>
              <w:rPr>
                <w:rFonts w:ascii="宋体" w:hAnsi="宋体" w:eastAsia="宋体" w:cs="宋体"/>
                <w:color w:val="auto"/>
                <w:spacing w:val="-1"/>
                <w:sz w:val="24"/>
                <w:szCs w:val="24"/>
              </w:rPr>
              <w:t>①施工期环境管理的职责和任务如下：</w:t>
            </w:r>
          </w:p>
          <w:p>
            <w:pPr>
              <w:spacing w:before="183" w:line="217" w:lineRule="auto"/>
              <w:ind w:left="585"/>
              <w:rPr>
                <w:rFonts w:ascii="宋体" w:hAnsi="宋体" w:eastAsia="宋体" w:cs="宋体"/>
                <w:color w:val="auto"/>
                <w:sz w:val="24"/>
                <w:szCs w:val="24"/>
              </w:rPr>
            </w:pPr>
            <w:r>
              <w:rPr>
                <w:rFonts w:ascii="宋体" w:hAnsi="宋体" w:eastAsia="宋体" w:cs="宋体"/>
                <w:color w:val="auto"/>
                <w:sz w:val="24"/>
                <w:szCs w:val="24"/>
              </w:rPr>
              <w:t>②贯彻执行国家的各项环保方针、政策、法律法</w:t>
            </w:r>
            <w:r>
              <w:rPr>
                <w:rFonts w:ascii="宋体" w:hAnsi="宋体" w:eastAsia="宋体" w:cs="宋体"/>
                <w:color w:val="auto"/>
                <w:spacing w:val="-1"/>
                <w:sz w:val="24"/>
                <w:szCs w:val="24"/>
              </w:rPr>
              <w:t>规和各项规章制度。</w:t>
            </w:r>
          </w:p>
          <w:p>
            <w:pPr>
              <w:spacing w:before="185" w:line="289" w:lineRule="auto"/>
              <w:ind w:left="112" w:right="102" w:firstLine="473"/>
              <w:rPr>
                <w:rFonts w:hint="eastAsia" w:ascii="宋体" w:hAnsi="宋体" w:eastAsia="宋体" w:cs="宋体"/>
                <w:color w:val="auto"/>
                <w:spacing w:val="-3"/>
                <w:sz w:val="24"/>
                <w:szCs w:val="24"/>
                <w:lang w:eastAsia="zh-CN"/>
              </w:rPr>
            </w:pPr>
            <w:r>
              <w:rPr>
                <w:rFonts w:ascii="宋体" w:hAnsi="宋体" w:eastAsia="宋体" w:cs="宋体"/>
                <w:color w:val="auto"/>
                <w:spacing w:val="-4"/>
                <w:sz w:val="24"/>
                <w:szCs w:val="24"/>
              </w:rPr>
              <w:t>③制定工程施工中的环保计划，负责施工过程中各项环保措施实施的监</w:t>
            </w:r>
            <w:r>
              <w:rPr>
                <w:rFonts w:ascii="宋体" w:hAnsi="宋体" w:eastAsia="宋体" w:cs="宋体"/>
                <w:color w:val="auto"/>
                <w:spacing w:val="-3"/>
                <w:sz w:val="24"/>
                <w:szCs w:val="24"/>
              </w:rPr>
              <w:t>督和日常管理</w:t>
            </w:r>
            <w:r>
              <w:rPr>
                <w:rFonts w:hint="eastAsia" w:ascii="宋体" w:hAnsi="宋体" w:eastAsia="宋体" w:cs="宋体"/>
                <w:color w:val="auto"/>
                <w:spacing w:val="-3"/>
                <w:sz w:val="24"/>
                <w:szCs w:val="24"/>
                <w:lang w:eastAsia="zh-CN"/>
              </w:rPr>
              <w:t>。</w:t>
            </w:r>
          </w:p>
          <w:p>
            <w:pPr>
              <w:spacing w:before="185" w:line="289" w:lineRule="auto"/>
              <w:ind w:left="112" w:right="102" w:firstLine="473"/>
              <w:rPr>
                <w:rFonts w:ascii="宋体" w:hAnsi="宋体" w:eastAsia="宋体" w:cs="宋体"/>
                <w:color w:val="auto"/>
                <w:sz w:val="24"/>
                <w:szCs w:val="24"/>
              </w:rPr>
            </w:pPr>
            <w:r>
              <w:rPr>
                <w:rFonts w:ascii="宋体" w:hAnsi="宋体" w:eastAsia="宋体" w:cs="宋体"/>
                <w:color w:val="auto"/>
                <w:spacing w:val="-9"/>
                <w:sz w:val="24"/>
                <w:szCs w:val="24"/>
              </w:rPr>
              <w:t>④收集、整理、推广和实施工程建设中各项环境保护的先进经验和技术。</w:t>
            </w:r>
          </w:p>
          <w:p>
            <w:pPr>
              <w:spacing w:before="185" w:line="289" w:lineRule="auto"/>
              <w:ind w:left="107" w:right="102" w:firstLine="478"/>
              <w:rPr>
                <w:rFonts w:ascii="宋体" w:hAnsi="宋体" w:eastAsia="宋体" w:cs="宋体"/>
                <w:color w:val="auto"/>
                <w:sz w:val="24"/>
                <w:szCs w:val="24"/>
              </w:rPr>
            </w:pPr>
            <w:r>
              <w:rPr>
                <w:rFonts w:ascii="宋体" w:hAnsi="宋体" w:eastAsia="宋体" w:cs="宋体"/>
                <w:color w:val="auto"/>
                <w:spacing w:val="-4"/>
                <w:sz w:val="24"/>
                <w:szCs w:val="24"/>
              </w:rPr>
              <w:t>⑤组织施工人员进行施工活动中应遵循的环保法规、知识的培训，提高</w:t>
            </w:r>
            <w:r>
              <w:rPr>
                <w:rFonts w:ascii="宋体" w:hAnsi="宋体" w:eastAsia="宋体" w:cs="宋体"/>
                <w:color w:val="auto"/>
                <w:spacing w:val="-1"/>
                <w:sz w:val="24"/>
                <w:szCs w:val="24"/>
              </w:rPr>
              <w:t>全体员工文明施工的认识和能力。</w:t>
            </w:r>
          </w:p>
          <w:p>
            <w:pPr>
              <w:spacing w:before="182" w:line="289" w:lineRule="auto"/>
              <w:ind w:left="108" w:right="102" w:firstLine="477"/>
              <w:rPr>
                <w:rFonts w:ascii="宋体" w:hAnsi="宋体" w:eastAsia="宋体" w:cs="宋体"/>
                <w:color w:val="auto"/>
                <w:sz w:val="24"/>
                <w:szCs w:val="24"/>
              </w:rPr>
            </w:pPr>
            <w:r>
              <w:rPr>
                <w:rFonts w:ascii="宋体" w:hAnsi="宋体" w:eastAsia="宋体" w:cs="宋体"/>
                <w:color w:val="auto"/>
                <w:spacing w:val="-4"/>
                <w:sz w:val="24"/>
                <w:szCs w:val="24"/>
              </w:rPr>
              <w:t>⑥在施工计划中应尽量避免影响当地居民生活环境，保护生态和避免水</w:t>
            </w:r>
            <w:r>
              <w:rPr>
                <w:rFonts w:ascii="宋体" w:hAnsi="宋体" w:eastAsia="宋体" w:cs="宋体"/>
                <w:color w:val="auto"/>
                <w:spacing w:val="-1"/>
                <w:sz w:val="24"/>
                <w:szCs w:val="24"/>
              </w:rPr>
              <w:t>土流失，合理组织施工以减少临时施工用地。</w:t>
            </w:r>
          </w:p>
          <w:p>
            <w:pPr>
              <w:spacing w:before="180" w:line="217" w:lineRule="auto"/>
              <w:ind w:left="585"/>
              <w:rPr>
                <w:rFonts w:ascii="宋体" w:hAnsi="宋体" w:eastAsia="宋体" w:cs="宋体"/>
                <w:color w:val="auto"/>
                <w:sz w:val="24"/>
                <w:szCs w:val="24"/>
              </w:rPr>
            </w:pPr>
            <w:r>
              <w:rPr>
                <w:rFonts w:ascii="宋体" w:hAnsi="宋体" w:eastAsia="宋体" w:cs="宋体"/>
                <w:color w:val="auto"/>
                <w:spacing w:val="-1"/>
                <w:sz w:val="24"/>
                <w:szCs w:val="24"/>
              </w:rPr>
              <w:t>⑦做好施工中各种环境问题的收集、记录、建档和处理工作。</w:t>
            </w:r>
          </w:p>
          <w:p>
            <w:pPr>
              <w:spacing w:before="186" w:line="290" w:lineRule="auto"/>
              <w:ind w:left="110" w:right="102" w:firstLine="475"/>
              <w:rPr>
                <w:rFonts w:ascii="宋体" w:hAnsi="宋体" w:eastAsia="宋体" w:cs="宋体"/>
                <w:color w:val="auto"/>
                <w:sz w:val="24"/>
                <w:szCs w:val="24"/>
              </w:rPr>
            </w:pPr>
            <w:r>
              <w:rPr>
                <w:rFonts w:ascii="宋体" w:hAnsi="宋体" w:eastAsia="宋体" w:cs="宋体"/>
                <w:color w:val="auto"/>
                <w:spacing w:val="-4"/>
                <w:sz w:val="24"/>
                <w:szCs w:val="24"/>
              </w:rPr>
              <w:t>⑧监督施工单位在施工工作完成后的生态恢复，水保设施、环保设施等</w:t>
            </w:r>
            <w:r>
              <w:rPr>
                <w:rFonts w:ascii="宋体" w:hAnsi="宋体" w:eastAsia="宋体" w:cs="宋体"/>
                <w:color w:val="auto"/>
                <w:spacing w:val="-2"/>
                <w:sz w:val="24"/>
                <w:szCs w:val="24"/>
              </w:rPr>
              <w:t>各项保护工程的落实。</w:t>
            </w:r>
          </w:p>
          <w:p>
            <w:pPr>
              <w:spacing w:before="32" w:line="219" w:lineRule="auto"/>
              <w:ind w:left="109"/>
              <w:rPr>
                <w:rFonts w:ascii="宋体" w:hAnsi="宋体" w:eastAsia="宋体" w:cs="宋体"/>
                <w:color w:val="auto"/>
                <w:sz w:val="24"/>
                <w:szCs w:val="24"/>
              </w:rPr>
            </w:pPr>
            <w:r>
              <w:rPr>
                <w:rFonts w:ascii="宋体" w:hAnsi="宋体" w:eastAsia="宋体" w:cs="宋体"/>
                <w:color w:val="auto"/>
                <w:spacing w:val="-4"/>
                <w:sz w:val="24"/>
                <w:szCs w:val="24"/>
              </w:rPr>
              <w:t>项目竣工后，将各项环保措施落实完成情况上报当地环保、水利和林业</w:t>
            </w:r>
            <w:r>
              <w:rPr>
                <w:rFonts w:ascii="宋体" w:hAnsi="宋体" w:eastAsia="宋体" w:cs="宋体"/>
                <w:color w:val="auto"/>
                <w:spacing w:val="-3"/>
                <w:sz w:val="24"/>
                <w:szCs w:val="24"/>
              </w:rPr>
              <w:t>主管部门。</w:t>
            </w:r>
          </w:p>
          <w:p>
            <w:pPr>
              <w:spacing w:before="180" w:line="210" w:lineRule="auto"/>
              <w:ind w:left="583"/>
              <w:rPr>
                <w:rFonts w:ascii="宋体" w:hAnsi="宋体" w:eastAsia="宋体" w:cs="宋体"/>
                <w:color w:val="auto"/>
                <w:sz w:val="24"/>
                <w:szCs w:val="24"/>
              </w:rPr>
            </w:pPr>
            <w:r>
              <w:rPr>
                <w:rFonts w:hint="eastAsia" w:ascii="Times New Roman" w:hAnsi="Times New Roman" w:eastAsia="宋体" w:cs="Times New Roman"/>
                <w:color w:val="auto"/>
                <w:spacing w:val="-1"/>
                <w:sz w:val="24"/>
                <w:szCs w:val="24"/>
                <w:lang w:eastAsia="zh-CN"/>
              </w:rPr>
              <w:t>2）</w:t>
            </w:r>
            <w:r>
              <w:rPr>
                <w:rFonts w:ascii="宋体" w:hAnsi="宋体" w:eastAsia="宋体" w:cs="宋体"/>
                <w:color w:val="auto"/>
                <w:spacing w:val="-1"/>
                <w:sz w:val="24"/>
                <w:szCs w:val="24"/>
              </w:rPr>
              <w:t>运营期环境管理与职能</w:t>
            </w:r>
          </w:p>
          <w:p>
            <w:pPr>
              <w:spacing w:before="192" w:line="217" w:lineRule="auto"/>
              <w:ind w:left="586"/>
              <w:rPr>
                <w:rFonts w:ascii="宋体" w:hAnsi="宋体" w:eastAsia="宋体" w:cs="宋体"/>
                <w:color w:val="auto"/>
                <w:sz w:val="24"/>
                <w:szCs w:val="24"/>
              </w:rPr>
            </w:pPr>
            <w:r>
              <w:rPr>
                <w:rFonts w:ascii="宋体" w:hAnsi="宋体" w:eastAsia="宋体" w:cs="宋体"/>
                <w:color w:val="auto"/>
                <w:spacing w:val="-1"/>
                <w:sz w:val="24"/>
                <w:szCs w:val="24"/>
              </w:rPr>
              <w:t>①制定和实施各项环境管理计划。</w:t>
            </w:r>
          </w:p>
          <w:p>
            <w:pPr>
              <w:spacing w:before="186" w:line="288" w:lineRule="auto"/>
              <w:ind w:left="108" w:right="102" w:firstLine="477"/>
              <w:rPr>
                <w:rFonts w:ascii="宋体" w:hAnsi="宋体" w:eastAsia="宋体" w:cs="宋体"/>
                <w:color w:val="auto"/>
                <w:sz w:val="24"/>
                <w:szCs w:val="24"/>
              </w:rPr>
            </w:pPr>
            <w:r>
              <w:rPr>
                <w:rFonts w:ascii="宋体" w:hAnsi="宋体" w:eastAsia="宋体" w:cs="宋体"/>
                <w:color w:val="auto"/>
                <w:spacing w:val="-4"/>
                <w:sz w:val="24"/>
                <w:szCs w:val="24"/>
              </w:rPr>
              <w:t>②组织和落实项目运营期的环境监测、监督工作，委托有资质的单位承</w:t>
            </w:r>
            <w:r>
              <w:rPr>
                <w:rFonts w:ascii="宋体" w:hAnsi="宋体" w:eastAsia="宋体" w:cs="宋体"/>
                <w:color w:val="auto"/>
                <w:spacing w:val="-1"/>
                <w:sz w:val="24"/>
                <w:szCs w:val="24"/>
              </w:rPr>
              <w:t>担本项目的环境监测工作。</w:t>
            </w:r>
          </w:p>
          <w:p>
            <w:pPr>
              <w:spacing w:before="184" w:line="331" w:lineRule="auto"/>
              <w:ind w:left="108" w:right="102" w:firstLine="477"/>
              <w:rPr>
                <w:rFonts w:ascii="宋体" w:hAnsi="宋体" w:eastAsia="宋体" w:cs="宋体"/>
                <w:color w:val="auto"/>
                <w:sz w:val="24"/>
                <w:szCs w:val="24"/>
              </w:rPr>
            </w:pPr>
            <w:r>
              <w:rPr>
                <w:rFonts w:ascii="宋体" w:hAnsi="宋体" w:eastAsia="宋体" w:cs="宋体"/>
                <w:color w:val="auto"/>
                <w:spacing w:val="-4"/>
                <w:sz w:val="24"/>
                <w:szCs w:val="24"/>
              </w:rPr>
              <w:t>③掌握项目所在地周围的环境特征和重点环境保护目标情况，建立环境管理和环境监测技术文件，做好记录、建档工作。技术文件包括：污染源的监测记录技术文件；污染控制、环境保护设施的设计和运行管理文件；导致严重环境影响事件的分析报告和监测数据资料等。并定期向当地环保主管部</w:t>
            </w:r>
            <w:r>
              <w:rPr>
                <w:rFonts w:ascii="宋体" w:hAnsi="宋体" w:eastAsia="宋体" w:cs="宋体"/>
                <w:color w:val="auto"/>
                <w:spacing w:val="-3"/>
                <w:sz w:val="24"/>
                <w:szCs w:val="24"/>
              </w:rPr>
              <w:t>门申报。</w:t>
            </w:r>
          </w:p>
          <w:p>
            <w:pPr>
              <w:spacing w:before="184" w:line="289" w:lineRule="auto"/>
              <w:ind w:left="107" w:right="102" w:firstLine="478"/>
              <w:rPr>
                <w:rFonts w:ascii="宋体" w:hAnsi="宋体" w:eastAsia="宋体" w:cs="宋体"/>
                <w:color w:val="auto"/>
                <w:sz w:val="24"/>
                <w:szCs w:val="24"/>
              </w:rPr>
            </w:pPr>
            <w:r>
              <w:rPr>
                <w:rFonts w:ascii="宋体" w:hAnsi="宋体" w:eastAsia="宋体" w:cs="宋体"/>
                <w:color w:val="auto"/>
                <w:spacing w:val="-4"/>
                <w:sz w:val="24"/>
                <w:szCs w:val="24"/>
              </w:rPr>
              <w:t>④检查治理设施运行情况，及时处理出现的问题，保证治理设施的正常运行。</w:t>
            </w:r>
          </w:p>
          <w:p>
            <w:pPr>
              <w:spacing w:before="182" w:line="289" w:lineRule="auto"/>
              <w:ind w:left="112" w:right="102" w:firstLine="473"/>
              <w:rPr>
                <w:rFonts w:ascii="宋体" w:hAnsi="宋体" w:eastAsia="宋体" w:cs="宋体"/>
                <w:color w:val="auto"/>
                <w:sz w:val="24"/>
                <w:szCs w:val="24"/>
              </w:rPr>
            </w:pPr>
            <w:r>
              <w:rPr>
                <w:rFonts w:ascii="宋体" w:hAnsi="宋体" w:eastAsia="宋体" w:cs="宋体"/>
                <w:color w:val="auto"/>
                <w:spacing w:val="-4"/>
                <w:sz w:val="24"/>
                <w:szCs w:val="24"/>
              </w:rPr>
              <w:t>⑤不定期地巡查环境保护对象，保护生态环境不被破坏，保证生态保护</w:t>
            </w:r>
            <w:r>
              <w:rPr>
                <w:rFonts w:ascii="宋体" w:hAnsi="宋体" w:eastAsia="宋体" w:cs="宋体"/>
                <w:color w:val="auto"/>
                <w:spacing w:val="-2"/>
                <w:sz w:val="24"/>
                <w:szCs w:val="24"/>
              </w:rPr>
              <w:t>与工程运行相协调。</w:t>
            </w:r>
          </w:p>
          <w:p>
            <w:pPr>
              <w:spacing w:before="182" w:line="217" w:lineRule="auto"/>
              <w:ind w:left="585"/>
              <w:rPr>
                <w:rFonts w:ascii="宋体" w:hAnsi="宋体" w:eastAsia="宋体" w:cs="宋体"/>
                <w:color w:val="auto"/>
                <w:sz w:val="24"/>
                <w:szCs w:val="24"/>
              </w:rPr>
            </w:pPr>
            <w:r>
              <w:rPr>
                <w:rFonts w:ascii="宋体" w:hAnsi="宋体" w:eastAsia="宋体" w:cs="宋体"/>
                <w:color w:val="auto"/>
                <w:sz w:val="24"/>
                <w:szCs w:val="24"/>
              </w:rPr>
              <w:t>⑥协调配合上级环保主管部门所进行的环境调查</w:t>
            </w:r>
            <w:r>
              <w:rPr>
                <w:rFonts w:ascii="宋体" w:hAnsi="宋体" w:eastAsia="宋体" w:cs="宋体"/>
                <w:color w:val="auto"/>
                <w:spacing w:val="-1"/>
                <w:sz w:val="24"/>
                <w:szCs w:val="24"/>
              </w:rPr>
              <w:t>、生态调查等活动。</w:t>
            </w:r>
          </w:p>
          <w:p>
            <w:pPr>
              <w:spacing w:before="183" w:line="212" w:lineRule="auto"/>
              <w:ind w:left="588"/>
              <w:rPr>
                <w:rFonts w:ascii="宋体" w:hAnsi="宋体" w:eastAsia="宋体" w:cs="宋体"/>
                <w:color w:val="auto"/>
                <w:sz w:val="24"/>
                <w:szCs w:val="24"/>
              </w:rPr>
            </w:pPr>
            <w:r>
              <w:rPr>
                <w:rFonts w:hint="eastAsia" w:ascii="Times New Roman" w:hAnsi="Times New Roman" w:eastAsia="宋体" w:cs="Times New Roman"/>
                <w:color w:val="auto"/>
                <w:spacing w:val="-2"/>
                <w:sz w:val="24"/>
                <w:szCs w:val="24"/>
                <w:lang w:eastAsia="zh-CN"/>
              </w:rPr>
              <w:t>（2）</w:t>
            </w:r>
            <w:r>
              <w:rPr>
                <w:rFonts w:ascii="宋体" w:hAnsi="宋体" w:eastAsia="宋体" w:cs="宋体"/>
                <w:color w:val="auto"/>
                <w:spacing w:val="-2"/>
                <w:sz w:val="24"/>
                <w:szCs w:val="24"/>
              </w:rPr>
              <w:t>环境监测计划</w:t>
            </w:r>
          </w:p>
          <w:p>
            <w:pPr>
              <w:spacing w:before="193" w:line="360" w:lineRule="auto"/>
              <w:ind w:left="108" w:right="102" w:firstLine="480"/>
              <w:rPr>
                <w:rFonts w:ascii="宋体" w:hAnsi="宋体" w:eastAsia="宋体" w:cs="宋体"/>
                <w:color w:val="auto"/>
                <w:sz w:val="24"/>
                <w:szCs w:val="24"/>
              </w:rPr>
            </w:pPr>
            <w:r>
              <w:rPr>
                <w:rFonts w:ascii="宋体" w:hAnsi="宋体" w:eastAsia="宋体" w:cs="宋体"/>
                <w:color w:val="auto"/>
                <w:spacing w:val="-4"/>
                <w:sz w:val="24"/>
                <w:szCs w:val="24"/>
              </w:rPr>
              <w:t>本项目可不设专职的环境监测机构和人员，其环境监测工作可委托当地</w:t>
            </w:r>
            <w:r>
              <w:rPr>
                <w:rFonts w:ascii="宋体" w:hAnsi="宋体" w:eastAsia="宋体" w:cs="宋体"/>
                <w:color w:val="auto"/>
                <w:spacing w:val="21"/>
                <w:sz w:val="24"/>
                <w:szCs w:val="24"/>
              </w:rPr>
              <w:t>有</w:t>
            </w:r>
            <w:r>
              <w:rPr>
                <w:rFonts w:ascii="宋体" w:hAnsi="宋体" w:eastAsia="宋体" w:cs="宋体"/>
                <w:color w:val="auto"/>
                <w:spacing w:val="-69"/>
                <w:sz w:val="24"/>
                <w:szCs w:val="24"/>
              </w:rPr>
              <w:t xml:space="preserve"> </w:t>
            </w:r>
            <w:r>
              <w:rPr>
                <w:rFonts w:ascii="宋体" w:hAnsi="宋体" w:eastAsia="宋体" w:cs="宋体"/>
                <w:color w:val="auto"/>
                <w:spacing w:val="21"/>
                <w:sz w:val="24"/>
                <w:szCs w:val="24"/>
              </w:rPr>
              <w:t>资质的监测部门进行</w:t>
            </w:r>
            <w:r>
              <w:rPr>
                <w:rFonts w:ascii="宋体" w:hAnsi="宋体" w:eastAsia="宋体" w:cs="宋体"/>
                <w:color w:val="auto"/>
                <w:spacing w:val="-58"/>
                <w:sz w:val="24"/>
                <w:szCs w:val="24"/>
              </w:rPr>
              <w:t xml:space="preserve"> </w:t>
            </w:r>
            <w:r>
              <w:rPr>
                <w:rFonts w:ascii="宋体" w:hAnsi="宋体" w:eastAsia="宋体" w:cs="宋体"/>
                <w:color w:val="auto"/>
                <w:spacing w:val="21"/>
                <w:sz w:val="24"/>
                <w:szCs w:val="24"/>
              </w:rPr>
              <w:t>。参照《</w:t>
            </w:r>
            <w:r>
              <w:rPr>
                <w:rFonts w:ascii="宋体" w:hAnsi="宋体" w:eastAsia="宋体" w:cs="宋体"/>
                <w:color w:val="auto"/>
                <w:spacing w:val="-56"/>
                <w:sz w:val="24"/>
                <w:szCs w:val="24"/>
              </w:rPr>
              <w:t xml:space="preserve"> </w:t>
            </w:r>
            <w:r>
              <w:rPr>
                <w:rFonts w:ascii="宋体" w:hAnsi="宋体" w:eastAsia="宋体" w:cs="宋体"/>
                <w:color w:val="auto"/>
                <w:spacing w:val="21"/>
                <w:sz w:val="24"/>
                <w:szCs w:val="24"/>
              </w:rPr>
              <w:t>排污单位自行监测技术指南总</w:t>
            </w:r>
            <w:r>
              <w:rPr>
                <w:rFonts w:ascii="宋体" w:hAnsi="宋体" w:eastAsia="宋体" w:cs="宋体"/>
                <w:color w:val="auto"/>
                <w:spacing w:val="20"/>
                <w:sz w:val="24"/>
                <w:szCs w:val="24"/>
              </w:rPr>
              <w:t>则</w:t>
            </w:r>
            <w:r>
              <w:rPr>
                <w:rFonts w:ascii="宋体" w:hAnsi="宋体" w:eastAsia="宋体" w:cs="宋体"/>
                <w:color w:val="auto"/>
                <w:spacing w:val="-66"/>
                <w:sz w:val="24"/>
                <w:szCs w:val="24"/>
              </w:rPr>
              <w:t xml:space="preserve"> </w:t>
            </w:r>
            <w:r>
              <w:rPr>
                <w:rFonts w:ascii="宋体" w:hAnsi="宋体" w:eastAsia="宋体" w:cs="宋体"/>
                <w:color w:val="auto"/>
                <w:spacing w:val="20"/>
                <w:sz w:val="24"/>
                <w:szCs w:val="24"/>
              </w:rPr>
              <w:t>》</w:t>
            </w:r>
            <w:r>
              <w:rPr>
                <w:rFonts w:ascii="宋体" w:hAnsi="宋体" w:eastAsia="宋体" w:cs="宋体"/>
                <w:color w:val="auto"/>
                <w:sz w:val="24"/>
                <w:szCs w:val="24"/>
              </w:rPr>
              <w:t xml:space="preserve"> </w:t>
            </w:r>
            <w:r>
              <w:rPr>
                <w:rFonts w:ascii="宋体" w:hAnsi="宋体" w:eastAsia="宋体" w:cs="宋体"/>
                <w:color w:val="auto"/>
                <w:spacing w:val="-1"/>
                <w:sz w:val="24"/>
                <w:szCs w:val="24"/>
              </w:rPr>
              <w:t>（</w:t>
            </w:r>
            <w:r>
              <w:rPr>
                <w:rFonts w:ascii="Times New Roman" w:hAnsi="Times New Roman" w:eastAsia="Times New Roman" w:cs="Times New Roman"/>
                <w:color w:val="auto"/>
                <w:spacing w:val="-1"/>
                <w:sz w:val="24"/>
                <w:szCs w:val="24"/>
              </w:rPr>
              <w:t>HJ819-2017</w:t>
            </w:r>
            <w:r>
              <w:rPr>
                <w:rFonts w:ascii="宋体" w:hAnsi="宋体" w:eastAsia="宋体" w:cs="宋体"/>
                <w:color w:val="auto"/>
                <w:spacing w:val="6"/>
                <w:sz w:val="24"/>
                <w:szCs w:val="24"/>
              </w:rPr>
              <w:t>），</w:t>
            </w:r>
            <w:r>
              <w:rPr>
                <w:rFonts w:ascii="宋体" w:hAnsi="宋体" w:eastAsia="宋体" w:cs="宋体"/>
                <w:color w:val="auto"/>
                <w:spacing w:val="-1"/>
                <w:sz w:val="24"/>
                <w:szCs w:val="24"/>
              </w:rPr>
              <w:t>本项目的污染源监测计划如下表：</w:t>
            </w:r>
          </w:p>
          <w:p>
            <w:pPr>
              <w:pStyle w:val="52"/>
              <w:autoSpaceDE/>
              <w:autoSpaceDN/>
              <w:rPr>
                <w:color w:val="auto"/>
              </w:rPr>
            </w:pPr>
            <w:r>
              <w:rPr>
                <w:color w:val="auto"/>
              </w:rPr>
              <w:t>表</w:t>
            </w:r>
            <w:r>
              <w:rPr>
                <w:rFonts w:hint="default" w:ascii="Times New Roman" w:hAnsi="Times New Roman" w:cs="Times New Roman"/>
                <w:bCs/>
                <w:color w:val="auto"/>
              </w:rPr>
              <w:t>5-</w:t>
            </w:r>
            <w:r>
              <w:rPr>
                <w:rFonts w:hint="eastAsia" w:ascii="Times New Roman" w:hAnsi="Times New Roman" w:cs="Times New Roman"/>
                <w:bCs/>
                <w:color w:val="auto"/>
                <w:lang w:val="en-US" w:eastAsia="zh-CN"/>
              </w:rPr>
              <w:t>3</w:t>
            </w:r>
            <w:r>
              <w:rPr>
                <w:color w:val="auto"/>
              </w:rPr>
              <w:t>环境监测计划</w:t>
            </w:r>
            <w:r>
              <w:rPr>
                <w:rFonts w:hint="eastAsia"/>
                <w:color w:val="auto"/>
              </w:rPr>
              <w:t>（电磁及噪声）</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3"/>
              <w:gridCol w:w="1133"/>
              <w:gridCol w:w="1296"/>
              <w:gridCol w:w="1296"/>
              <w:gridCol w:w="2106"/>
              <w:gridCol w:w="23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1003"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lang w:eastAsia="zh-CN"/>
                    </w:rPr>
                    <w:t>阶段</w:t>
                  </w:r>
                </w:p>
              </w:tc>
              <w:tc>
                <w:tcPr>
                  <w:tcW w:w="1133"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lang w:eastAsia="zh-CN"/>
                    </w:rPr>
                    <w:t>监测内容</w:t>
                  </w:r>
                </w:p>
              </w:tc>
              <w:tc>
                <w:tcPr>
                  <w:tcW w:w="1296"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lang w:eastAsia="zh-CN"/>
                    </w:rPr>
                    <w:t>监测位置</w:t>
                  </w:r>
                </w:p>
              </w:tc>
              <w:tc>
                <w:tcPr>
                  <w:tcW w:w="1296"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lang w:eastAsia="zh-CN"/>
                    </w:rPr>
                    <w:t>监测因子</w:t>
                  </w:r>
                </w:p>
              </w:tc>
              <w:tc>
                <w:tcPr>
                  <w:tcW w:w="2106"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lang w:eastAsia="zh-CN"/>
                    </w:rPr>
                    <w:t>监测频次</w:t>
                  </w:r>
                </w:p>
              </w:tc>
              <w:tc>
                <w:tcPr>
                  <w:tcW w:w="2302"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lang w:eastAsia="zh-CN"/>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2" w:hRule="atLeast"/>
                <w:jc w:val="center"/>
              </w:trPr>
              <w:tc>
                <w:tcPr>
                  <w:tcW w:w="1003" w:type="dxa"/>
                  <w:vMerge w:val="restart"/>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lang w:eastAsia="zh-CN"/>
                    </w:rPr>
                    <w:t>运营期</w:t>
                  </w:r>
                </w:p>
              </w:tc>
              <w:tc>
                <w:tcPr>
                  <w:tcW w:w="1133"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lang w:eastAsia="zh-CN"/>
                    </w:rPr>
                    <w:t>电磁</w:t>
                  </w:r>
                </w:p>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lang w:eastAsia="zh-CN"/>
                    </w:rPr>
                    <w:t>影响</w:t>
                  </w:r>
                </w:p>
              </w:tc>
              <w:tc>
                <w:tcPr>
                  <w:tcW w:w="1296"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lang w:eastAsia="zh-CN"/>
                    </w:rPr>
                    <w:t>敏感目标处、输电线路断面</w:t>
                  </w:r>
                </w:p>
              </w:tc>
              <w:tc>
                <w:tcPr>
                  <w:tcW w:w="1296"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工频电场工频磁场</w:t>
                  </w:r>
                </w:p>
              </w:tc>
              <w:tc>
                <w:tcPr>
                  <w:tcW w:w="2106" w:type="dxa"/>
                  <w:vMerge w:val="restart"/>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lang w:eastAsia="zh-CN"/>
                    </w:rPr>
                    <w:t>结合工程竣工环境保护验收进行一次监测，运行期定期开展环境监测。</w:t>
                  </w:r>
                </w:p>
              </w:tc>
              <w:tc>
                <w:tcPr>
                  <w:tcW w:w="2302"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lang w:eastAsia="zh-CN"/>
                    </w:rPr>
                    <w:t>《电磁环境控制限值》（GB8702-2014）表1公众</w:t>
                  </w:r>
                  <w:r>
                    <w:rPr>
                      <w:rFonts w:hint="eastAsia" w:ascii="Times New Roman" w:hAnsi="Times New Roman" w:cs="Times New Roman" w:eastAsiaTheme="minorEastAsia"/>
                      <w:color w:val="auto"/>
                      <w:sz w:val="21"/>
                      <w:szCs w:val="21"/>
                      <w:lang w:eastAsia="zh-CN"/>
                    </w:rPr>
                    <w:t>暴露</w:t>
                  </w:r>
                  <w:r>
                    <w:rPr>
                      <w:rFonts w:ascii="Times New Roman" w:hAnsi="Times New Roman" w:cs="Times New Roman" w:eastAsiaTheme="minorEastAsia"/>
                      <w:color w:val="auto"/>
                      <w:sz w:val="21"/>
                      <w:szCs w:val="21"/>
                      <w:lang w:eastAsia="zh-CN"/>
                    </w:rPr>
                    <w:t>控制限值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2" w:hRule="atLeast"/>
                <w:jc w:val="center"/>
              </w:trPr>
              <w:tc>
                <w:tcPr>
                  <w:tcW w:w="1003" w:type="dxa"/>
                  <w:vMerge w:val="continue"/>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p>
              </w:tc>
              <w:tc>
                <w:tcPr>
                  <w:tcW w:w="1133"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噪声</w:t>
                  </w:r>
                </w:p>
              </w:tc>
              <w:tc>
                <w:tcPr>
                  <w:tcW w:w="1296"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敏感目标处</w:t>
                  </w:r>
                </w:p>
              </w:tc>
              <w:tc>
                <w:tcPr>
                  <w:tcW w:w="1296"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等效连续A声级</w:t>
                  </w:r>
                </w:p>
              </w:tc>
              <w:tc>
                <w:tcPr>
                  <w:tcW w:w="2106" w:type="dxa"/>
                  <w:vMerge w:val="continue"/>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sz w:val="21"/>
                      <w:szCs w:val="21"/>
                    </w:rPr>
                  </w:pPr>
                </w:p>
              </w:tc>
              <w:tc>
                <w:tcPr>
                  <w:tcW w:w="2302" w:type="dxa"/>
                  <w:vAlign w:val="center"/>
                </w:tcPr>
                <w:p>
                  <w:pPr>
                    <w:pStyle w:val="5"/>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auto"/>
                    <w:rPr>
                      <w:rFonts w:ascii="Times New Roman" w:hAnsi="Times New Roman" w:cs="Times New Roman" w:eastAsiaTheme="minorEastAsia"/>
                      <w:color w:val="auto"/>
                      <w:sz w:val="21"/>
                      <w:szCs w:val="21"/>
                      <w:lang w:eastAsia="zh-CN"/>
                    </w:rPr>
                  </w:pPr>
                  <w:r>
                    <w:rPr>
                      <w:rFonts w:ascii="Times New Roman" w:hAnsi="Times New Roman" w:cs="Times New Roman" w:eastAsiaTheme="minorEastAsia"/>
                      <w:color w:val="auto"/>
                      <w:sz w:val="21"/>
                      <w:szCs w:val="21"/>
                      <w:lang w:eastAsia="zh-CN"/>
                    </w:rPr>
                    <w:t>《声环境质量标准》（GB3096-2008）1类标准</w:t>
                  </w:r>
                </w:p>
              </w:tc>
            </w:tr>
          </w:tbl>
          <w:p>
            <w:pPr>
              <w:pStyle w:val="38"/>
              <w:kinsoku/>
              <w:topLinePunct/>
              <w:autoSpaceDE/>
              <w:autoSpaceDN/>
              <w:spacing w:line="240" w:lineRule="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注：（断面监测点间距一般为5m，顺序测至距离边导线对地投影外40m处为止）</w:t>
            </w:r>
          </w:p>
          <w:p>
            <w:pPr>
              <w:spacing w:before="182" w:line="313" w:lineRule="auto"/>
              <w:ind w:left="107" w:right="102" w:firstLine="478"/>
              <w:rPr>
                <w:rFonts w:ascii="宋体" w:hAnsi="宋体" w:eastAsia="宋体" w:cs="宋体"/>
                <w:color w:val="auto"/>
                <w:spacing w:val="8"/>
                <w:sz w:val="24"/>
                <w:szCs w:val="24"/>
              </w:rPr>
            </w:pPr>
          </w:p>
          <w:p>
            <w:pPr>
              <w:spacing w:before="183" w:line="342" w:lineRule="auto"/>
              <w:ind w:left="108" w:leftChars="0" w:right="102" w:rightChars="0" w:firstLine="479" w:firstLineChars="0"/>
              <w:rPr>
                <w:rFonts w:ascii="宋体" w:hAnsi="宋体" w:eastAsia="宋体" w:cs="宋体"/>
                <w:color w:val="auto"/>
                <w:kern w:val="2"/>
                <w:sz w:val="24"/>
                <w:szCs w:val="24"/>
                <w:lang w:val="en-US" w:eastAsia="zh-CN" w:bidi="ar-SA"/>
              </w:rPr>
            </w:pPr>
          </w:p>
          <w:p>
            <w:pPr>
              <w:pStyle w:val="5"/>
              <w:rPr>
                <w:rFonts w:ascii="宋体" w:hAnsi="宋体" w:eastAsia="宋体" w:cs="宋体"/>
                <w:color w:val="auto"/>
                <w:kern w:val="2"/>
                <w:sz w:val="24"/>
                <w:szCs w:val="24"/>
                <w:lang w:val="en-US" w:eastAsia="zh-CN" w:bidi="ar-SA"/>
              </w:rPr>
            </w:pPr>
          </w:p>
          <w:p>
            <w:pPr>
              <w:rPr>
                <w:rFonts w:ascii="宋体" w:hAnsi="宋体" w:eastAsia="宋体" w:cs="宋体"/>
                <w:color w:val="auto"/>
                <w:kern w:val="2"/>
                <w:sz w:val="24"/>
                <w:szCs w:val="24"/>
                <w:lang w:val="en-US" w:eastAsia="zh-CN" w:bidi="ar-SA"/>
              </w:rPr>
            </w:pPr>
          </w:p>
          <w:p>
            <w:pPr>
              <w:pStyle w:val="5"/>
              <w:rPr>
                <w:rFonts w:ascii="宋体" w:hAnsi="宋体" w:eastAsia="宋体" w:cs="宋体"/>
                <w:color w:val="auto"/>
                <w:kern w:val="2"/>
                <w:sz w:val="24"/>
                <w:szCs w:val="24"/>
                <w:lang w:val="en-US" w:eastAsia="zh-CN" w:bidi="ar-SA"/>
              </w:rPr>
            </w:pPr>
          </w:p>
          <w:p>
            <w:pPr>
              <w:rPr>
                <w:rFonts w:ascii="宋体" w:hAnsi="宋体" w:eastAsia="宋体" w:cs="宋体"/>
                <w:color w:val="auto"/>
                <w:kern w:val="2"/>
                <w:sz w:val="24"/>
                <w:szCs w:val="24"/>
                <w:lang w:val="en-US" w:eastAsia="zh-CN" w:bidi="ar-SA"/>
              </w:rPr>
            </w:pPr>
          </w:p>
          <w:p>
            <w:pPr>
              <w:pStyle w:val="5"/>
              <w:rPr>
                <w:rFonts w:ascii="宋体" w:hAnsi="宋体" w:eastAsia="宋体" w:cs="宋体"/>
                <w:color w:val="auto"/>
                <w:kern w:val="2"/>
                <w:sz w:val="24"/>
                <w:szCs w:val="24"/>
                <w:lang w:val="en-US" w:eastAsia="zh-CN" w:bidi="ar-SA"/>
              </w:rPr>
            </w:pPr>
          </w:p>
          <w:p>
            <w:pPr>
              <w:rPr>
                <w:rFonts w:ascii="宋体" w:hAnsi="宋体" w:eastAsia="宋体" w:cs="宋体"/>
                <w:color w:val="auto"/>
                <w:kern w:val="2"/>
                <w:sz w:val="24"/>
                <w:szCs w:val="24"/>
                <w:lang w:val="en-US" w:eastAsia="zh-CN" w:bidi="ar-SA"/>
              </w:rPr>
            </w:pPr>
          </w:p>
          <w:p>
            <w:pPr>
              <w:pStyle w:val="5"/>
              <w:rPr>
                <w:rFonts w:ascii="宋体" w:hAnsi="宋体" w:eastAsia="宋体" w:cs="宋体"/>
                <w:color w:val="auto"/>
                <w:kern w:val="2"/>
                <w:sz w:val="24"/>
                <w:szCs w:val="24"/>
                <w:lang w:val="en-US" w:eastAsia="zh-CN" w:bidi="ar-SA"/>
              </w:rPr>
            </w:pPr>
          </w:p>
          <w:p>
            <w:pPr>
              <w:rPr>
                <w:lang w:val="en-US" w:eastAsia="zh-CN"/>
              </w:rPr>
            </w:pPr>
          </w:p>
        </w:tc>
      </w:tr>
    </w:tbl>
    <w:p>
      <w:pPr>
        <w:pStyle w:val="7"/>
        <w:rPr>
          <w:color w:val="auto"/>
        </w:rPr>
      </w:pPr>
    </w:p>
    <w:p>
      <w:pPr>
        <w:rPr>
          <w:color w:val="auto"/>
        </w:rPr>
        <w:sectPr>
          <w:footerReference r:id="rId10" w:type="default"/>
          <w:pgSz w:w="11907" w:h="16840"/>
          <w:pgMar w:top="1440" w:right="1080" w:bottom="1440" w:left="1080" w:header="0" w:footer="1077" w:gutter="0"/>
          <w:pgBorders>
            <w:top w:val="none" w:sz="0" w:space="0"/>
            <w:left w:val="none" w:sz="0" w:space="0"/>
            <w:bottom w:val="none" w:sz="0" w:space="0"/>
            <w:right w:val="none" w:sz="0" w:space="0"/>
          </w:pgBorders>
          <w:pgNumType w:fmt="decimal"/>
          <w:cols w:space="720" w:num="1"/>
        </w:sectPr>
      </w:pPr>
    </w:p>
    <w:p>
      <w:pPr>
        <w:spacing w:before="97" w:line="222" w:lineRule="auto"/>
        <w:jc w:val="center"/>
        <w:rPr>
          <w:rFonts w:ascii="黑体" w:hAnsi="黑体" w:eastAsia="黑体" w:cs="黑体"/>
          <w:color w:val="auto"/>
          <w:spacing w:val="-2"/>
          <w:sz w:val="30"/>
          <w:szCs w:val="30"/>
        </w:rPr>
      </w:pPr>
      <w:r>
        <w:rPr>
          <w:rFonts w:ascii="黑体" w:hAnsi="黑体" w:eastAsia="黑体" w:cs="黑体"/>
          <w:color w:val="auto"/>
          <w:spacing w:val="-2"/>
          <w:sz w:val="30"/>
          <w:szCs w:val="30"/>
        </w:rPr>
        <w:t>六、生态环境保护措施监督检查清单</w:t>
      </w:r>
    </w:p>
    <w:tbl>
      <w:tblPr>
        <w:tblStyle w:val="31"/>
        <w:tblW w:w="500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543"/>
        <w:gridCol w:w="2524"/>
        <w:gridCol w:w="1712"/>
        <w:gridCol w:w="1269"/>
        <w:gridCol w:w="224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541" w:type="dxa"/>
            <w:vMerge w:val="restart"/>
            <w:tcBorders>
              <w:top w:val="single" w:color="000000" w:sz="6" w:space="0"/>
              <w:left w:val="single" w:color="000000" w:sz="6" w:space="0"/>
              <w:bottom w:val="nil"/>
              <w:tl2br w:val="single" w:color="000000" w:sz="4" w:space="0"/>
            </w:tcBorders>
            <w:vAlign w:val="center"/>
          </w:tcPr>
          <w:p>
            <w:pPr>
              <w:spacing w:before="65" w:line="336" w:lineRule="auto"/>
              <w:ind w:left="109" w:right="133" w:firstLine="770"/>
              <w:jc w:val="center"/>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内容要素</w:t>
            </w:r>
          </w:p>
        </w:tc>
        <w:tc>
          <w:tcPr>
            <w:tcW w:w="4229" w:type="dxa"/>
            <w:gridSpan w:val="2"/>
            <w:tcBorders>
              <w:top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施工期</w:t>
            </w:r>
          </w:p>
        </w:tc>
        <w:tc>
          <w:tcPr>
            <w:tcW w:w="3503" w:type="dxa"/>
            <w:gridSpan w:val="2"/>
            <w:tcBorders>
              <w:top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运营期</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541" w:type="dxa"/>
            <w:vMerge w:val="continue"/>
            <w:tcBorders>
              <w:top w:val="nil"/>
              <w:left w:val="single" w:color="000000" w:sz="6" w:space="0"/>
              <w:tl2br w:val="single" w:color="000000" w:sz="4" w:space="0"/>
            </w:tcBorders>
            <w:vAlign w:val="center"/>
          </w:tcPr>
          <w:p>
            <w:pPr>
              <w:jc w:val="center"/>
              <w:rPr>
                <w:rFonts w:ascii="Times New Roman" w:hAnsi="Times New Roman" w:cs="Times New Roman" w:eastAsiaTheme="minorEastAsia"/>
                <w:color w:val="auto"/>
                <w:kern w:val="2"/>
                <w:sz w:val="21"/>
                <w:szCs w:val="21"/>
                <w:lang w:val="en-US" w:eastAsia="zh-CN" w:bidi="ar-SA"/>
              </w:rPr>
            </w:pPr>
          </w:p>
        </w:tc>
        <w:tc>
          <w:tcPr>
            <w:tcW w:w="2520"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环境保护措施</w:t>
            </w:r>
          </w:p>
        </w:tc>
        <w:tc>
          <w:tcPr>
            <w:tcW w:w="1709"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验收要求</w:t>
            </w:r>
          </w:p>
        </w:tc>
        <w:tc>
          <w:tcPr>
            <w:tcW w:w="1267"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环境保护措施</w:t>
            </w:r>
          </w:p>
        </w:tc>
        <w:tc>
          <w:tcPr>
            <w:tcW w:w="2236" w:type="dxa"/>
            <w:tcBorders>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验收要求</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541" w:type="dxa"/>
            <w:tcBorders>
              <w:left w:val="single" w:color="000000" w:sz="6"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65" w:line="231"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陆生生态</w:t>
            </w:r>
          </w:p>
        </w:tc>
        <w:tc>
          <w:tcPr>
            <w:tcW w:w="2520"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施工临时用地应尽量避免占用植被覆盖度高的区域，施工过程中对形成的裸露地表应在施工结束后</w:t>
            </w:r>
            <w:r>
              <w:rPr>
                <w:rFonts w:hint="eastAsia" w:ascii="Times New Roman" w:hAnsi="Times New Roman" w:cs="Times New Roman" w:eastAsiaTheme="minorEastAsia"/>
                <w:color w:val="auto"/>
                <w:kern w:val="2"/>
                <w:sz w:val="21"/>
                <w:szCs w:val="21"/>
                <w:lang w:val="en-US" w:eastAsia="zh-CN" w:bidi="ar-SA"/>
              </w:rPr>
              <w:t>两个</w:t>
            </w:r>
            <w:r>
              <w:rPr>
                <w:rFonts w:ascii="Times New Roman" w:hAnsi="Times New Roman" w:cs="Times New Roman" w:eastAsiaTheme="minorEastAsia"/>
                <w:color w:val="auto"/>
                <w:kern w:val="2"/>
                <w:sz w:val="21"/>
                <w:szCs w:val="21"/>
                <w:lang w:val="en-US" w:eastAsia="zh-CN" w:bidi="ar-SA"/>
              </w:rPr>
              <w:t>月内予以土地平整、绿化恢复。避免雨季施工，避开农忙季节施工。不在生态红线内设置临时施工场地，不在保护区内设置牵张场</w:t>
            </w:r>
          </w:p>
        </w:tc>
        <w:tc>
          <w:tcPr>
            <w:tcW w:w="1709"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施工结束后尽快进行生态恢复，恢复原始地表</w:t>
            </w:r>
          </w:p>
        </w:tc>
        <w:tc>
          <w:tcPr>
            <w:tcW w:w="1267"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临时占地区域平整，绿化、复耕、复植</w:t>
            </w:r>
          </w:p>
        </w:tc>
        <w:tc>
          <w:tcPr>
            <w:tcW w:w="2236" w:type="dxa"/>
            <w:tcBorders>
              <w:right w:val="single" w:color="000000" w:sz="6" w:space="0"/>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塔基周边进行绿化，临时占地区域完成复耕、复植</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541" w:type="dxa"/>
            <w:tcBorders>
              <w:left w:val="single" w:color="000000" w:sz="6"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241" w:line="228"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水生生态</w:t>
            </w:r>
          </w:p>
        </w:tc>
        <w:tc>
          <w:tcPr>
            <w:tcW w:w="2520" w:type="dxa"/>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w:t>
            </w:r>
          </w:p>
        </w:tc>
        <w:tc>
          <w:tcPr>
            <w:tcW w:w="1709" w:type="dxa"/>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w:t>
            </w:r>
          </w:p>
        </w:tc>
        <w:tc>
          <w:tcPr>
            <w:tcW w:w="1267" w:type="dxa"/>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w:t>
            </w:r>
          </w:p>
        </w:tc>
        <w:tc>
          <w:tcPr>
            <w:tcW w:w="2236" w:type="dxa"/>
            <w:tcBorders>
              <w:right w:val="single" w:color="000000" w:sz="6"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541" w:type="dxa"/>
            <w:tcBorders>
              <w:left w:val="single" w:color="000000" w:sz="6"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65" w:line="228"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地表水环境</w:t>
            </w:r>
          </w:p>
        </w:tc>
        <w:tc>
          <w:tcPr>
            <w:tcW w:w="2520" w:type="dxa"/>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车辆冲洗水经沉淀池处理后在施工现场进行回用；施工人员统一租用当地村庄民房</w:t>
            </w:r>
            <w:r>
              <w:rPr>
                <w:rFonts w:hint="eastAsia" w:ascii="Times New Roman" w:hAnsi="Times New Roman" w:cs="Times New Roman" w:eastAsiaTheme="minorEastAsia"/>
                <w:color w:val="auto"/>
                <w:kern w:val="2"/>
                <w:sz w:val="21"/>
                <w:szCs w:val="21"/>
                <w:lang w:val="en-US" w:eastAsia="zh-CN" w:bidi="ar-SA"/>
              </w:rPr>
              <w:t>，将</w:t>
            </w:r>
            <w:r>
              <w:rPr>
                <w:rFonts w:ascii="Times New Roman" w:hAnsi="Times New Roman" w:cs="Times New Roman" w:eastAsiaTheme="minorEastAsia"/>
                <w:color w:val="auto"/>
                <w:kern w:val="2"/>
                <w:sz w:val="21"/>
                <w:szCs w:val="21"/>
                <w:lang w:val="en-US" w:eastAsia="zh-CN" w:bidi="ar-SA"/>
              </w:rPr>
              <w:t>生活污水排入村庄化粪池，定期清掏做农家肥</w:t>
            </w:r>
          </w:p>
        </w:tc>
        <w:tc>
          <w:tcPr>
            <w:tcW w:w="1709" w:type="dxa"/>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不会对周围水环境产生影响</w:t>
            </w:r>
          </w:p>
        </w:tc>
        <w:tc>
          <w:tcPr>
            <w:tcW w:w="1267" w:type="dxa"/>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w:t>
            </w:r>
          </w:p>
        </w:tc>
        <w:tc>
          <w:tcPr>
            <w:tcW w:w="2236" w:type="dxa"/>
            <w:tcBorders>
              <w:right w:val="single" w:color="000000" w:sz="6"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541" w:type="dxa"/>
            <w:tcBorders>
              <w:left w:val="single" w:color="000000" w:sz="6"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107" w:line="252" w:lineRule="auto"/>
              <w:ind w:left="0" w:right="185"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地下水及土壤环境</w:t>
            </w:r>
          </w:p>
        </w:tc>
        <w:tc>
          <w:tcPr>
            <w:tcW w:w="2520" w:type="dxa"/>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w:t>
            </w:r>
          </w:p>
        </w:tc>
        <w:tc>
          <w:tcPr>
            <w:tcW w:w="1709" w:type="dxa"/>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w:t>
            </w:r>
          </w:p>
        </w:tc>
        <w:tc>
          <w:tcPr>
            <w:tcW w:w="1267" w:type="dxa"/>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w:t>
            </w:r>
          </w:p>
        </w:tc>
        <w:tc>
          <w:tcPr>
            <w:tcW w:w="2236" w:type="dxa"/>
            <w:tcBorders>
              <w:right w:val="single" w:color="000000" w:sz="6"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541" w:type="dxa"/>
            <w:tcBorders>
              <w:left w:val="single" w:color="000000" w:sz="6"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声环境</w:t>
            </w:r>
          </w:p>
        </w:tc>
        <w:tc>
          <w:tcPr>
            <w:tcW w:w="2520" w:type="dxa"/>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选用低噪施工设备，加强施工机械保养、合理安排施工时间</w:t>
            </w:r>
          </w:p>
        </w:tc>
        <w:tc>
          <w:tcPr>
            <w:tcW w:w="1709" w:type="dxa"/>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w:t>
            </w:r>
            <w:r>
              <w:rPr>
                <w:rFonts w:hint="eastAsia" w:ascii="Times New Roman" w:hAnsi="Times New Roman" w:cs="Times New Roman" w:eastAsiaTheme="minorEastAsia"/>
                <w:color w:val="auto"/>
                <w:kern w:val="2"/>
                <w:sz w:val="21"/>
                <w:szCs w:val="21"/>
                <w:lang w:val="en-US" w:eastAsia="zh-CN" w:bidi="ar-SA"/>
              </w:rPr>
              <w:t>建筑施工噪声排放标准</w:t>
            </w:r>
            <w:r>
              <w:rPr>
                <w:rFonts w:ascii="Times New Roman" w:hAnsi="Times New Roman" w:cs="Times New Roman" w:eastAsiaTheme="minorEastAsia"/>
                <w:color w:val="auto"/>
                <w:kern w:val="2"/>
                <w:sz w:val="21"/>
                <w:szCs w:val="21"/>
                <w:lang w:val="en-US" w:eastAsia="zh-CN" w:bidi="ar-SA"/>
              </w:rPr>
              <w:t>》</w:t>
            </w:r>
            <w:r>
              <w:rPr>
                <w:rFonts w:ascii="Times New Roman" w:hAnsi="Times New Roman" w:cs="Times New Roman" w:eastAsiaTheme="minorEastAsia"/>
                <w:color w:val="auto"/>
                <w:kern w:val="2"/>
                <w:sz w:val="21"/>
                <w:szCs w:val="21"/>
                <w:lang w:val="en-US" w:eastAsia="zh-CN" w:bidi="ar-SA"/>
              </w:rPr>
              <w:tab/>
            </w:r>
            <w:r>
              <w:rPr>
                <w:rFonts w:ascii="Times New Roman" w:hAnsi="Times New Roman" w:cs="Times New Roman" w:eastAsiaTheme="minorEastAsia"/>
                <w:color w:val="auto"/>
                <w:kern w:val="2"/>
                <w:sz w:val="21"/>
                <w:szCs w:val="21"/>
                <w:lang w:val="en-US" w:eastAsia="zh-CN" w:bidi="ar-SA"/>
              </w:rPr>
              <w:t>(</w:t>
            </w:r>
            <w:r>
              <w:rPr>
                <w:rFonts w:hint="eastAsia" w:ascii="Times New Roman" w:hAnsi="Times New Roman" w:cs="Times New Roman" w:eastAsiaTheme="minorEastAsia"/>
                <w:color w:val="auto"/>
                <w:kern w:val="2"/>
                <w:sz w:val="21"/>
                <w:szCs w:val="21"/>
                <w:lang w:val="en-US" w:eastAsia="zh-CN" w:bidi="ar-SA"/>
              </w:rPr>
              <w:t>GB 12523-2025</w:t>
            </w:r>
            <w:r>
              <w:rPr>
                <w:rFonts w:ascii="Times New Roman" w:hAnsi="Times New Roman" w:cs="Times New Roman" w:eastAsiaTheme="minorEastAsia"/>
                <w:color w:val="auto"/>
                <w:kern w:val="2"/>
                <w:sz w:val="21"/>
                <w:szCs w:val="21"/>
                <w:lang w:val="en-US" w:eastAsia="zh-CN" w:bidi="ar-SA"/>
              </w:rPr>
              <w:t>)</w:t>
            </w:r>
          </w:p>
        </w:tc>
        <w:tc>
          <w:tcPr>
            <w:tcW w:w="1267" w:type="dxa"/>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运行期线路沿线声环境维持现状水平</w:t>
            </w:r>
          </w:p>
        </w:tc>
        <w:tc>
          <w:tcPr>
            <w:tcW w:w="2236" w:type="dxa"/>
            <w:tcBorders>
              <w:right w:val="single" w:color="000000" w:sz="6"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《声环境质量标准》（GB3096-2008）1类标准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541" w:type="dxa"/>
            <w:tcBorders>
              <w:left w:val="single" w:color="000000" w:sz="6"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244"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振动</w:t>
            </w:r>
          </w:p>
        </w:tc>
        <w:tc>
          <w:tcPr>
            <w:tcW w:w="2520" w:type="dxa"/>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w:t>
            </w:r>
          </w:p>
        </w:tc>
        <w:tc>
          <w:tcPr>
            <w:tcW w:w="1709" w:type="dxa"/>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w:t>
            </w:r>
          </w:p>
        </w:tc>
        <w:tc>
          <w:tcPr>
            <w:tcW w:w="1267" w:type="dxa"/>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w:t>
            </w:r>
          </w:p>
        </w:tc>
        <w:tc>
          <w:tcPr>
            <w:tcW w:w="2236" w:type="dxa"/>
            <w:tcBorders>
              <w:right w:val="single" w:color="000000" w:sz="6"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541" w:type="dxa"/>
            <w:tcBorders>
              <w:left w:val="single" w:color="000000" w:sz="6"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大气环境</w:t>
            </w:r>
          </w:p>
        </w:tc>
        <w:tc>
          <w:tcPr>
            <w:tcW w:w="2520" w:type="dxa"/>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工地周边设置围挡、散体物料堆放100%苫盖、渣土车辆100%密闭运输、洒水降尘</w:t>
            </w:r>
          </w:p>
        </w:tc>
        <w:tc>
          <w:tcPr>
            <w:tcW w:w="1709" w:type="dxa"/>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《辽宁省施工及堆料场地扬尘排放标准》</w:t>
            </w:r>
            <w:r>
              <w:rPr>
                <w:rFonts w:hint="eastAsia" w:ascii="Times New Roman" w:hAnsi="Times New Roman" w:cs="Times New Roman" w:eastAsiaTheme="minorEastAsia"/>
                <w:color w:val="auto"/>
                <w:kern w:val="2"/>
                <w:sz w:val="21"/>
                <w:szCs w:val="21"/>
                <w:lang w:val="en-US" w:eastAsia="zh-CN" w:bidi="ar-SA"/>
              </w:rPr>
              <w:t>（</w:t>
            </w:r>
            <w:r>
              <w:rPr>
                <w:rFonts w:ascii="Times New Roman" w:hAnsi="Times New Roman" w:cs="Times New Roman" w:eastAsiaTheme="minorEastAsia"/>
                <w:color w:val="auto"/>
                <w:kern w:val="2"/>
                <w:sz w:val="21"/>
                <w:szCs w:val="21"/>
                <w:lang w:val="en-US" w:eastAsia="zh-CN" w:bidi="ar-SA"/>
              </w:rPr>
              <w:t>DB21/2642-2016)</w:t>
            </w:r>
          </w:p>
        </w:tc>
        <w:tc>
          <w:tcPr>
            <w:tcW w:w="1267" w:type="dxa"/>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w:t>
            </w:r>
          </w:p>
        </w:tc>
        <w:tc>
          <w:tcPr>
            <w:tcW w:w="2236" w:type="dxa"/>
            <w:tcBorders>
              <w:right w:val="single" w:color="000000" w:sz="6"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541" w:type="dxa"/>
            <w:tcBorders>
              <w:left w:val="single" w:color="000000" w:sz="6"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固体废物</w:t>
            </w:r>
          </w:p>
        </w:tc>
        <w:tc>
          <w:tcPr>
            <w:tcW w:w="2520" w:type="dxa"/>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生活垃圾分类集中收集，及时清运处置；弃土用于周边场地平整</w:t>
            </w:r>
          </w:p>
        </w:tc>
        <w:tc>
          <w:tcPr>
            <w:tcW w:w="1709" w:type="dxa"/>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不产生二次污染</w:t>
            </w:r>
          </w:p>
        </w:tc>
        <w:tc>
          <w:tcPr>
            <w:tcW w:w="1267" w:type="dxa"/>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w:t>
            </w:r>
          </w:p>
        </w:tc>
        <w:tc>
          <w:tcPr>
            <w:tcW w:w="2236" w:type="dxa"/>
            <w:tcBorders>
              <w:right w:val="single" w:color="000000" w:sz="6"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541" w:type="dxa"/>
            <w:tcBorders>
              <w:top w:val="single" w:color="000000" w:sz="6" w:space="0"/>
              <w:left w:val="single" w:color="000000" w:sz="6"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电磁环境</w:t>
            </w:r>
          </w:p>
        </w:tc>
        <w:tc>
          <w:tcPr>
            <w:tcW w:w="2520" w:type="dxa"/>
            <w:tcBorders>
              <w:top w:val="single" w:color="000000" w:sz="6"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w:t>
            </w:r>
          </w:p>
        </w:tc>
        <w:tc>
          <w:tcPr>
            <w:tcW w:w="1709" w:type="dxa"/>
            <w:tcBorders>
              <w:top w:val="single" w:color="000000" w:sz="6"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w:t>
            </w:r>
          </w:p>
        </w:tc>
        <w:tc>
          <w:tcPr>
            <w:tcW w:w="1267" w:type="dxa"/>
            <w:tcBorders>
              <w:top w:val="single" w:color="000000" w:sz="6"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优化导线布置形式、合理选择导线参数</w:t>
            </w:r>
          </w:p>
        </w:tc>
        <w:tc>
          <w:tcPr>
            <w:tcW w:w="2236" w:type="dxa"/>
            <w:tcBorders>
              <w:top w:val="single" w:color="000000" w:sz="6" w:space="0"/>
              <w:right w:val="single" w:color="000000" w:sz="6"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满足电磁环境控制限值（GB8702-2014）表1公众曝露控制限值</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541" w:type="dxa"/>
            <w:tcBorders>
              <w:left w:val="single" w:color="000000" w:sz="6"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238"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环境风险</w:t>
            </w:r>
          </w:p>
        </w:tc>
        <w:tc>
          <w:tcPr>
            <w:tcW w:w="2520" w:type="dxa"/>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w:t>
            </w:r>
          </w:p>
        </w:tc>
        <w:tc>
          <w:tcPr>
            <w:tcW w:w="1709" w:type="dxa"/>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w:t>
            </w:r>
          </w:p>
        </w:tc>
        <w:tc>
          <w:tcPr>
            <w:tcW w:w="1267" w:type="dxa"/>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w:t>
            </w:r>
          </w:p>
        </w:tc>
        <w:tc>
          <w:tcPr>
            <w:tcW w:w="2236" w:type="dxa"/>
            <w:tcBorders>
              <w:right w:val="single" w:color="000000" w:sz="6"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541" w:type="dxa"/>
            <w:tcBorders>
              <w:left w:val="single" w:color="000000" w:sz="6"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环境监测</w:t>
            </w:r>
          </w:p>
        </w:tc>
        <w:tc>
          <w:tcPr>
            <w:tcW w:w="2520" w:type="dxa"/>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环境空气、声环境</w:t>
            </w:r>
          </w:p>
        </w:tc>
        <w:tc>
          <w:tcPr>
            <w:tcW w:w="1709" w:type="dxa"/>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达标</w:t>
            </w:r>
          </w:p>
        </w:tc>
        <w:tc>
          <w:tcPr>
            <w:tcW w:w="1267" w:type="dxa"/>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噪声、工频</w:t>
            </w:r>
          </w:p>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磁场、工频电场</w:t>
            </w:r>
          </w:p>
        </w:tc>
        <w:tc>
          <w:tcPr>
            <w:tcW w:w="2236" w:type="dxa"/>
            <w:tcBorders>
              <w:right w:val="single" w:color="000000" w:sz="6"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《电磁环境控制限值》（GB8702-2014）；《声环境质量标准》（GB3096-2008）1类限值要求</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0" w:hRule="atLeast"/>
          <w:jc w:val="center"/>
        </w:trPr>
        <w:tc>
          <w:tcPr>
            <w:tcW w:w="1541" w:type="dxa"/>
            <w:tcBorders>
              <w:left w:val="single" w:color="000000" w:sz="6" w:space="0"/>
              <w:bottom w:val="single" w:color="000000" w:sz="6"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246"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其他</w:t>
            </w:r>
          </w:p>
        </w:tc>
        <w:tc>
          <w:tcPr>
            <w:tcW w:w="2520" w:type="dxa"/>
            <w:tcBorders>
              <w:bottom w:val="single" w:color="000000" w:sz="6"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w:t>
            </w:r>
          </w:p>
        </w:tc>
        <w:tc>
          <w:tcPr>
            <w:tcW w:w="1709" w:type="dxa"/>
            <w:tcBorders>
              <w:bottom w:val="single" w:color="000000" w:sz="6"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w:t>
            </w:r>
          </w:p>
        </w:tc>
        <w:tc>
          <w:tcPr>
            <w:tcW w:w="1267" w:type="dxa"/>
            <w:tcBorders>
              <w:bottom w:val="single" w:color="000000" w:sz="6"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w:t>
            </w:r>
          </w:p>
        </w:tc>
        <w:tc>
          <w:tcPr>
            <w:tcW w:w="2236" w:type="dxa"/>
            <w:tcBorders>
              <w:bottom w:val="single" w:color="000000" w:sz="6" w:space="0"/>
              <w:right w:val="single" w:color="000000" w:sz="6" w:space="0"/>
            </w:tcBorders>
            <w:vAlign w:val="center"/>
          </w:tcPr>
          <w:p>
            <w:pPr>
              <w:pStyle w:val="38"/>
              <w:keepNext w:val="0"/>
              <w:keepLines w:val="0"/>
              <w:pageBreakBefore w:val="0"/>
              <w:widowControl w:val="0"/>
              <w:kinsoku/>
              <w:wordWrap/>
              <w:overflowPunct/>
              <w:topLinePunct w:val="0"/>
              <w:autoSpaceDE/>
              <w:autoSpaceDN/>
              <w:bidi w:val="0"/>
              <w:adjustRightInd/>
              <w:snapToGrid/>
              <w:spacing w:before="65" w:line="229" w:lineRule="auto"/>
              <w:ind w:left="0" w:firstLine="0"/>
              <w:jc w:val="center"/>
              <w:textAlignment w:val="auto"/>
              <w:rPr>
                <w:rFonts w:ascii="Times New Roman" w:hAnsi="Times New Roman" w:cs="Times New Roman" w:eastAsiaTheme="minorEastAsia"/>
                <w:color w:val="auto"/>
                <w:kern w:val="2"/>
                <w:sz w:val="21"/>
                <w:szCs w:val="21"/>
                <w:lang w:val="en-US" w:eastAsia="zh-CN" w:bidi="ar-SA"/>
              </w:rPr>
            </w:pPr>
            <w:r>
              <w:rPr>
                <w:rFonts w:ascii="Times New Roman" w:hAnsi="Times New Roman" w:cs="Times New Roman" w:eastAsiaTheme="minorEastAsia"/>
                <w:color w:val="auto"/>
                <w:kern w:val="2"/>
                <w:sz w:val="21"/>
                <w:szCs w:val="21"/>
                <w:lang w:val="en-US" w:eastAsia="zh-CN" w:bidi="ar-SA"/>
              </w:rPr>
              <w:t>/</w:t>
            </w:r>
          </w:p>
        </w:tc>
      </w:tr>
    </w:tbl>
    <w:p>
      <w:pPr>
        <w:pStyle w:val="7"/>
        <w:rPr>
          <w:color w:val="auto"/>
        </w:rPr>
      </w:pPr>
    </w:p>
    <w:p>
      <w:pPr>
        <w:rPr>
          <w:color w:val="auto"/>
        </w:rPr>
        <w:sectPr>
          <w:footerReference r:id="rId11" w:type="default"/>
          <w:type w:val="continuous"/>
          <w:pgSz w:w="11906" w:h="16839"/>
          <w:pgMar w:top="1327" w:right="1325" w:bottom="1242" w:left="1324" w:header="0" w:footer="1077" w:gutter="0"/>
          <w:pgBorders>
            <w:top w:val="none" w:sz="0" w:space="0"/>
            <w:left w:val="none" w:sz="0" w:space="0"/>
            <w:bottom w:val="none" w:sz="0" w:space="0"/>
            <w:right w:val="none" w:sz="0" w:space="0"/>
          </w:pgBorders>
          <w:pgNumType w:fmt="decimal"/>
          <w:cols w:space="0" w:num="1"/>
          <w:rtlGutter w:val="0"/>
          <w:docGrid w:linePitch="0" w:charSpace="0"/>
        </w:sectPr>
      </w:pPr>
    </w:p>
    <w:p>
      <w:pPr>
        <w:keepNext w:val="0"/>
        <w:keepLines w:val="0"/>
        <w:pageBreakBefore w:val="0"/>
        <w:widowControl w:val="0"/>
        <w:kinsoku/>
        <w:wordWrap/>
        <w:overflowPunct/>
        <w:topLinePunct w:val="0"/>
        <w:autoSpaceDE/>
        <w:autoSpaceDN/>
        <w:bidi w:val="0"/>
        <w:adjustRightInd/>
        <w:snapToGrid/>
        <w:spacing w:before="1" w:line="216" w:lineRule="auto"/>
        <w:ind w:left="0"/>
        <w:jc w:val="center"/>
        <w:textAlignment w:val="auto"/>
        <w:rPr>
          <w:color w:val="auto"/>
        </w:rPr>
      </w:pPr>
      <w:r>
        <w:rPr>
          <w:rFonts w:ascii="黑体" w:hAnsi="黑体" w:eastAsia="黑体" w:cs="黑体"/>
          <w:color w:val="auto"/>
          <w:spacing w:val="-3"/>
          <w:sz w:val="30"/>
          <w:szCs w:val="30"/>
        </w:rPr>
        <w:t>七、结论</w:t>
      </w:r>
    </w:p>
    <w:tbl>
      <w:tblPr>
        <w:tblStyle w:val="31"/>
        <w:tblW w:w="8840" w:type="dxa"/>
        <w:jc w:val="center"/>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Layout w:type="fixed"/>
        <w:tblCellMar>
          <w:top w:w="0" w:type="dxa"/>
          <w:left w:w="0" w:type="dxa"/>
          <w:bottom w:w="0" w:type="dxa"/>
          <w:right w:w="0" w:type="dxa"/>
        </w:tblCellMar>
      </w:tblPr>
      <w:tblGrid>
        <w:gridCol w:w="8840"/>
      </w:tblGrid>
      <w:tr>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13364" w:hRule="atLeast"/>
          <w:jc w:val="center"/>
        </w:trPr>
        <w:tc>
          <w:tcPr>
            <w:tcW w:w="8840" w:type="dxa"/>
            <w:vAlign w:val="top"/>
          </w:tcPr>
          <w:p>
            <w:pPr>
              <w:spacing w:before="160" w:line="355" w:lineRule="auto"/>
              <w:ind w:left="112" w:right="103" w:firstLine="48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sz w:val="24"/>
                <w:szCs w:val="24"/>
                <w:lang w:eastAsia="zh-CN"/>
              </w:rPr>
              <w:t>朝阳国宏100MW储能项目220千伏送出工程项目符合国家相关产业政策，项目的建设具有良好的经济效益和社会效益。本项目施工期对周边环境的影响是暂时的，施工结束后受影响的环境要素可以恢复到现状水平；运行期主要环境影响为电磁环境影响和声环境影响，在采取相应的防治措施后，均可满足相应的环境标准限值。本项目不涉及自然保护区，风景名胜区等特殊和重要生态敏感区，也没有需要特殊保护的文物古迹及人文景点等敏感目标，因此，从环境保护的角度综合分析，本项目建设可行。</w:t>
            </w:r>
          </w:p>
        </w:tc>
      </w:tr>
    </w:tbl>
    <w:p>
      <w:pPr>
        <w:pStyle w:val="7"/>
        <w:rPr>
          <w:rFonts w:hint="default"/>
          <w:color w:val="auto"/>
          <w:lang w:val="en-US" w:eastAsia="zh-CN"/>
        </w:rPr>
        <w:sectPr>
          <w:footerReference r:id="rId12" w:type="default"/>
          <w:pgSz w:w="11905" w:h="16839"/>
          <w:pgMar w:top="1786" w:right="1785" w:bottom="400" w:left="1785" w:header="1077" w:footer="1077" w:gutter="0"/>
          <w:pgBorders>
            <w:top w:val="none" w:sz="0" w:space="0"/>
            <w:left w:val="none" w:sz="0" w:space="0"/>
            <w:bottom w:val="none" w:sz="0" w:space="0"/>
            <w:right w:val="none" w:sz="0" w:space="0"/>
          </w:pgBorders>
          <w:pgNumType w:fmt="decimal"/>
          <w:cols w:space="720" w:num="1"/>
        </w:sectPr>
      </w:pPr>
    </w:p>
    <w:p>
      <w:pPr>
        <w:pStyle w:val="7"/>
        <w:rPr>
          <w:rFonts w:hint="default"/>
          <w:color w:val="auto"/>
          <w:lang w:val="en-US" w:eastAsia="zh-CN"/>
        </w:rPr>
      </w:pPr>
    </w:p>
    <w:p>
      <w:pPr>
        <w:rPr>
          <w:rFonts w:hint="default"/>
          <w:color w:val="auto"/>
          <w:lang w:val="en-US" w:eastAsia="zh-CN"/>
        </w:rPr>
      </w:pPr>
    </w:p>
    <w:p>
      <w:pPr>
        <w:rPr>
          <w:rFonts w:hint="default"/>
          <w:color w:val="auto"/>
          <w:lang w:val="en-US" w:eastAsia="zh-CN"/>
        </w:rPr>
      </w:pPr>
    </w:p>
    <w:p>
      <w:pPr>
        <w:rPr>
          <w:rFonts w:hint="default"/>
          <w:color w:val="auto"/>
          <w:lang w:val="en-US" w:eastAsia="zh-CN"/>
        </w:rPr>
      </w:pPr>
    </w:p>
    <w:p>
      <w:pPr>
        <w:rPr>
          <w:rFonts w:hint="default"/>
          <w:color w:val="auto"/>
          <w:lang w:val="en-US" w:eastAsia="zh-CN"/>
        </w:rPr>
      </w:pPr>
    </w:p>
    <w:p>
      <w:pPr>
        <w:rPr>
          <w:rFonts w:hint="default"/>
          <w:color w:val="auto"/>
          <w:lang w:val="en-US" w:eastAsia="zh-CN"/>
        </w:rPr>
      </w:pPr>
    </w:p>
    <w:p>
      <w:pPr>
        <w:rPr>
          <w:rFonts w:hint="default"/>
          <w:color w:val="auto"/>
          <w:lang w:val="en-US" w:eastAsia="zh-CN"/>
        </w:rPr>
      </w:pPr>
    </w:p>
    <w:p>
      <w:pPr>
        <w:rPr>
          <w:rFonts w:hint="default"/>
          <w:color w:val="auto"/>
          <w:lang w:val="en-US" w:eastAsia="zh-CN"/>
        </w:rPr>
      </w:pPr>
    </w:p>
    <w:p>
      <w:pPr>
        <w:rPr>
          <w:rFonts w:hint="default"/>
          <w:color w:val="auto"/>
          <w:lang w:val="en-US" w:eastAsia="zh-CN"/>
        </w:rPr>
      </w:pPr>
    </w:p>
    <w:p>
      <w:pPr>
        <w:spacing w:before="272" w:line="224" w:lineRule="auto"/>
        <w:jc w:val="center"/>
        <w:rPr>
          <w:rFonts w:hint="eastAsia" w:ascii="宋体" w:hAnsi="宋体" w:eastAsia="宋体" w:cs="宋体"/>
          <w:b/>
          <w:bCs/>
          <w:color w:val="auto"/>
          <w:spacing w:val="2"/>
          <w:sz w:val="35"/>
          <w:szCs w:val="35"/>
          <w:lang w:val="en-US" w:eastAsia="zh-CN"/>
        </w:rPr>
      </w:pPr>
      <w:r>
        <w:rPr>
          <w:rFonts w:hint="eastAsia" w:ascii="宋体" w:hAnsi="宋体" w:eastAsia="宋体" w:cs="宋体"/>
          <w:b/>
          <w:bCs/>
          <w:color w:val="auto"/>
          <w:spacing w:val="2"/>
          <w:sz w:val="35"/>
          <w:szCs w:val="35"/>
          <w:lang w:val="en-US" w:eastAsia="zh-CN"/>
        </w:rPr>
        <w:t>朝阳国宏100MW储能项目220千伏送出工程项目</w:t>
      </w:r>
    </w:p>
    <w:p>
      <w:pPr>
        <w:spacing w:before="272" w:line="224" w:lineRule="auto"/>
        <w:ind w:firstLine="2843" w:firstLineChars="800"/>
        <w:rPr>
          <w:rFonts w:ascii="宋体" w:hAnsi="宋体" w:eastAsia="宋体" w:cs="宋体"/>
          <w:color w:val="auto"/>
          <w:sz w:val="35"/>
          <w:szCs w:val="35"/>
        </w:rPr>
      </w:pPr>
      <w:r>
        <w:rPr>
          <w:rFonts w:ascii="宋体" w:hAnsi="宋体" w:eastAsia="宋体" w:cs="宋体"/>
          <w:b/>
          <w:bCs/>
          <w:color w:val="auto"/>
          <w:spacing w:val="2"/>
          <w:sz w:val="35"/>
          <w:szCs w:val="35"/>
        </w:rPr>
        <w:t>电磁环境影响评价专题</w:t>
      </w:r>
    </w:p>
    <w:p>
      <w:pPr>
        <w:pStyle w:val="7"/>
        <w:spacing w:line="247" w:lineRule="auto"/>
        <w:rPr>
          <w:color w:val="auto"/>
        </w:rPr>
      </w:pPr>
    </w:p>
    <w:p>
      <w:pPr>
        <w:pStyle w:val="7"/>
        <w:spacing w:line="247" w:lineRule="auto"/>
        <w:rPr>
          <w:color w:val="auto"/>
        </w:rPr>
      </w:pPr>
    </w:p>
    <w:p>
      <w:pPr>
        <w:pStyle w:val="7"/>
        <w:spacing w:line="247" w:lineRule="auto"/>
        <w:rPr>
          <w:color w:val="auto"/>
        </w:rPr>
      </w:pPr>
    </w:p>
    <w:p>
      <w:pPr>
        <w:pStyle w:val="7"/>
        <w:spacing w:line="247" w:lineRule="auto"/>
        <w:rPr>
          <w:color w:val="auto"/>
        </w:rPr>
      </w:pPr>
    </w:p>
    <w:p>
      <w:pPr>
        <w:pStyle w:val="7"/>
        <w:spacing w:line="247" w:lineRule="auto"/>
        <w:rPr>
          <w:color w:val="auto"/>
        </w:rPr>
      </w:pPr>
    </w:p>
    <w:p>
      <w:pPr>
        <w:pStyle w:val="7"/>
        <w:spacing w:line="247" w:lineRule="auto"/>
        <w:rPr>
          <w:color w:val="auto"/>
        </w:rPr>
      </w:pPr>
    </w:p>
    <w:p>
      <w:pPr>
        <w:pStyle w:val="7"/>
        <w:spacing w:line="247" w:lineRule="auto"/>
        <w:rPr>
          <w:color w:val="auto"/>
        </w:rPr>
      </w:pPr>
    </w:p>
    <w:p>
      <w:pPr>
        <w:pStyle w:val="7"/>
        <w:spacing w:line="247" w:lineRule="auto"/>
        <w:rPr>
          <w:color w:val="auto"/>
        </w:rPr>
      </w:pPr>
    </w:p>
    <w:p>
      <w:pPr>
        <w:pStyle w:val="7"/>
        <w:spacing w:line="247" w:lineRule="auto"/>
        <w:rPr>
          <w:color w:val="auto"/>
        </w:rPr>
      </w:pPr>
    </w:p>
    <w:p>
      <w:pPr>
        <w:pStyle w:val="7"/>
        <w:spacing w:line="247" w:lineRule="auto"/>
        <w:rPr>
          <w:color w:val="auto"/>
        </w:rPr>
      </w:pPr>
    </w:p>
    <w:p>
      <w:pPr>
        <w:pStyle w:val="7"/>
        <w:spacing w:line="247" w:lineRule="auto"/>
        <w:rPr>
          <w:color w:val="auto"/>
        </w:rPr>
      </w:pPr>
    </w:p>
    <w:p>
      <w:pPr>
        <w:pStyle w:val="7"/>
        <w:spacing w:line="248" w:lineRule="auto"/>
        <w:rPr>
          <w:color w:val="auto"/>
        </w:rPr>
      </w:pPr>
    </w:p>
    <w:p>
      <w:pPr>
        <w:pStyle w:val="7"/>
        <w:spacing w:line="248" w:lineRule="auto"/>
        <w:rPr>
          <w:color w:val="auto"/>
        </w:rPr>
      </w:pPr>
    </w:p>
    <w:p>
      <w:pPr>
        <w:pStyle w:val="7"/>
        <w:spacing w:line="248" w:lineRule="auto"/>
        <w:rPr>
          <w:color w:val="auto"/>
        </w:rPr>
      </w:pPr>
    </w:p>
    <w:p>
      <w:pPr>
        <w:pStyle w:val="7"/>
        <w:spacing w:line="248" w:lineRule="auto"/>
        <w:rPr>
          <w:color w:val="auto"/>
        </w:rPr>
      </w:pPr>
    </w:p>
    <w:p>
      <w:pPr>
        <w:pStyle w:val="7"/>
        <w:spacing w:line="248" w:lineRule="auto"/>
        <w:rPr>
          <w:color w:val="auto"/>
        </w:rPr>
      </w:pPr>
    </w:p>
    <w:p>
      <w:pPr>
        <w:pStyle w:val="7"/>
        <w:spacing w:line="241" w:lineRule="auto"/>
        <w:rPr>
          <w:color w:val="auto"/>
        </w:rPr>
      </w:pPr>
    </w:p>
    <w:p>
      <w:pPr>
        <w:pStyle w:val="7"/>
        <w:spacing w:line="241" w:lineRule="auto"/>
        <w:rPr>
          <w:color w:val="auto"/>
        </w:rPr>
      </w:pPr>
    </w:p>
    <w:p>
      <w:pPr>
        <w:spacing w:before="272" w:line="224" w:lineRule="auto"/>
        <w:ind w:firstLine="1225" w:firstLineChars="500"/>
        <w:jc w:val="both"/>
        <w:rPr>
          <w:rFonts w:hint="eastAsia" w:ascii="宋体" w:hAnsi="宋体" w:eastAsia="宋体" w:cs="宋体"/>
          <w:b/>
          <w:bCs/>
          <w:color w:val="auto"/>
          <w:spacing w:val="2"/>
          <w:sz w:val="24"/>
          <w:szCs w:val="24"/>
          <w:lang w:val="en-US" w:eastAsia="zh-CN"/>
        </w:rPr>
      </w:pPr>
      <w:r>
        <w:rPr>
          <w:rFonts w:hint="eastAsia" w:ascii="宋体" w:hAnsi="宋体" w:eastAsia="宋体" w:cs="宋体"/>
          <w:b/>
          <w:bCs/>
          <w:color w:val="auto"/>
          <w:spacing w:val="2"/>
          <w:sz w:val="24"/>
          <w:szCs w:val="24"/>
          <w:lang w:val="en-US" w:eastAsia="zh-CN"/>
        </w:rPr>
        <w:t>评  价  单  位：朝阳市宝森生态环境有限公司</w:t>
      </w:r>
    </w:p>
    <w:p>
      <w:pPr>
        <w:spacing w:before="272" w:line="224" w:lineRule="auto"/>
        <w:jc w:val="center"/>
        <w:rPr>
          <w:rFonts w:hint="eastAsia" w:ascii="宋体" w:hAnsi="宋体" w:eastAsia="宋体" w:cs="宋体"/>
          <w:b/>
          <w:bCs/>
          <w:color w:val="auto"/>
          <w:spacing w:val="2"/>
          <w:sz w:val="24"/>
          <w:szCs w:val="24"/>
          <w:lang w:val="en-US" w:eastAsia="zh-CN"/>
        </w:rPr>
      </w:pPr>
      <w:r>
        <w:rPr>
          <w:rFonts w:hint="eastAsia" w:ascii="宋体" w:hAnsi="宋体" w:eastAsia="宋体" w:cs="宋体"/>
          <w:b/>
          <w:bCs/>
          <w:color w:val="auto"/>
          <w:spacing w:val="2"/>
          <w:sz w:val="24"/>
          <w:szCs w:val="24"/>
          <w:lang w:val="en-US" w:eastAsia="zh-CN"/>
        </w:rPr>
        <w:t>建设单位（盖章）: 国网辽宁省电力有限公司朝阳供电公司</w:t>
      </w:r>
    </w:p>
    <w:p>
      <w:pPr>
        <w:keepNext w:val="0"/>
        <w:keepLines w:val="0"/>
        <w:pageBreakBefore w:val="0"/>
        <w:widowControl w:val="0"/>
        <w:kinsoku/>
        <w:wordWrap/>
        <w:overflowPunct/>
        <w:topLinePunct w:val="0"/>
        <w:autoSpaceDE/>
        <w:autoSpaceDN/>
        <w:bidi w:val="0"/>
        <w:adjustRightInd/>
        <w:snapToGrid/>
        <w:spacing w:before="272" w:line="224" w:lineRule="auto"/>
        <w:ind w:firstLine="0" w:firstLineChars="0"/>
        <w:jc w:val="center"/>
        <w:textAlignment w:val="auto"/>
        <w:rPr>
          <w:rFonts w:hint="default" w:ascii="Times New Roman" w:hAnsi="Times New Roman" w:eastAsia="宋体" w:cs="Times New Roman"/>
          <w:b/>
          <w:bCs/>
          <w:color w:val="auto"/>
          <w:spacing w:val="2"/>
          <w:sz w:val="24"/>
          <w:szCs w:val="24"/>
          <w:lang w:val="en-US" w:eastAsia="zh-CN"/>
        </w:rPr>
        <w:sectPr>
          <w:footerReference r:id="rId13" w:type="default"/>
          <w:pgSz w:w="11905" w:h="16839"/>
          <w:pgMar w:top="1786" w:right="1785" w:bottom="400" w:left="1785" w:header="1077" w:footer="1077" w:gutter="0"/>
          <w:pgBorders>
            <w:top w:val="none" w:sz="0" w:space="0"/>
            <w:left w:val="none" w:sz="0" w:space="0"/>
            <w:bottom w:val="none" w:sz="0" w:space="0"/>
            <w:right w:val="none" w:sz="0" w:space="0"/>
          </w:pgBorders>
          <w:pgNumType w:fmt="decimal"/>
          <w:cols w:space="720" w:num="1"/>
        </w:sectPr>
      </w:pPr>
      <w:r>
        <w:rPr>
          <w:rFonts w:hint="default" w:ascii="Times New Roman" w:hAnsi="Times New Roman" w:eastAsia="宋体" w:cs="Times New Roman"/>
          <w:b/>
          <w:bCs/>
          <w:color w:val="auto"/>
          <w:spacing w:val="2"/>
          <w:sz w:val="24"/>
          <w:szCs w:val="24"/>
          <w:lang w:val="en-US" w:eastAsia="zh-CN"/>
        </w:rPr>
        <w:t>2026年6月</w:t>
      </w:r>
    </w:p>
    <w:p>
      <w:pPr>
        <w:spacing w:before="79" w:line="221" w:lineRule="auto"/>
        <w:outlineLvl w:val="1"/>
        <w:rPr>
          <w:rFonts w:ascii="Times New Roman" w:hAnsi="Times New Roman" w:eastAsia="Times New Roman" w:cs="Times New Roman"/>
          <w:b/>
          <w:bCs/>
          <w:color w:val="auto"/>
          <w:spacing w:val="-12"/>
          <w:sz w:val="24"/>
          <w:szCs w:val="24"/>
        </w:rPr>
      </w:pPr>
    </w:p>
    <w:p>
      <w:pPr>
        <w:spacing w:before="79" w:line="221" w:lineRule="auto"/>
        <w:outlineLvl w:val="1"/>
        <w:rPr>
          <w:rFonts w:ascii="宋体" w:hAnsi="宋体" w:eastAsia="宋体" w:cs="宋体"/>
          <w:color w:val="auto"/>
          <w:sz w:val="24"/>
          <w:szCs w:val="24"/>
        </w:rPr>
      </w:pPr>
      <w:r>
        <w:rPr>
          <w:rFonts w:ascii="Times New Roman" w:hAnsi="Times New Roman" w:eastAsia="Times New Roman" w:cs="Times New Roman"/>
          <w:b/>
          <w:bCs/>
          <w:color w:val="auto"/>
          <w:spacing w:val="-12"/>
          <w:sz w:val="24"/>
          <w:szCs w:val="24"/>
        </w:rPr>
        <w:t>1</w:t>
      </w:r>
      <w:r>
        <w:rPr>
          <w:rFonts w:ascii="Times New Roman" w:hAnsi="Times New Roman" w:eastAsia="Times New Roman" w:cs="Times New Roman"/>
          <w:b/>
          <w:bCs/>
          <w:color w:val="auto"/>
          <w:spacing w:val="14"/>
          <w:sz w:val="24"/>
          <w:szCs w:val="24"/>
        </w:rPr>
        <w:t xml:space="preserve"> </w:t>
      </w:r>
      <w:r>
        <w:rPr>
          <w:rFonts w:ascii="宋体" w:hAnsi="宋体" w:eastAsia="宋体" w:cs="宋体"/>
          <w:b/>
          <w:bCs/>
          <w:color w:val="auto"/>
          <w:spacing w:val="-12"/>
          <w:sz w:val="24"/>
          <w:szCs w:val="24"/>
        </w:rPr>
        <w:t>总则</w:t>
      </w:r>
    </w:p>
    <w:p>
      <w:pPr>
        <w:spacing w:before="179" w:line="219" w:lineRule="auto"/>
        <w:ind w:left="3"/>
        <w:outlineLvl w:val="2"/>
        <w:rPr>
          <w:rFonts w:ascii="宋体" w:hAnsi="宋体" w:eastAsia="宋体" w:cs="宋体"/>
          <w:color w:val="auto"/>
          <w:sz w:val="24"/>
          <w:szCs w:val="24"/>
        </w:rPr>
      </w:pPr>
      <w:r>
        <w:rPr>
          <w:rFonts w:ascii="Times New Roman" w:hAnsi="Times New Roman" w:eastAsia="Times New Roman" w:cs="Times New Roman"/>
          <w:b/>
          <w:bCs/>
          <w:color w:val="auto"/>
          <w:spacing w:val="-4"/>
          <w:sz w:val="24"/>
          <w:szCs w:val="24"/>
        </w:rPr>
        <w:t>1.1</w:t>
      </w:r>
      <w:r>
        <w:rPr>
          <w:rFonts w:ascii="宋体" w:hAnsi="宋体" w:eastAsia="宋体" w:cs="宋体"/>
          <w:b/>
          <w:bCs/>
          <w:color w:val="auto"/>
          <w:spacing w:val="-4"/>
          <w:sz w:val="24"/>
          <w:szCs w:val="24"/>
        </w:rPr>
        <w:t>编制依据</w:t>
      </w:r>
    </w:p>
    <w:p>
      <w:pPr>
        <w:spacing w:before="182" w:line="220" w:lineRule="auto"/>
        <w:ind w:left="243"/>
        <w:outlineLvl w:val="3"/>
        <w:rPr>
          <w:rFonts w:ascii="宋体" w:hAnsi="宋体" w:eastAsia="宋体" w:cs="宋体"/>
          <w:color w:val="auto"/>
          <w:sz w:val="24"/>
          <w:szCs w:val="24"/>
        </w:rPr>
      </w:pPr>
      <w:r>
        <w:rPr>
          <w:rFonts w:ascii="Times New Roman" w:hAnsi="Times New Roman" w:eastAsia="Times New Roman" w:cs="Times New Roman"/>
          <w:b/>
          <w:bCs/>
          <w:color w:val="auto"/>
          <w:spacing w:val="-3"/>
          <w:sz w:val="24"/>
          <w:szCs w:val="24"/>
        </w:rPr>
        <w:t>1.1.1</w:t>
      </w:r>
      <w:r>
        <w:rPr>
          <w:rFonts w:ascii="宋体" w:hAnsi="宋体" w:eastAsia="宋体" w:cs="宋体"/>
          <w:b/>
          <w:bCs/>
          <w:color w:val="auto"/>
          <w:spacing w:val="-3"/>
          <w:sz w:val="24"/>
          <w:szCs w:val="24"/>
        </w:rPr>
        <w:t>国家法律及法规</w:t>
      </w:r>
    </w:p>
    <w:p>
      <w:pPr>
        <w:spacing w:before="144" w:line="360" w:lineRule="exact"/>
        <w:ind w:left="8"/>
        <w:rPr>
          <w:rFonts w:ascii="宋体" w:hAnsi="宋体" w:eastAsia="宋体" w:cs="宋体"/>
          <w:color w:val="auto"/>
          <w:sz w:val="24"/>
          <w:szCs w:val="24"/>
        </w:rPr>
      </w:pPr>
      <w:r>
        <w:rPr>
          <w:rFonts w:ascii="宋体" w:hAnsi="宋体" w:eastAsia="宋体" w:cs="宋体"/>
          <w:color w:val="auto"/>
          <w:spacing w:val="-1"/>
          <w:position w:val="2"/>
          <w:sz w:val="24"/>
          <w:szCs w:val="24"/>
        </w:rPr>
        <w:t>（</w:t>
      </w:r>
      <w:r>
        <w:rPr>
          <w:rFonts w:ascii="Times New Roman" w:hAnsi="Times New Roman" w:eastAsia="Times New Roman" w:cs="Times New Roman"/>
          <w:color w:val="auto"/>
          <w:spacing w:val="-1"/>
          <w:position w:val="2"/>
          <w:sz w:val="24"/>
          <w:szCs w:val="24"/>
        </w:rPr>
        <w:t>1</w:t>
      </w:r>
      <w:r>
        <w:rPr>
          <w:rFonts w:ascii="宋体" w:hAnsi="宋体" w:eastAsia="宋体" w:cs="宋体"/>
          <w:color w:val="auto"/>
          <w:spacing w:val="-1"/>
          <w:position w:val="2"/>
          <w:sz w:val="24"/>
          <w:szCs w:val="24"/>
        </w:rPr>
        <w:t>）《中华人民共和国环境保护法》（修订版）</w:t>
      </w:r>
      <w:r>
        <w:rPr>
          <w:rFonts w:ascii="Times New Roman" w:hAnsi="Times New Roman" w:eastAsia="Times New Roman" w:cs="Times New Roman"/>
          <w:color w:val="auto"/>
          <w:spacing w:val="-1"/>
          <w:position w:val="2"/>
          <w:sz w:val="24"/>
          <w:szCs w:val="24"/>
        </w:rPr>
        <w:t>2015</w:t>
      </w:r>
      <w:r>
        <w:rPr>
          <w:rFonts w:ascii="宋体" w:hAnsi="宋体" w:eastAsia="宋体" w:cs="宋体"/>
          <w:color w:val="auto"/>
          <w:spacing w:val="-1"/>
          <w:position w:val="2"/>
          <w:sz w:val="24"/>
          <w:szCs w:val="24"/>
        </w:rPr>
        <w:t>年</w:t>
      </w:r>
      <w:r>
        <w:rPr>
          <w:rFonts w:ascii="Times New Roman" w:hAnsi="Times New Roman" w:eastAsia="Times New Roman" w:cs="Times New Roman"/>
          <w:color w:val="auto"/>
          <w:spacing w:val="-1"/>
          <w:position w:val="2"/>
          <w:sz w:val="24"/>
          <w:szCs w:val="24"/>
        </w:rPr>
        <w:t>1</w:t>
      </w:r>
      <w:r>
        <w:rPr>
          <w:rFonts w:ascii="宋体" w:hAnsi="宋体" w:eastAsia="宋体" w:cs="宋体"/>
          <w:color w:val="auto"/>
          <w:spacing w:val="-1"/>
          <w:position w:val="2"/>
          <w:sz w:val="24"/>
          <w:szCs w:val="24"/>
        </w:rPr>
        <w:t>月</w:t>
      </w:r>
      <w:r>
        <w:rPr>
          <w:rFonts w:ascii="Times New Roman" w:hAnsi="Times New Roman" w:eastAsia="Times New Roman" w:cs="Times New Roman"/>
          <w:color w:val="auto"/>
          <w:spacing w:val="-1"/>
          <w:position w:val="2"/>
          <w:sz w:val="24"/>
          <w:szCs w:val="24"/>
        </w:rPr>
        <w:t>1</w:t>
      </w:r>
      <w:r>
        <w:rPr>
          <w:rFonts w:ascii="宋体" w:hAnsi="宋体" w:eastAsia="宋体" w:cs="宋体"/>
          <w:color w:val="auto"/>
          <w:spacing w:val="-1"/>
          <w:position w:val="2"/>
          <w:sz w:val="24"/>
          <w:szCs w:val="24"/>
        </w:rPr>
        <w:t>日起施行；</w:t>
      </w:r>
    </w:p>
    <w:p>
      <w:pPr>
        <w:spacing w:before="107" w:line="359" w:lineRule="exact"/>
        <w:ind w:left="8"/>
        <w:rPr>
          <w:rFonts w:ascii="宋体" w:hAnsi="宋体" w:eastAsia="宋体" w:cs="宋体"/>
          <w:color w:val="auto"/>
          <w:sz w:val="24"/>
          <w:szCs w:val="24"/>
        </w:rPr>
      </w:pPr>
      <w:r>
        <w:rPr>
          <w:rFonts w:ascii="宋体" w:hAnsi="宋体" w:eastAsia="宋体" w:cs="宋体"/>
          <w:color w:val="auto"/>
          <w:spacing w:val="-1"/>
          <w:position w:val="2"/>
          <w:sz w:val="24"/>
          <w:szCs w:val="24"/>
        </w:rPr>
        <w:t>（</w:t>
      </w:r>
      <w:r>
        <w:rPr>
          <w:rFonts w:ascii="Times New Roman" w:hAnsi="Times New Roman" w:eastAsia="Times New Roman" w:cs="Times New Roman"/>
          <w:color w:val="auto"/>
          <w:spacing w:val="-1"/>
          <w:position w:val="2"/>
          <w:sz w:val="24"/>
          <w:szCs w:val="24"/>
        </w:rPr>
        <w:t>2</w:t>
      </w:r>
      <w:r>
        <w:rPr>
          <w:rFonts w:ascii="宋体" w:hAnsi="宋体" w:eastAsia="宋体" w:cs="宋体"/>
          <w:color w:val="auto"/>
          <w:spacing w:val="-1"/>
          <w:position w:val="2"/>
          <w:sz w:val="24"/>
          <w:szCs w:val="24"/>
        </w:rPr>
        <w:t>）《中华人民共和国环境影响评价法》</w:t>
      </w:r>
      <w:r>
        <w:rPr>
          <w:rFonts w:ascii="Times New Roman" w:hAnsi="Times New Roman" w:eastAsia="Times New Roman" w:cs="Times New Roman"/>
          <w:color w:val="auto"/>
          <w:spacing w:val="-1"/>
          <w:position w:val="2"/>
          <w:sz w:val="24"/>
          <w:szCs w:val="24"/>
        </w:rPr>
        <w:t>2018</w:t>
      </w:r>
      <w:r>
        <w:rPr>
          <w:rFonts w:ascii="宋体" w:hAnsi="宋体" w:eastAsia="宋体" w:cs="宋体"/>
          <w:color w:val="auto"/>
          <w:spacing w:val="-1"/>
          <w:position w:val="2"/>
          <w:sz w:val="24"/>
          <w:szCs w:val="24"/>
        </w:rPr>
        <w:t>年</w:t>
      </w:r>
      <w:r>
        <w:rPr>
          <w:rFonts w:ascii="Times New Roman" w:hAnsi="Times New Roman" w:eastAsia="Times New Roman" w:cs="Times New Roman"/>
          <w:color w:val="auto"/>
          <w:spacing w:val="-1"/>
          <w:position w:val="2"/>
          <w:sz w:val="24"/>
          <w:szCs w:val="24"/>
        </w:rPr>
        <w:t>12</w:t>
      </w:r>
      <w:r>
        <w:rPr>
          <w:rFonts w:ascii="宋体" w:hAnsi="宋体" w:eastAsia="宋体" w:cs="宋体"/>
          <w:color w:val="auto"/>
          <w:spacing w:val="-1"/>
          <w:position w:val="2"/>
          <w:sz w:val="24"/>
          <w:szCs w:val="24"/>
        </w:rPr>
        <w:t>月</w:t>
      </w:r>
      <w:r>
        <w:rPr>
          <w:rFonts w:ascii="Times New Roman" w:hAnsi="Times New Roman" w:eastAsia="Times New Roman" w:cs="Times New Roman"/>
          <w:color w:val="auto"/>
          <w:spacing w:val="-1"/>
          <w:position w:val="2"/>
          <w:sz w:val="24"/>
          <w:szCs w:val="24"/>
        </w:rPr>
        <w:t>29</w:t>
      </w:r>
      <w:r>
        <w:rPr>
          <w:rFonts w:ascii="宋体" w:hAnsi="宋体" w:eastAsia="宋体" w:cs="宋体"/>
          <w:color w:val="auto"/>
          <w:spacing w:val="-1"/>
          <w:position w:val="2"/>
          <w:sz w:val="24"/>
          <w:szCs w:val="24"/>
        </w:rPr>
        <w:t>日修订；</w:t>
      </w:r>
    </w:p>
    <w:p>
      <w:pPr>
        <w:spacing w:before="107" w:line="360" w:lineRule="exact"/>
        <w:ind w:left="8"/>
        <w:rPr>
          <w:rFonts w:ascii="宋体" w:hAnsi="宋体" w:eastAsia="宋体" w:cs="宋体"/>
          <w:color w:val="auto"/>
          <w:sz w:val="24"/>
          <w:szCs w:val="24"/>
        </w:rPr>
      </w:pPr>
      <w:r>
        <w:rPr>
          <w:rFonts w:ascii="宋体" w:hAnsi="宋体" w:eastAsia="宋体" w:cs="宋体"/>
          <w:color w:val="auto"/>
          <w:spacing w:val="-1"/>
          <w:position w:val="2"/>
          <w:sz w:val="24"/>
          <w:szCs w:val="24"/>
        </w:rPr>
        <w:t>（</w:t>
      </w:r>
      <w:r>
        <w:rPr>
          <w:rFonts w:ascii="Times New Roman" w:hAnsi="Times New Roman" w:eastAsia="Times New Roman" w:cs="Times New Roman"/>
          <w:color w:val="auto"/>
          <w:spacing w:val="-1"/>
          <w:position w:val="2"/>
          <w:sz w:val="24"/>
          <w:szCs w:val="24"/>
        </w:rPr>
        <w:t>3</w:t>
      </w:r>
      <w:r>
        <w:rPr>
          <w:rFonts w:ascii="宋体" w:hAnsi="宋体" w:eastAsia="宋体" w:cs="宋体"/>
          <w:color w:val="auto"/>
          <w:spacing w:val="-1"/>
          <w:position w:val="2"/>
          <w:sz w:val="24"/>
          <w:szCs w:val="24"/>
        </w:rPr>
        <w:t>）《中华人民共和国电力法》（</w:t>
      </w:r>
      <w:r>
        <w:rPr>
          <w:rFonts w:ascii="Times New Roman" w:hAnsi="Times New Roman" w:eastAsia="Times New Roman" w:cs="Times New Roman"/>
          <w:color w:val="auto"/>
          <w:spacing w:val="-1"/>
          <w:position w:val="2"/>
          <w:sz w:val="24"/>
          <w:szCs w:val="24"/>
        </w:rPr>
        <w:t>2018.12.29</w:t>
      </w:r>
      <w:r>
        <w:rPr>
          <w:rFonts w:ascii="宋体" w:hAnsi="宋体" w:eastAsia="宋体" w:cs="宋体"/>
          <w:color w:val="auto"/>
          <w:spacing w:val="2"/>
          <w:position w:val="2"/>
          <w:sz w:val="24"/>
          <w:szCs w:val="24"/>
        </w:rPr>
        <w:t>）；</w:t>
      </w:r>
    </w:p>
    <w:p>
      <w:pPr>
        <w:spacing w:before="107" w:line="361" w:lineRule="exact"/>
        <w:ind w:left="8"/>
        <w:rPr>
          <w:rFonts w:ascii="宋体" w:hAnsi="宋体" w:eastAsia="宋体" w:cs="宋体"/>
          <w:color w:val="auto"/>
          <w:sz w:val="24"/>
          <w:szCs w:val="24"/>
        </w:rPr>
      </w:pPr>
      <w:r>
        <w:rPr>
          <w:rFonts w:ascii="宋体" w:hAnsi="宋体" w:eastAsia="宋体" w:cs="宋体"/>
          <w:color w:val="auto"/>
          <w:spacing w:val="-1"/>
          <w:position w:val="2"/>
          <w:sz w:val="24"/>
          <w:szCs w:val="24"/>
        </w:rPr>
        <w:t>（</w:t>
      </w:r>
      <w:r>
        <w:rPr>
          <w:rFonts w:ascii="Times New Roman" w:hAnsi="Times New Roman" w:eastAsia="Times New Roman" w:cs="Times New Roman"/>
          <w:color w:val="auto"/>
          <w:spacing w:val="-1"/>
          <w:position w:val="2"/>
          <w:sz w:val="24"/>
          <w:szCs w:val="24"/>
        </w:rPr>
        <w:t>4</w:t>
      </w:r>
      <w:r>
        <w:rPr>
          <w:rFonts w:ascii="宋体" w:hAnsi="宋体" w:eastAsia="宋体" w:cs="宋体"/>
          <w:color w:val="auto"/>
          <w:spacing w:val="-1"/>
          <w:position w:val="2"/>
          <w:sz w:val="24"/>
          <w:szCs w:val="24"/>
        </w:rPr>
        <w:t>）《中华人民共和国城乡规划法》</w:t>
      </w:r>
      <w:r>
        <w:rPr>
          <w:rFonts w:ascii="Times New Roman" w:hAnsi="Times New Roman" w:eastAsia="Times New Roman" w:cs="Times New Roman"/>
          <w:color w:val="auto"/>
          <w:spacing w:val="-1"/>
          <w:position w:val="2"/>
          <w:sz w:val="24"/>
          <w:szCs w:val="24"/>
        </w:rPr>
        <w:t>2019</w:t>
      </w:r>
      <w:r>
        <w:rPr>
          <w:rFonts w:ascii="宋体" w:hAnsi="宋体" w:eastAsia="宋体" w:cs="宋体"/>
          <w:color w:val="auto"/>
          <w:spacing w:val="-1"/>
          <w:position w:val="2"/>
          <w:sz w:val="24"/>
          <w:szCs w:val="24"/>
        </w:rPr>
        <w:t>年</w:t>
      </w:r>
      <w:r>
        <w:rPr>
          <w:rFonts w:ascii="Times New Roman" w:hAnsi="Times New Roman" w:eastAsia="Times New Roman" w:cs="Times New Roman"/>
          <w:color w:val="auto"/>
          <w:spacing w:val="-1"/>
          <w:position w:val="2"/>
          <w:sz w:val="24"/>
          <w:szCs w:val="24"/>
        </w:rPr>
        <w:t>4</w:t>
      </w:r>
      <w:r>
        <w:rPr>
          <w:rFonts w:ascii="宋体" w:hAnsi="宋体" w:eastAsia="宋体" w:cs="宋体"/>
          <w:color w:val="auto"/>
          <w:spacing w:val="-1"/>
          <w:position w:val="2"/>
          <w:sz w:val="24"/>
          <w:szCs w:val="24"/>
        </w:rPr>
        <w:t>月</w:t>
      </w:r>
      <w:r>
        <w:rPr>
          <w:rFonts w:ascii="Times New Roman" w:hAnsi="Times New Roman" w:eastAsia="Times New Roman" w:cs="Times New Roman"/>
          <w:color w:val="auto"/>
          <w:spacing w:val="-1"/>
          <w:position w:val="2"/>
          <w:sz w:val="24"/>
          <w:szCs w:val="24"/>
        </w:rPr>
        <w:t>23</w:t>
      </w:r>
      <w:r>
        <w:rPr>
          <w:rFonts w:ascii="宋体" w:hAnsi="宋体" w:eastAsia="宋体" w:cs="宋体"/>
          <w:color w:val="auto"/>
          <w:spacing w:val="-1"/>
          <w:position w:val="2"/>
          <w:sz w:val="24"/>
          <w:szCs w:val="24"/>
        </w:rPr>
        <w:t>日修订；</w:t>
      </w:r>
    </w:p>
    <w:p>
      <w:pPr>
        <w:spacing w:before="107" w:line="361" w:lineRule="exact"/>
        <w:ind w:left="8"/>
        <w:rPr>
          <w:rFonts w:ascii="宋体" w:hAnsi="宋体" w:eastAsia="宋体" w:cs="宋体"/>
          <w:color w:val="auto"/>
          <w:spacing w:val="-1"/>
          <w:position w:val="2"/>
          <w:sz w:val="24"/>
          <w:szCs w:val="24"/>
        </w:rPr>
      </w:pPr>
      <w:r>
        <w:rPr>
          <w:rFonts w:ascii="宋体" w:hAnsi="宋体" w:eastAsia="宋体" w:cs="宋体"/>
          <w:color w:val="auto"/>
          <w:spacing w:val="-1"/>
          <w:position w:val="2"/>
          <w:sz w:val="24"/>
          <w:szCs w:val="24"/>
        </w:rPr>
        <w:t>（5）《电力设施保护条例》（2011年修正本）国务院第588号令，2011年1月8日起施行；</w:t>
      </w:r>
    </w:p>
    <w:p>
      <w:pPr>
        <w:spacing w:before="109" w:line="360" w:lineRule="exact"/>
        <w:ind w:left="8"/>
        <w:rPr>
          <w:rFonts w:ascii="宋体" w:hAnsi="宋体" w:eastAsia="宋体" w:cs="宋体"/>
          <w:color w:val="auto"/>
          <w:sz w:val="24"/>
          <w:szCs w:val="24"/>
        </w:rPr>
      </w:pPr>
      <w:r>
        <w:rPr>
          <w:rFonts w:ascii="宋体" w:hAnsi="宋体" w:eastAsia="宋体" w:cs="宋体"/>
          <w:color w:val="auto"/>
          <w:spacing w:val="-1"/>
          <w:position w:val="2"/>
          <w:sz w:val="24"/>
          <w:szCs w:val="24"/>
        </w:rPr>
        <w:t>（</w:t>
      </w:r>
      <w:r>
        <w:rPr>
          <w:rFonts w:ascii="Times New Roman" w:hAnsi="Times New Roman" w:eastAsia="Times New Roman" w:cs="Times New Roman"/>
          <w:color w:val="auto"/>
          <w:spacing w:val="-1"/>
          <w:position w:val="2"/>
          <w:sz w:val="24"/>
          <w:szCs w:val="24"/>
        </w:rPr>
        <w:t>6</w:t>
      </w:r>
      <w:r>
        <w:rPr>
          <w:rFonts w:ascii="宋体" w:hAnsi="宋体" w:eastAsia="宋体" w:cs="宋体"/>
          <w:color w:val="auto"/>
          <w:spacing w:val="-1"/>
          <w:position w:val="2"/>
          <w:sz w:val="24"/>
          <w:szCs w:val="24"/>
        </w:rPr>
        <w:t>）《电力设施保护条例实施细则》（修正版</w:t>
      </w:r>
      <w:r>
        <w:rPr>
          <w:rFonts w:ascii="宋体" w:hAnsi="宋体" w:eastAsia="宋体" w:cs="宋体"/>
          <w:color w:val="auto"/>
          <w:spacing w:val="6"/>
          <w:position w:val="2"/>
          <w:sz w:val="24"/>
          <w:szCs w:val="24"/>
        </w:rPr>
        <w:t>），</w:t>
      </w:r>
      <w:r>
        <w:rPr>
          <w:rFonts w:ascii="Times New Roman" w:hAnsi="Times New Roman" w:eastAsia="Times New Roman" w:cs="Times New Roman"/>
          <w:color w:val="auto"/>
          <w:spacing w:val="-1"/>
          <w:position w:val="2"/>
          <w:sz w:val="24"/>
          <w:szCs w:val="24"/>
        </w:rPr>
        <w:t>2011</w:t>
      </w:r>
      <w:r>
        <w:rPr>
          <w:rFonts w:ascii="宋体" w:hAnsi="宋体" w:eastAsia="宋体" w:cs="宋体"/>
          <w:color w:val="auto"/>
          <w:spacing w:val="-1"/>
          <w:position w:val="2"/>
          <w:sz w:val="24"/>
          <w:szCs w:val="24"/>
        </w:rPr>
        <w:t>年</w:t>
      </w:r>
      <w:r>
        <w:rPr>
          <w:rFonts w:ascii="Times New Roman" w:hAnsi="Times New Roman" w:eastAsia="Times New Roman" w:cs="Times New Roman"/>
          <w:color w:val="auto"/>
          <w:spacing w:val="-1"/>
          <w:position w:val="2"/>
          <w:sz w:val="24"/>
          <w:szCs w:val="24"/>
        </w:rPr>
        <w:t>6</w:t>
      </w:r>
      <w:r>
        <w:rPr>
          <w:rFonts w:ascii="宋体" w:hAnsi="宋体" w:eastAsia="宋体" w:cs="宋体"/>
          <w:color w:val="auto"/>
          <w:spacing w:val="-1"/>
          <w:position w:val="2"/>
          <w:sz w:val="24"/>
          <w:szCs w:val="24"/>
        </w:rPr>
        <w:t>月</w:t>
      </w:r>
      <w:r>
        <w:rPr>
          <w:rFonts w:ascii="Times New Roman" w:hAnsi="Times New Roman" w:eastAsia="Times New Roman" w:cs="Times New Roman"/>
          <w:color w:val="auto"/>
          <w:spacing w:val="-1"/>
          <w:position w:val="2"/>
          <w:sz w:val="24"/>
          <w:szCs w:val="24"/>
        </w:rPr>
        <w:t>30</w:t>
      </w:r>
      <w:r>
        <w:rPr>
          <w:rFonts w:ascii="宋体" w:hAnsi="宋体" w:eastAsia="宋体" w:cs="宋体"/>
          <w:color w:val="auto"/>
          <w:spacing w:val="-1"/>
          <w:position w:val="2"/>
          <w:sz w:val="24"/>
          <w:szCs w:val="24"/>
        </w:rPr>
        <w:t>日施行；</w:t>
      </w:r>
    </w:p>
    <w:p>
      <w:pPr>
        <w:spacing w:before="105" w:line="361" w:lineRule="exact"/>
        <w:ind w:left="8"/>
        <w:rPr>
          <w:rFonts w:ascii="宋体" w:hAnsi="宋体" w:eastAsia="宋体" w:cs="宋体"/>
          <w:color w:val="auto"/>
          <w:sz w:val="24"/>
          <w:szCs w:val="24"/>
        </w:rPr>
      </w:pPr>
      <w:r>
        <w:rPr>
          <w:rFonts w:ascii="宋体" w:hAnsi="宋体" w:eastAsia="宋体" w:cs="宋体"/>
          <w:color w:val="auto"/>
          <w:spacing w:val="-4"/>
          <w:position w:val="2"/>
          <w:sz w:val="24"/>
          <w:szCs w:val="24"/>
        </w:rPr>
        <w:t>（</w:t>
      </w:r>
      <w:r>
        <w:rPr>
          <w:rFonts w:ascii="Times New Roman" w:hAnsi="Times New Roman" w:eastAsia="Times New Roman" w:cs="Times New Roman"/>
          <w:color w:val="auto"/>
          <w:spacing w:val="-4"/>
          <w:position w:val="2"/>
          <w:sz w:val="24"/>
          <w:szCs w:val="24"/>
        </w:rPr>
        <w:t>7</w:t>
      </w:r>
      <w:r>
        <w:rPr>
          <w:rFonts w:ascii="宋体" w:hAnsi="宋体" w:eastAsia="宋体" w:cs="宋体"/>
          <w:color w:val="auto"/>
          <w:spacing w:val="-4"/>
          <w:position w:val="2"/>
          <w:sz w:val="24"/>
          <w:szCs w:val="24"/>
        </w:rPr>
        <w:t>）《辽宁省电力设施保护条例》（</w:t>
      </w:r>
      <w:r>
        <w:rPr>
          <w:rFonts w:ascii="Times New Roman" w:hAnsi="Times New Roman" w:eastAsia="Times New Roman" w:cs="Times New Roman"/>
          <w:color w:val="auto"/>
          <w:spacing w:val="-4"/>
          <w:position w:val="2"/>
          <w:sz w:val="24"/>
          <w:szCs w:val="24"/>
        </w:rPr>
        <w:t xml:space="preserve">2017 </w:t>
      </w:r>
      <w:r>
        <w:rPr>
          <w:rFonts w:ascii="宋体" w:hAnsi="宋体" w:eastAsia="宋体" w:cs="宋体"/>
          <w:color w:val="auto"/>
          <w:spacing w:val="-4"/>
          <w:position w:val="2"/>
          <w:sz w:val="24"/>
          <w:szCs w:val="24"/>
        </w:rPr>
        <w:t>年</w:t>
      </w:r>
      <w:r>
        <w:rPr>
          <w:rFonts w:ascii="宋体" w:hAnsi="宋体" w:eastAsia="宋体" w:cs="宋体"/>
          <w:color w:val="auto"/>
          <w:spacing w:val="-54"/>
          <w:position w:val="2"/>
          <w:sz w:val="24"/>
          <w:szCs w:val="24"/>
        </w:rPr>
        <w:t xml:space="preserve"> </w:t>
      </w:r>
      <w:r>
        <w:rPr>
          <w:rFonts w:ascii="Times New Roman" w:hAnsi="Times New Roman" w:eastAsia="Times New Roman" w:cs="Times New Roman"/>
          <w:color w:val="auto"/>
          <w:spacing w:val="-4"/>
          <w:position w:val="2"/>
          <w:sz w:val="24"/>
          <w:szCs w:val="24"/>
        </w:rPr>
        <w:t>2</w:t>
      </w:r>
      <w:r>
        <w:rPr>
          <w:rFonts w:ascii="Times New Roman" w:hAnsi="Times New Roman" w:eastAsia="Times New Roman" w:cs="Times New Roman"/>
          <w:color w:val="auto"/>
          <w:spacing w:val="16"/>
          <w:position w:val="2"/>
          <w:sz w:val="24"/>
          <w:szCs w:val="24"/>
        </w:rPr>
        <w:t xml:space="preserve"> </w:t>
      </w:r>
      <w:r>
        <w:rPr>
          <w:rFonts w:ascii="宋体" w:hAnsi="宋体" w:eastAsia="宋体" w:cs="宋体"/>
          <w:color w:val="auto"/>
          <w:spacing w:val="-4"/>
          <w:position w:val="2"/>
          <w:sz w:val="24"/>
          <w:szCs w:val="24"/>
        </w:rPr>
        <w:t>月</w:t>
      </w:r>
      <w:r>
        <w:rPr>
          <w:rFonts w:ascii="宋体" w:hAnsi="宋体" w:eastAsia="宋体" w:cs="宋体"/>
          <w:color w:val="auto"/>
          <w:spacing w:val="-32"/>
          <w:position w:val="2"/>
          <w:sz w:val="24"/>
          <w:szCs w:val="24"/>
        </w:rPr>
        <w:t xml:space="preserve"> </w:t>
      </w:r>
      <w:r>
        <w:rPr>
          <w:rFonts w:ascii="Times New Roman" w:hAnsi="Times New Roman" w:eastAsia="Times New Roman" w:cs="Times New Roman"/>
          <w:color w:val="auto"/>
          <w:spacing w:val="-4"/>
          <w:position w:val="2"/>
          <w:sz w:val="24"/>
          <w:szCs w:val="24"/>
        </w:rPr>
        <w:t xml:space="preserve">1 </w:t>
      </w:r>
      <w:r>
        <w:rPr>
          <w:rFonts w:ascii="宋体" w:hAnsi="宋体" w:eastAsia="宋体" w:cs="宋体"/>
          <w:color w:val="auto"/>
          <w:spacing w:val="-4"/>
          <w:position w:val="2"/>
          <w:sz w:val="24"/>
          <w:szCs w:val="24"/>
        </w:rPr>
        <w:t>日施行）。</w:t>
      </w:r>
    </w:p>
    <w:p>
      <w:pPr>
        <w:spacing w:before="143" w:line="219" w:lineRule="auto"/>
        <w:ind w:left="243"/>
        <w:outlineLvl w:val="3"/>
        <w:rPr>
          <w:rFonts w:ascii="宋体" w:hAnsi="宋体" w:eastAsia="宋体" w:cs="宋体"/>
          <w:color w:val="auto"/>
          <w:sz w:val="24"/>
          <w:szCs w:val="24"/>
        </w:rPr>
      </w:pPr>
      <w:r>
        <w:rPr>
          <w:rFonts w:ascii="Times New Roman" w:hAnsi="Times New Roman" w:eastAsia="Times New Roman" w:cs="Times New Roman"/>
          <w:b/>
          <w:bCs/>
          <w:color w:val="auto"/>
          <w:spacing w:val="-3"/>
          <w:sz w:val="24"/>
          <w:szCs w:val="24"/>
        </w:rPr>
        <w:t>1.1.2</w:t>
      </w:r>
      <w:r>
        <w:rPr>
          <w:rFonts w:ascii="宋体" w:hAnsi="宋体" w:eastAsia="宋体" w:cs="宋体"/>
          <w:b/>
          <w:bCs/>
          <w:color w:val="auto"/>
          <w:spacing w:val="-3"/>
          <w:sz w:val="24"/>
          <w:szCs w:val="24"/>
        </w:rPr>
        <w:t>部委规章</w:t>
      </w:r>
    </w:p>
    <w:p>
      <w:pPr>
        <w:spacing w:before="145" w:line="360" w:lineRule="exact"/>
        <w:ind w:left="8"/>
        <w:rPr>
          <w:rFonts w:ascii="宋体" w:hAnsi="宋体" w:eastAsia="宋体" w:cs="宋体"/>
          <w:color w:val="auto"/>
          <w:sz w:val="24"/>
          <w:szCs w:val="24"/>
        </w:rPr>
      </w:pPr>
      <w:r>
        <w:rPr>
          <w:rFonts w:ascii="宋体" w:hAnsi="宋体" w:eastAsia="宋体" w:cs="宋体"/>
          <w:color w:val="auto"/>
          <w:spacing w:val="-1"/>
          <w:position w:val="2"/>
          <w:sz w:val="24"/>
          <w:szCs w:val="24"/>
        </w:rPr>
        <w:t>（</w:t>
      </w:r>
      <w:r>
        <w:rPr>
          <w:rFonts w:ascii="Times New Roman" w:hAnsi="Times New Roman" w:eastAsia="Times New Roman" w:cs="Times New Roman"/>
          <w:color w:val="auto"/>
          <w:spacing w:val="-1"/>
          <w:position w:val="2"/>
          <w:sz w:val="24"/>
          <w:szCs w:val="24"/>
        </w:rPr>
        <w:t>1</w:t>
      </w:r>
      <w:r>
        <w:rPr>
          <w:rFonts w:ascii="宋体" w:hAnsi="宋体" w:eastAsia="宋体" w:cs="宋体"/>
          <w:color w:val="auto"/>
          <w:spacing w:val="-1"/>
          <w:position w:val="2"/>
          <w:sz w:val="24"/>
          <w:szCs w:val="24"/>
        </w:rPr>
        <w:t>）国家发展和改革委员会《产业结构调整指导目录（</w:t>
      </w:r>
      <w:r>
        <w:rPr>
          <w:rFonts w:ascii="Times New Roman" w:hAnsi="Times New Roman" w:eastAsia="Times New Roman" w:cs="Times New Roman"/>
          <w:color w:val="auto"/>
          <w:spacing w:val="-1"/>
          <w:position w:val="2"/>
          <w:sz w:val="24"/>
          <w:szCs w:val="24"/>
        </w:rPr>
        <w:t>2019</w:t>
      </w:r>
      <w:r>
        <w:rPr>
          <w:rFonts w:ascii="宋体" w:hAnsi="宋体" w:eastAsia="宋体" w:cs="宋体"/>
          <w:color w:val="auto"/>
          <w:spacing w:val="-1"/>
          <w:position w:val="2"/>
          <w:sz w:val="24"/>
          <w:szCs w:val="24"/>
        </w:rPr>
        <w:t>年）》；</w:t>
      </w:r>
    </w:p>
    <w:p>
      <w:pPr>
        <w:spacing w:before="108" w:line="359" w:lineRule="exact"/>
        <w:ind w:left="8"/>
        <w:rPr>
          <w:rFonts w:ascii="宋体" w:hAnsi="宋体" w:eastAsia="宋体" w:cs="宋体"/>
          <w:color w:val="auto"/>
          <w:sz w:val="24"/>
          <w:szCs w:val="24"/>
        </w:rPr>
      </w:pPr>
      <w:r>
        <w:rPr>
          <w:rFonts w:ascii="宋体" w:hAnsi="宋体" w:eastAsia="宋体" w:cs="宋体"/>
          <w:color w:val="auto"/>
          <w:spacing w:val="-1"/>
          <w:position w:val="2"/>
          <w:sz w:val="24"/>
          <w:szCs w:val="24"/>
        </w:rPr>
        <w:t>（</w:t>
      </w:r>
      <w:r>
        <w:rPr>
          <w:rFonts w:ascii="Times New Roman" w:hAnsi="Times New Roman" w:eastAsia="Times New Roman" w:cs="Times New Roman"/>
          <w:color w:val="auto"/>
          <w:spacing w:val="-1"/>
          <w:position w:val="2"/>
          <w:sz w:val="24"/>
          <w:szCs w:val="24"/>
        </w:rPr>
        <w:t>2</w:t>
      </w:r>
      <w:r>
        <w:rPr>
          <w:rFonts w:ascii="宋体" w:hAnsi="宋体" w:eastAsia="宋体" w:cs="宋体"/>
          <w:color w:val="auto"/>
          <w:spacing w:val="-1"/>
          <w:position w:val="2"/>
          <w:sz w:val="24"/>
          <w:szCs w:val="24"/>
        </w:rPr>
        <w:t>）《建设项目环境影响评价分类管理名录》（</w:t>
      </w:r>
      <w:r>
        <w:rPr>
          <w:rFonts w:ascii="Times New Roman" w:hAnsi="Times New Roman" w:eastAsia="Times New Roman" w:cs="Times New Roman"/>
          <w:color w:val="auto"/>
          <w:spacing w:val="-1"/>
          <w:position w:val="2"/>
          <w:sz w:val="24"/>
          <w:szCs w:val="24"/>
        </w:rPr>
        <w:t>2021</w:t>
      </w:r>
      <w:r>
        <w:rPr>
          <w:rFonts w:ascii="宋体" w:hAnsi="宋体" w:eastAsia="宋体" w:cs="宋体"/>
          <w:color w:val="auto"/>
          <w:spacing w:val="-1"/>
          <w:position w:val="2"/>
          <w:sz w:val="24"/>
          <w:szCs w:val="24"/>
        </w:rPr>
        <w:t>年版</w:t>
      </w:r>
      <w:r>
        <w:rPr>
          <w:rFonts w:ascii="宋体" w:hAnsi="宋体" w:eastAsia="宋体" w:cs="宋体"/>
          <w:color w:val="auto"/>
          <w:spacing w:val="3"/>
          <w:position w:val="2"/>
          <w:sz w:val="24"/>
          <w:szCs w:val="24"/>
        </w:rPr>
        <w:t>）；</w:t>
      </w:r>
    </w:p>
    <w:p>
      <w:pPr>
        <w:spacing w:before="109" w:line="360" w:lineRule="exact"/>
        <w:ind w:left="8"/>
        <w:rPr>
          <w:rFonts w:ascii="宋体" w:hAnsi="宋体" w:eastAsia="宋体" w:cs="宋体"/>
          <w:color w:val="auto"/>
          <w:sz w:val="24"/>
          <w:szCs w:val="24"/>
        </w:rPr>
      </w:pPr>
      <w:r>
        <w:rPr>
          <w:rFonts w:ascii="宋体" w:hAnsi="宋体" w:eastAsia="宋体" w:cs="宋体"/>
          <w:color w:val="auto"/>
          <w:spacing w:val="-1"/>
          <w:position w:val="2"/>
          <w:sz w:val="24"/>
          <w:szCs w:val="24"/>
        </w:rPr>
        <w:t>（</w:t>
      </w:r>
      <w:r>
        <w:rPr>
          <w:rFonts w:ascii="Times New Roman" w:hAnsi="Times New Roman" w:eastAsia="Times New Roman" w:cs="Times New Roman"/>
          <w:color w:val="auto"/>
          <w:spacing w:val="-1"/>
          <w:position w:val="2"/>
          <w:sz w:val="24"/>
          <w:szCs w:val="24"/>
        </w:rPr>
        <w:t>3</w:t>
      </w:r>
      <w:r>
        <w:rPr>
          <w:rFonts w:ascii="宋体" w:hAnsi="宋体" w:eastAsia="宋体" w:cs="宋体"/>
          <w:color w:val="auto"/>
          <w:spacing w:val="-1"/>
          <w:position w:val="2"/>
          <w:sz w:val="24"/>
          <w:szCs w:val="24"/>
        </w:rPr>
        <w:t>）《建设项目环境保护管理条例》国务院第</w:t>
      </w:r>
      <w:r>
        <w:rPr>
          <w:rFonts w:ascii="Times New Roman" w:hAnsi="Times New Roman" w:eastAsia="Times New Roman" w:cs="Times New Roman"/>
          <w:color w:val="auto"/>
          <w:spacing w:val="-1"/>
          <w:position w:val="2"/>
          <w:sz w:val="24"/>
          <w:szCs w:val="24"/>
        </w:rPr>
        <w:t>682</w:t>
      </w:r>
      <w:r>
        <w:rPr>
          <w:rFonts w:ascii="宋体" w:hAnsi="宋体" w:eastAsia="宋体" w:cs="宋体"/>
          <w:color w:val="auto"/>
          <w:spacing w:val="-1"/>
          <w:position w:val="2"/>
          <w:sz w:val="24"/>
          <w:szCs w:val="24"/>
        </w:rPr>
        <w:t>号令；</w:t>
      </w:r>
    </w:p>
    <w:p>
      <w:pPr>
        <w:spacing w:before="105" w:line="319" w:lineRule="auto"/>
        <w:ind w:right="21" w:firstLine="8"/>
        <w:rPr>
          <w:rFonts w:ascii="宋体" w:hAnsi="宋体" w:eastAsia="宋体" w:cs="宋体"/>
          <w:color w:val="auto"/>
          <w:sz w:val="24"/>
          <w:szCs w:val="24"/>
        </w:rPr>
      </w:pPr>
      <w:r>
        <w:rPr>
          <w:rFonts w:ascii="宋体" w:hAnsi="宋体" w:eastAsia="宋体" w:cs="宋体"/>
          <w:color w:val="auto"/>
          <w:sz w:val="24"/>
          <w:szCs w:val="24"/>
        </w:rPr>
        <w:t>（</w:t>
      </w:r>
      <w:r>
        <w:rPr>
          <w:rFonts w:ascii="Times New Roman" w:hAnsi="Times New Roman" w:eastAsia="Times New Roman" w:cs="Times New Roman"/>
          <w:color w:val="auto"/>
          <w:sz w:val="24"/>
          <w:szCs w:val="24"/>
        </w:rPr>
        <w:t>4</w:t>
      </w:r>
      <w:r>
        <w:rPr>
          <w:rFonts w:ascii="宋体" w:hAnsi="宋体" w:eastAsia="宋体" w:cs="宋体"/>
          <w:color w:val="auto"/>
          <w:sz w:val="24"/>
          <w:szCs w:val="24"/>
        </w:rPr>
        <w:t>）环境保护部（环办</w:t>
      </w:r>
      <w:r>
        <w:rPr>
          <w:rFonts w:hint="eastAsia" w:ascii="宋体" w:hAnsi="宋体" w:eastAsia="宋体" w:cs="宋体"/>
          <w:color w:val="auto"/>
          <w:sz w:val="24"/>
          <w:szCs w:val="24"/>
          <w:lang w:eastAsia="zh-CN"/>
        </w:rPr>
        <w:t>〔2012〕131号</w:t>
      </w:r>
      <w:r>
        <w:rPr>
          <w:rFonts w:ascii="宋体" w:hAnsi="宋体" w:eastAsia="宋体" w:cs="宋体"/>
          <w:color w:val="auto"/>
          <w:spacing w:val="-1"/>
          <w:sz w:val="24"/>
          <w:szCs w:val="24"/>
        </w:rPr>
        <w:t>）《关于进一步加强输变电类建设项目环境保护监管工作的通知》（</w:t>
      </w:r>
      <w:r>
        <w:rPr>
          <w:rFonts w:ascii="Times New Roman" w:hAnsi="Times New Roman" w:eastAsia="Times New Roman" w:cs="Times New Roman"/>
          <w:color w:val="auto"/>
          <w:spacing w:val="-1"/>
          <w:sz w:val="24"/>
          <w:szCs w:val="24"/>
        </w:rPr>
        <w:t>2012</w:t>
      </w:r>
      <w:r>
        <w:rPr>
          <w:rFonts w:ascii="宋体" w:hAnsi="宋体" w:eastAsia="宋体" w:cs="宋体"/>
          <w:color w:val="auto"/>
          <w:spacing w:val="-1"/>
          <w:sz w:val="24"/>
          <w:szCs w:val="24"/>
        </w:rPr>
        <w:t>年</w:t>
      </w:r>
      <w:r>
        <w:rPr>
          <w:rFonts w:ascii="Times New Roman" w:hAnsi="Times New Roman" w:eastAsia="Times New Roman" w:cs="Times New Roman"/>
          <w:color w:val="auto"/>
          <w:spacing w:val="-1"/>
          <w:sz w:val="24"/>
          <w:szCs w:val="24"/>
        </w:rPr>
        <w:t>10</w:t>
      </w:r>
      <w:r>
        <w:rPr>
          <w:rFonts w:ascii="宋体" w:hAnsi="宋体" w:eastAsia="宋体" w:cs="宋体"/>
          <w:color w:val="auto"/>
          <w:spacing w:val="-1"/>
          <w:sz w:val="24"/>
          <w:szCs w:val="24"/>
        </w:rPr>
        <w:t>月</w:t>
      </w:r>
      <w:r>
        <w:rPr>
          <w:rFonts w:ascii="Times New Roman" w:hAnsi="Times New Roman" w:eastAsia="Times New Roman" w:cs="Times New Roman"/>
          <w:color w:val="auto"/>
          <w:spacing w:val="-1"/>
          <w:sz w:val="24"/>
          <w:szCs w:val="24"/>
        </w:rPr>
        <w:t>29</w:t>
      </w:r>
      <w:r>
        <w:rPr>
          <w:rFonts w:ascii="宋体" w:hAnsi="宋体" w:eastAsia="宋体" w:cs="宋体"/>
          <w:color w:val="auto"/>
          <w:spacing w:val="-1"/>
          <w:sz w:val="24"/>
          <w:szCs w:val="24"/>
        </w:rPr>
        <w:t>日）。</w:t>
      </w:r>
    </w:p>
    <w:p>
      <w:pPr>
        <w:spacing w:before="143" w:line="220" w:lineRule="auto"/>
        <w:ind w:left="243"/>
        <w:outlineLvl w:val="3"/>
        <w:rPr>
          <w:rFonts w:ascii="宋体" w:hAnsi="宋体" w:eastAsia="宋体" w:cs="宋体"/>
          <w:color w:val="auto"/>
          <w:sz w:val="24"/>
          <w:szCs w:val="24"/>
        </w:rPr>
      </w:pPr>
      <w:r>
        <w:rPr>
          <w:rFonts w:ascii="Times New Roman" w:hAnsi="Times New Roman" w:eastAsia="Times New Roman" w:cs="Times New Roman"/>
          <w:b/>
          <w:bCs/>
          <w:color w:val="auto"/>
          <w:spacing w:val="-3"/>
          <w:sz w:val="24"/>
          <w:szCs w:val="24"/>
        </w:rPr>
        <w:t>1.1.3</w:t>
      </w:r>
      <w:r>
        <w:rPr>
          <w:rFonts w:ascii="宋体" w:hAnsi="宋体" w:eastAsia="宋体" w:cs="宋体"/>
          <w:b/>
          <w:bCs/>
          <w:color w:val="auto"/>
          <w:spacing w:val="-3"/>
          <w:sz w:val="24"/>
          <w:szCs w:val="24"/>
        </w:rPr>
        <w:t>地方性法规及相关文件</w:t>
      </w:r>
    </w:p>
    <w:p>
      <w:pPr>
        <w:spacing w:before="142" w:line="360" w:lineRule="exact"/>
        <w:ind w:left="8"/>
        <w:outlineLvl w:val="4"/>
        <w:rPr>
          <w:rFonts w:ascii="宋体" w:hAnsi="宋体" w:eastAsia="宋体" w:cs="宋体"/>
          <w:color w:val="auto"/>
          <w:sz w:val="24"/>
          <w:szCs w:val="24"/>
        </w:rPr>
      </w:pPr>
      <w:r>
        <w:rPr>
          <w:rFonts w:ascii="宋体" w:hAnsi="宋体" w:eastAsia="宋体" w:cs="宋体"/>
          <w:color w:val="auto"/>
          <w:spacing w:val="-1"/>
          <w:position w:val="2"/>
          <w:sz w:val="24"/>
          <w:szCs w:val="24"/>
        </w:rPr>
        <w:t>（</w:t>
      </w:r>
      <w:r>
        <w:rPr>
          <w:rFonts w:ascii="Times New Roman" w:hAnsi="Times New Roman" w:eastAsia="Times New Roman" w:cs="Times New Roman"/>
          <w:color w:val="auto"/>
          <w:spacing w:val="-1"/>
          <w:position w:val="2"/>
          <w:sz w:val="24"/>
          <w:szCs w:val="24"/>
        </w:rPr>
        <w:t>1</w:t>
      </w:r>
      <w:r>
        <w:rPr>
          <w:rFonts w:ascii="宋体" w:hAnsi="宋体" w:eastAsia="宋体" w:cs="宋体"/>
          <w:color w:val="auto"/>
          <w:spacing w:val="-1"/>
          <w:position w:val="2"/>
          <w:sz w:val="24"/>
          <w:szCs w:val="24"/>
        </w:rPr>
        <w:t>）《辽宁省环境保护条例》（</w:t>
      </w:r>
      <w:r>
        <w:rPr>
          <w:rFonts w:ascii="Times New Roman" w:hAnsi="Times New Roman" w:eastAsia="Times New Roman" w:cs="Times New Roman"/>
          <w:color w:val="auto"/>
          <w:spacing w:val="-1"/>
          <w:position w:val="2"/>
          <w:sz w:val="24"/>
          <w:szCs w:val="24"/>
        </w:rPr>
        <w:t>2020</w:t>
      </w:r>
      <w:r>
        <w:rPr>
          <w:rFonts w:ascii="宋体" w:hAnsi="宋体" w:eastAsia="宋体" w:cs="宋体"/>
          <w:color w:val="auto"/>
          <w:spacing w:val="-1"/>
          <w:position w:val="2"/>
          <w:sz w:val="24"/>
          <w:szCs w:val="24"/>
        </w:rPr>
        <w:t>年修正</w:t>
      </w:r>
      <w:r>
        <w:rPr>
          <w:rFonts w:ascii="宋体" w:hAnsi="宋体" w:eastAsia="宋体" w:cs="宋体"/>
          <w:color w:val="auto"/>
          <w:position w:val="2"/>
          <w:sz w:val="24"/>
          <w:szCs w:val="24"/>
        </w:rPr>
        <w:t>）；</w:t>
      </w:r>
    </w:p>
    <w:p>
      <w:pPr>
        <w:spacing w:before="109" w:line="348" w:lineRule="auto"/>
        <w:ind w:left="16" w:right="80" w:hanging="8"/>
        <w:rPr>
          <w:rFonts w:ascii="宋体" w:hAnsi="宋体" w:eastAsia="宋体" w:cs="宋体"/>
          <w:color w:val="auto"/>
          <w:sz w:val="24"/>
          <w:szCs w:val="24"/>
        </w:rPr>
      </w:pPr>
      <w:r>
        <w:rPr>
          <w:rFonts w:ascii="宋体" w:hAnsi="宋体" w:eastAsia="宋体" w:cs="宋体"/>
          <w:color w:val="auto"/>
          <w:spacing w:val="-1"/>
          <w:sz w:val="24"/>
          <w:szCs w:val="24"/>
        </w:rPr>
        <w:t>（</w:t>
      </w:r>
      <w:r>
        <w:rPr>
          <w:rFonts w:ascii="Times New Roman" w:hAnsi="Times New Roman" w:eastAsia="Times New Roman" w:cs="Times New Roman"/>
          <w:color w:val="auto"/>
          <w:spacing w:val="-1"/>
          <w:sz w:val="24"/>
          <w:szCs w:val="24"/>
        </w:rPr>
        <w:t>2</w:t>
      </w:r>
      <w:r>
        <w:rPr>
          <w:rFonts w:ascii="宋体" w:hAnsi="宋体" w:eastAsia="宋体" w:cs="宋体"/>
          <w:color w:val="auto"/>
          <w:spacing w:val="-1"/>
          <w:sz w:val="24"/>
          <w:szCs w:val="24"/>
        </w:rPr>
        <w:t>）《辽宁省生态环境厅关于发布审批环境影响评价文件的建设项目目录（</w:t>
      </w:r>
      <w:r>
        <w:rPr>
          <w:rFonts w:ascii="Times New Roman" w:hAnsi="Times New Roman" w:eastAsia="Times New Roman" w:cs="Times New Roman"/>
          <w:color w:val="auto"/>
          <w:spacing w:val="-1"/>
          <w:sz w:val="24"/>
          <w:szCs w:val="24"/>
        </w:rPr>
        <w:t>2021</w:t>
      </w:r>
      <w:r>
        <w:rPr>
          <w:rFonts w:ascii="宋体" w:hAnsi="宋体" w:eastAsia="宋体" w:cs="宋体"/>
          <w:color w:val="auto"/>
          <w:spacing w:val="-1"/>
          <w:sz w:val="24"/>
          <w:szCs w:val="24"/>
        </w:rPr>
        <w:t>年</w:t>
      </w:r>
      <w:r>
        <w:rPr>
          <w:rFonts w:ascii="宋体" w:hAnsi="宋体" w:eastAsia="宋体" w:cs="宋体"/>
          <w:color w:val="auto"/>
          <w:spacing w:val="-2"/>
          <w:sz w:val="24"/>
          <w:szCs w:val="24"/>
        </w:rPr>
        <w:t>本）</w:t>
      </w:r>
      <w:r>
        <w:rPr>
          <w:rFonts w:ascii="宋体" w:hAnsi="宋体" w:eastAsia="宋体" w:cs="宋体"/>
          <w:color w:val="auto"/>
          <w:spacing w:val="-1"/>
          <w:sz w:val="24"/>
          <w:szCs w:val="24"/>
        </w:rPr>
        <w:t>的通知》（辽环发</w:t>
      </w:r>
      <w:r>
        <w:rPr>
          <w:rFonts w:hint="eastAsia" w:ascii="宋体" w:hAnsi="宋体" w:eastAsia="宋体" w:cs="宋体"/>
          <w:color w:val="auto"/>
          <w:spacing w:val="-1"/>
          <w:sz w:val="24"/>
          <w:szCs w:val="24"/>
          <w:lang w:eastAsia="zh-CN"/>
        </w:rPr>
        <w:t>〔2021〕1号</w:t>
      </w:r>
      <w:r>
        <w:rPr>
          <w:rFonts w:ascii="宋体" w:hAnsi="宋体" w:eastAsia="宋体" w:cs="宋体"/>
          <w:color w:val="auto"/>
          <w:spacing w:val="-1"/>
          <w:sz w:val="24"/>
          <w:szCs w:val="24"/>
        </w:rPr>
        <w:t>，</w:t>
      </w:r>
      <w:r>
        <w:rPr>
          <w:rFonts w:ascii="Times New Roman" w:hAnsi="Times New Roman" w:eastAsia="Times New Roman" w:cs="Times New Roman"/>
          <w:color w:val="auto"/>
          <w:spacing w:val="-1"/>
          <w:sz w:val="24"/>
          <w:szCs w:val="24"/>
        </w:rPr>
        <w:t>2021</w:t>
      </w:r>
      <w:r>
        <w:rPr>
          <w:rFonts w:ascii="宋体" w:hAnsi="宋体" w:eastAsia="宋体" w:cs="宋体"/>
          <w:color w:val="auto"/>
          <w:spacing w:val="-1"/>
          <w:sz w:val="24"/>
          <w:szCs w:val="24"/>
        </w:rPr>
        <w:t>年</w:t>
      </w:r>
      <w:r>
        <w:rPr>
          <w:rFonts w:ascii="Times New Roman" w:hAnsi="Times New Roman" w:eastAsia="Times New Roman" w:cs="Times New Roman"/>
          <w:color w:val="auto"/>
          <w:spacing w:val="-1"/>
          <w:sz w:val="24"/>
          <w:szCs w:val="24"/>
        </w:rPr>
        <w:t>5</w:t>
      </w:r>
      <w:r>
        <w:rPr>
          <w:rFonts w:ascii="宋体" w:hAnsi="宋体" w:eastAsia="宋体" w:cs="宋体"/>
          <w:color w:val="auto"/>
          <w:spacing w:val="-1"/>
          <w:sz w:val="24"/>
          <w:szCs w:val="24"/>
        </w:rPr>
        <w:t>月</w:t>
      </w:r>
      <w:r>
        <w:rPr>
          <w:rFonts w:ascii="Times New Roman" w:hAnsi="Times New Roman" w:eastAsia="Times New Roman" w:cs="Times New Roman"/>
          <w:color w:val="auto"/>
          <w:spacing w:val="-1"/>
          <w:sz w:val="24"/>
          <w:szCs w:val="24"/>
        </w:rPr>
        <w:t>30</w:t>
      </w:r>
      <w:r>
        <w:rPr>
          <w:rFonts w:ascii="宋体" w:hAnsi="宋体" w:eastAsia="宋体" w:cs="宋体"/>
          <w:color w:val="auto"/>
          <w:spacing w:val="-2"/>
          <w:sz w:val="24"/>
          <w:szCs w:val="24"/>
        </w:rPr>
        <w:t>日）。</w:t>
      </w:r>
    </w:p>
    <w:p>
      <w:pPr>
        <w:spacing w:before="66" w:line="219" w:lineRule="auto"/>
        <w:ind w:left="243"/>
        <w:outlineLvl w:val="3"/>
        <w:rPr>
          <w:rFonts w:ascii="宋体" w:hAnsi="宋体" w:eastAsia="宋体" w:cs="宋体"/>
          <w:color w:val="auto"/>
          <w:sz w:val="24"/>
          <w:szCs w:val="24"/>
        </w:rPr>
      </w:pPr>
      <w:r>
        <w:rPr>
          <w:rFonts w:ascii="Times New Roman" w:hAnsi="Times New Roman" w:eastAsia="Times New Roman" w:cs="Times New Roman"/>
          <w:b/>
          <w:bCs/>
          <w:color w:val="auto"/>
          <w:spacing w:val="-2"/>
          <w:sz w:val="24"/>
          <w:szCs w:val="24"/>
        </w:rPr>
        <w:t xml:space="preserve">1.1.4 </w:t>
      </w:r>
      <w:r>
        <w:rPr>
          <w:rFonts w:ascii="宋体" w:hAnsi="宋体" w:eastAsia="宋体" w:cs="宋体"/>
          <w:b/>
          <w:bCs/>
          <w:color w:val="auto"/>
          <w:spacing w:val="-2"/>
          <w:sz w:val="24"/>
          <w:szCs w:val="24"/>
        </w:rPr>
        <w:t>采用的标准、技术规范及规定</w:t>
      </w:r>
    </w:p>
    <w:p>
      <w:pPr>
        <w:spacing w:before="145" w:line="358" w:lineRule="exact"/>
        <w:ind w:left="8"/>
        <w:rPr>
          <w:rFonts w:ascii="宋体" w:hAnsi="宋体" w:eastAsia="宋体" w:cs="宋体"/>
          <w:color w:val="auto"/>
          <w:sz w:val="24"/>
          <w:szCs w:val="24"/>
        </w:rPr>
      </w:pPr>
      <w:r>
        <w:rPr>
          <w:rFonts w:ascii="宋体" w:hAnsi="宋体" w:eastAsia="宋体" w:cs="宋体"/>
          <w:color w:val="auto"/>
          <w:spacing w:val="-2"/>
          <w:position w:val="2"/>
          <w:sz w:val="24"/>
          <w:szCs w:val="24"/>
        </w:rPr>
        <w:t>（</w:t>
      </w:r>
      <w:r>
        <w:rPr>
          <w:rFonts w:ascii="Times New Roman" w:hAnsi="Times New Roman" w:eastAsia="Times New Roman" w:cs="Times New Roman"/>
          <w:color w:val="auto"/>
          <w:spacing w:val="-2"/>
          <w:position w:val="2"/>
          <w:sz w:val="24"/>
          <w:szCs w:val="24"/>
        </w:rPr>
        <w:t>1</w:t>
      </w:r>
      <w:r>
        <w:rPr>
          <w:rFonts w:ascii="宋体" w:hAnsi="宋体" w:eastAsia="宋体" w:cs="宋体"/>
          <w:color w:val="auto"/>
          <w:spacing w:val="-2"/>
          <w:position w:val="2"/>
          <w:sz w:val="24"/>
          <w:szCs w:val="24"/>
        </w:rPr>
        <w:t>）《建设项目环境影响评价技术导则总纲》（</w:t>
      </w:r>
      <w:r>
        <w:rPr>
          <w:rFonts w:ascii="Times New Roman" w:hAnsi="Times New Roman" w:eastAsia="Times New Roman" w:cs="Times New Roman"/>
          <w:color w:val="auto"/>
          <w:spacing w:val="-2"/>
          <w:position w:val="2"/>
          <w:sz w:val="24"/>
          <w:szCs w:val="24"/>
        </w:rPr>
        <w:t>HJ2.</w:t>
      </w:r>
      <w:r>
        <w:rPr>
          <w:rFonts w:ascii="Times New Roman" w:hAnsi="Times New Roman" w:eastAsia="Times New Roman" w:cs="Times New Roman"/>
          <w:color w:val="auto"/>
          <w:spacing w:val="-31"/>
          <w:position w:val="2"/>
          <w:sz w:val="24"/>
          <w:szCs w:val="24"/>
        </w:rPr>
        <w:t xml:space="preserve"> </w:t>
      </w:r>
      <w:r>
        <w:rPr>
          <w:rFonts w:ascii="Times New Roman" w:hAnsi="Times New Roman" w:eastAsia="Times New Roman" w:cs="Times New Roman"/>
          <w:color w:val="auto"/>
          <w:spacing w:val="-2"/>
          <w:position w:val="2"/>
          <w:sz w:val="24"/>
          <w:szCs w:val="24"/>
        </w:rPr>
        <w:t>1-2016</w:t>
      </w:r>
      <w:r>
        <w:rPr>
          <w:rFonts w:ascii="宋体" w:hAnsi="宋体" w:eastAsia="宋体" w:cs="宋体"/>
          <w:color w:val="auto"/>
          <w:spacing w:val="6"/>
          <w:position w:val="2"/>
          <w:sz w:val="24"/>
          <w:szCs w:val="24"/>
        </w:rPr>
        <w:t>）；</w:t>
      </w:r>
    </w:p>
    <w:p>
      <w:pPr>
        <w:spacing w:before="107" w:line="359" w:lineRule="exact"/>
        <w:ind w:left="8"/>
        <w:rPr>
          <w:rFonts w:ascii="宋体" w:hAnsi="宋体" w:eastAsia="宋体" w:cs="宋体"/>
          <w:color w:val="auto"/>
          <w:sz w:val="24"/>
          <w:szCs w:val="24"/>
        </w:rPr>
      </w:pPr>
      <w:r>
        <w:rPr>
          <w:rFonts w:ascii="宋体" w:hAnsi="宋体" w:eastAsia="宋体" w:cs="宋体"/>
          <w:color w:val="auto"/>
          <w:spacing w:val="-1"/>
          <w:position w:val="2"/>
          <w:sz w:val="24"/>
          <w:szCs w:val="24"/>
        </w:rPr>
        <w:t>（</w:t>
      </w:r>
      <w:r>
        <w:rPr>
          <w:rFonts w:ascii="Times New Roman" w:hAnsi="Times New Roman" w:eastAsia="Times New Roman" w:cs="Times New Roman"/>
          <w:color w:val="auto"/>
          <w:spacing w:val="-1"/>
          <w:position w:val="2"/>
          <w:sz w:val="24"/>
          <w:szCs w:val="24"/>
        </w:rPr>
        <w:t>2</w:t>
      </w:r>
      <w:r>
        <w:rPr>
          <w:rFonts w:ascii="宋体" w:hAnsi="宋体" w:eastAsia="宋体" w:cs="宋体"/>
          <w:color w:val="auto"/>
          <w:spacing w:val="-1"/>
          <w:position w:val="2"/>
          <w:sz w:val="24"/>
          <w:szCs w:val="24"/>
        </w:rPr>
        <w:t>）《环境影响评价技术导则输变电》（</w:t>
      </w:r>
      <w:r>
        <w:rPr>
          <w:rFonts w:ascii="Times New Roman" w:hAnsi="Times New Roman" w:eastAsia="Times New Roman" w:cs="Times New Roman"/>
          <w:color w:val="auto"/>
          <w:spacing w:val="-1"/>
          <w:position w:val="2"/>
          <w:sz w:val="24"/>
          <w:szCs w:val="24"/>
        </w:rPr>
        <w:t>HJ24-2020</w:t>
      </w:r>
      <w:r>
        <w:rPr>
          <w:rFonts w:ascii="宋体" w:hAnsi="宋体" w:eastAsia="宋体" w:cs="宋体"/>
          <w:color w:val="auto"/>
          <w:spacing w:val="2"/>
          <w:position w:val="2"/>
          <w:sz w:val="24"/>
          <w:szCs w:val="24"/>
        </w:rPr>
        <w:t>）；</w:t>
      </w:r>
    </w:p>
    <w:p>
      <w:pPr>
        <w:spacing w:before="109" w:line="361" w:lineRule="exact"/>
        <w:ind w:left="8"/>
        <w:rPr>
          <w:rFonts w:ascii="宋体" w:hAnsi="宋体" w:eastAsia="宋体" w:cs="宋体"/>
          <w:color w:val="auto"/>
          <w:sz w:val="24"/>
          <w:szCs w:val="24"/>
        </w:rPr>
      </w:pPr>
      <w:r>
        <w:rPr>
          <w:rFonts w:ascii="宋体" w:hAnsi="宋体" w:eastAsia="宋体" w:cs="宋体"/>
          <w:color w:val="auto"/>
          <w:spacing w:val="-1"/>
          <w:position w:val="2"/>
          <w:sz w:val="24"/>
          <w:szCs w:val="24"/>
        </w:rPr>
        <w:t>（</w:t>
      </w:r>
      <w:r>
        <w:rPr>
          <w:rFonts w:ascii="Times New Roman" w:hAnsi="Times New Roman" w:eastAsia="Times New Roman" w:cs="Times New Roman"/>
          <w:color w:val="auto"/>
          <w:spacing w:val="-1"/>
          <w:position w:val="2"/>
          <w:sz w:val="24"/>
          <w:szCs w:val="24"/>
        </w:rPr>
        <w:t>3</w:t>
      </w:r>
      <w:r>
        <w:rPr>
          <w:rFonts w:ascii="宋体" w:hAnsi="宋体" w:eastAsia="宋体" w:cs="宋体"/>
          <w:color w:val="auto"/>
          <w:spacing w:val="-1"/>
          <w:position w:val="2"/>
          <w:sz w:val="24"/>
          <w:szCs w:val="24"/>
        </w:rPr>
        <w:t>）《建设项目竣工环境保护验收技术规范输变电》（</w:t>
      </w:r>
      <w:r>
        <w:rPr>
          <w:rFonts w:ascii="Times New Roman" w:hAnsi="Times New Roman" w:eastAsia="Times New Roman" w:cs="Times New Roman"/>
          <w:color w:val="auto"/>
          <w:spacing w:val="-1"/>
          <w:position w:val="2"/>
          <w:sz w:val="24"/>
          <w:szCs w:val="24"/>
        </w:rPr>
        <w:t>HJ705-2020</w:t>
      </w:r>
      <w:r>
        <w:rPr>
          <w:rFonts w:ascii="宋体" w:hAnsi="宋体" w:eastAsia="宋体" w:cs="宋体"/>
          <w:color w:val="auto"/>
          <w:spacing w:val="6"/>
          <w:position w:val="2"/>
          <w:sz w:val="24"/>
          <w:szCs w:val="24"/>
        </w:rPr>
        <w:t>）；</w:t>
      </w:r>
    </w:p>
    <w:p>
      <w:pPr>
        <w:spacing w:before="107" w:line="361" w:lineRule="exact"/>
        <w:ind w:left="8"/>
        <w:rPr>
          <w:rFonts w:ascii="宋体" w:hAnsi="宋体" w:eastAsia="宋体" w:cs="宋体"/>
          <w:color w:val="auto"/>
          <w:sz w:val="24"/>
          <w:szCs w:val="24"/>
        </w:rPr>
      </w:pPr>
      <w:r>
        <w:rPr>
          <w:rFonts w:ascii="宋体" w:hAnsi="宋体" w:eastAsia="宋体" w:cs="宋体"/>
          <w:color w:val="auto"/>
          <w:spacing w:val="-1"/>
          <w:position w:val="2"/>
          <w:sz w:val="24"/>
          <w:szCs w:val="24"/>
        </w:rPr>
        <w:t>（</w:t>
      </w:r>
      <w:r>
        <w:rPr>
          <w:rFonts w:ascii="Times New Roman" w:hAnsi="Times New Roman" w:eastAsia="Times New Roman" w:cs="Times New Roman"/>
          <w:color w:val="auto"/>
          <w:spacing w:val="-1"/>
          <w:position w:val="2"/>
          <w:sz w:val="24"/>
          <w:szCs w:val="24"/>
        </w:rPr>
        <w:t>4</w:t>
      </w:r>
      <w:r>
        <w:rPr>
          <w:rFonts w:ascii="宋体" w:hAnsi="宋体" w:eastAsia="宋体" w:cs="宋体"/>
          <w:color w:val="auto"/>
          <w:spacing w:val="-1"/>
          <w:position w:val="2"/>
          <w:sz w:val="24"/>
          <w:szCs w:val="24"/>
        </w:rPr>
        <w:t>）《输变电建设项目环境保护技术要求》（</w:t>
      </w:r>
      <w:r>
        <w:rPr>
          <w:rFonts w:ascii="Times New Roman" w:hAnsi="Times New Roman" w:eastAsia="Times New Roman" w:cs="Times New Roman"/>
          <w:color w:val="auto"/>
          <w:spacing w:val="-1"/>
          <w:position w:val="2"/>
          <w:sz w:val="24"/>
          <w:szCs w:val="24"/>
        </w:rPr>
        <w:t>HJ1113-2020</w:t>
      </w:r>
      <w:r>
        <w:rPr>
          <w:rFonts w:ascii="宋体" w:hAnsi="宋体" w:eastAsia="宋体" w:cs="宋体"/>
          <w:color w:val="auto"/>
          <w:spacing w:val="4"/>
          <w:position w:val="2"/>
          <w:sz w:val="24"/>
          <w:szCs w:val="24"/>
        </w:rPr>
        <w:t>）；</w:t>
      </w:r>
    </w:p>
    <w:p>
      <w:pPr>
        <w:spacing w:before="105" w:line="360" w:lineRule="exact"/>
        <w:ind w:left="8"/>
        <w:rPr>
          <w:rFonts w:ascii="宋体" w:hAnsi="宋体" w:eastAsia="宋体" w:cs="宋体"/>
          <w:color w:val="auto"/>
          <w:sz w:val="24"/>
          <w:szCs w:val="24"/>
        </w:rPr>
      </w:pPr>
      <w:r>
        <w:rPr>
          <w:rFonts w:ascii="宋体" w:hAnsi="宋体" w:eastAsia="宋体" w:cs="宋体"/>
          <w:color w:val="auto"/>
          <w:spacing w:val="-1"/>
          <w:position w:val="2"/>
          <w:sz w:val="24"/>
          <w:szCs w:val="24"/>
        </w:rPr>
        <w:t>（</w:t>
      </w:r>
      <w:r>
        <w:rPr>
          <w:rFonts w:ascii="Times New Roman" w:hAnsi="Times New Roman" w:eastAsia="Times New Roman" w:cs="Times New Roman"/>
          <w:color w:val="auto"/>
          <w:spacing w:val="-1"/>
          <w:position w:val="2"/>
          <w:sz w:val="24"/>
          <w:szCs w:val="24"/>
        </w:rPr>
        <w:t>5</w:t>
      </w:r>
      <w:r>
        <w:rPr>
          <w:rFonts w:ascii="宋体" w:hAnsi="宋体" w:eastAsia="宋体" w:cs="宋体"/>
          <w:color w:val="auto"/>
          <w:spacing w:val="-1"/>
          <w:position w:val="2"/>
          <w:sz w:val="24"/>
          <w:szCs w:val="24"/>
        </w:rPr>
        <w:t>）《交流输变电工程电磁环境监测方法（试行）》（</w:t>
      </w:r>
      <w:r>
        <w:rPr>
          <w:rFonts w:ascii="Times New Roman" w:hAnsi="Times New Roman" w:eastAsia="Times New Roman" w:cs="Times New Roman"/>
          <w:color w:val="auto"/>
          <w:spacing w:val="-1"/>
          <w:position w:val="2"/>
          <w:sz w:val="24"/>
          <w:szCs w:val="24"/>
        </w:rPr>
        <w:t>HJ681-2013</w:t>
      </w:r>
      <w:r>
        <w:rPr>
          <w:rFonts w:ascii="宋体" w:hAnsi="宋体" w:eastAsia="宋体" w:cs="宋体"/>
          <w:color w:val="auto"/>
          <w:spacing w:val="6"/>
          <w:position w:val="2"/>
          <w:sz w:val="24"/>
          <w:szCs w:val="24"/>
        </w:rPr>
        <w:t>）；</w:t>
      </w:r>
    </w:p>
    <w:p>
      <w:pPr>
        <w:spacing w:before="106" w:line="360" w:lineRule="exact"/>
        <w:ind w:left="8"/>
        <w:outlineLvl w:val="4"/>
        <w:rPr>
          <w:rFonts w:ascii="宋体" w:hAnsi="宋体" w:eastAsia="宋体" w:cs="宋体"/>
          <w:color w:val="auto"/>
          <w:sz w:val="24"/>
          <w:szCs w:val="24"/>
        </w:rPr>
      </w:pPr>
      <w:r>
        <w:rPr>
          <w:rFonts w:ascii="宋体" w:hAnsi="宋体" w:eastAsia="宋体" w:cs="宋体"/>
          <w:color w:val="auto"/>
          <w:spacing w:val="-1"/>
          <w:position w:val="2"/>
          <w:sz w:val="24"/>
          <w:szCs w:val="24"/>
        </w:rPr>
        <w:t>（</w:t>
      </w:r>
      <w:r>
        <w:rPr>
          <w:rFonts w:ascii="Times New Roman" w:hAnsi="Times New Roman" w:eastAsia="Times New Roman" w:cs="Times New Roman"/>
          <w:color w:val="auto"/>
          <w:spacing w:val="-1"/>
          <w:position w:val="2"/>
          <w:sz w:val="24"/>
          <w:szCs w:val="24"/>
        </w:rPr>
        <w:t>6</w:t>
      </w:r>
      <w:r>
        <w:rPr>
          <w:rFonts w:ascii="宋体" w:hAnsi="宋体" w:eastAsia="宋体" w:cs="宋体"/>
          <w:color w:val="auto"/>
          <w:spacing w:val="-1"/>
          <w:position w:val="2"/>
          <w:sz w:val="24"/>
          <w:szCs w:val="24"/>
        </w:rPr>
        <w:t>）《电磁环境控制限值》（</w:t>
      </w:r>
      <w:r>
        <w:rPr>
          <w:rFonts w:ascii="Times New Roman" w:hAnsi="Times New Roman" w:eastAsia="Times New Roman" w:cs="Times New Roman"/>
          <w:color w:val="auto"/>
          <w:spacing w:val="-1"/>
          <w:position w:val="2"/>
          <w:sz w:val="24"/>
          <w:szCs w:val="24"/>
        </w:rPr>
        <w:t>GB8702-2014</w:t>
      </w:r>
      <w:r>
        <w:rPr>
          <w:rFonts w:ascii="宋体" w:hAnsi="宋体" w:eastAsia="宋体" w:cs="宋体"/>
          <w:color w:val="auto"/>
          <w:spacing w:val="-1"/>
          <w:position w:val="2"/>
          <w:sz w:val="24"/>
          <w:szCs w:val="24"/>
        </w:rPr>
        <w:t>）。</w:t>
      </w:r>
    </w:p>
    <w:p>
      <w:pPr>
        <w:spacing w:before="142" w:line="219" w:lineRule="auto"/>
        <w:ind w:left="3"/>
        <w:outlineLvl w:val="2"/>
        <w:rPr>
          <w:rFonts w:ascii="宋体" w:hAnsi="宋体" w:eastAsia="宋体" w:cs="宋体"/>
          <w:color w:val="auto"/>
          <w:sz w:val="24"/>
          <w:szCs w:val="24"/>
        </w:rPr>
      </w:pPr>
      <w:r>
        <w:rPr>
          <w:rFonts w:ascii="Times New Roman" w:hAnsi="Times New Roman" w:eastAsia="Times New Roman" w:cs="Times New Roman"/>
          <w:b/>
          <w:bCs/>
          <w:color w:val="auto"/>
          <w:spacing w:val="-3"/>
          <w:sz w:val="24"/>
          <w:szCs w:val="24"/>
        </w:rPr>
        <w:t>1.2</w:t>
      </w:r>
      <w:r>
        <w:rPr>
          <w:rFonts w:ascii="宋体" w:hAnsi="宋体" w:eastAsia="宋体" w:cs="宋体"/>
          <w:b/>
          <w:bCs/>
          <w:color w:val="auto"/>
          <w:spacing w:val="-3"/>
          <w:sz w:val="24"/>
          <w:szCs w:val="24"/>
        </w:rPr>
        <w:t>评价因子与评价标准</w:t>
      </w:r>
    </w:p>
    <w:p>
      <w:pPr>
        <w:spacing w:before="184" w:line="219" w:lineRule="auto"/>
        <w:ind w:left="8"/>
        <w:outlineLvl w:val="3"/>
        <w:rPr>
          <w:rFonts w:ascii="宋体" w:hAnsi="宋体" w:eastAsia="宋体" w:cs="宋体"/>
          <w:color w:val="auto"/>
          <w:sz w:val="24"/>
          <w:szCs w:val="24"/>
        </w:rPr>
      </w:pPr>
      <w:r>
        <w:rPr>
          <w:rFonts w:ascii="宋体" w:hAnsi="宋体" w:eastAsia="宋体" w:cs="宋体"/>
          <w:color w:val="auto"/>
          <w:spacing w:val="-3"/>
          <w:sz w:val="24"/>
          <w:szCs w:val="24"/>
        </w:rPr>
        <w:t>（</w:t>
      </w:r>
      <w:r>
        <w:rPr>
          <w:rFonts w:ascii="Times New Roman" w:hAnsi="Times New Roman" w:eastAsia="Times New Roman" w:cs="Times New Roman"/>
          <w:b/>
          <w:bCs/>
          <w:color w:val="auto"/>
          <w:spacing w:val="-3"/>
          <w:sz w:val="24"/>
          <w:szCs w:val="24"/>
        </w:rPr>
        <w:t>1</w:t>
      </w:r>
      <w:r>
        <w:rPr>
          <w:rFonts w:ascii="宋体" w:hAnsi="宋体" w:eastAsia="宋体" w:cs="宋体"/>
          <w:color w:val="auto"/>
          <w:spacing w:val="-3"/>
          <w:sz w:val="24"/>
          <w:szCs w:val="24"/>
        </w:rPr>
        <w:t>）评价因子</w:t>
      </w:r>
    </w:p>
    <w:p>
      <w:pPr>
        <w:spacing w:before="181" w:line="219" w:lineRule="auto"/>
        <w:ind w:left="479"/>
        <w:rPr>
          <w:color w:val="auto"/>
        </w:rPr>
      </w:pPr>
      <w:r>
        <w:rPr>
          <w:rFonts w:ascii="宋体" w:hAnsi="宋体" w:eastAsia="宋体" w:cs="宋体"/>
          <w:color w:val="auto"/>
          <w:spacing w:val="-1"/>
          <w:sz w:val="24"/>
          <w:szCs w:val="24"/>
        </w:rPr>
        <w:t>现状评价因子：工频电场、工频磁场。</w:t>
      </w:r>
    </w:p>
    <w:p>
      <w:pPr>
        <w:spacing w:before="78" w:line="219" w:lineRule="auto"/>
        <w:ind w:left="480"/>
        <w:rPr>
          <w:rFonts w:ascii="宋体" w:hAnsi="宋体" w:eastAsia="宋体" w:cs="宋体"/>
          <w:color w:val="auto"/>
          <w:sz w:val="24"/>
          <w:szCs w:val="24"/>
        </w:rPr>
      </w:pPr>
      <w:r>
        <w:rPr>
          <w:rFonts w:ascii="宋体" w:hAnsi="宋体" w:eastAsia="宋体" w:cs="宋体"/>
          <w:color w:val="auto"/>
          <w:spacing w:val="-1"/>
          <w:sz w:val="24"/>
          <w:szCs w:val="24"/>
        </w:rPr>
        <w:t>预测评价因子：工频电场、工频磁场。</w:t>
      </w:r>
    </w:p>
    <w:p>
      <w:pPr>
        <w:spacing w:before="146" w:line="358" w:lineRule="exact"/>
        <w:ind w:left="10"/>
        <w:outlineLvl w:val="3"/>
        <w:rPr>
          <w:rFonts w:ascii="宋体" w:hAnsi="宋体" w:eastAsia="宋体" w:cs="宋体"/>
          <w:color w:val="auto"/>
          <w:sz w:val="24"/>
          <w:szCs w:val="24"/>
        </w:rPr>
      </w:pPr>
      <w:r>
        <w:rPr>
          <w:rFonts w:ascii="宋体" w:hAnsi="宋体" w:eastAsia="宋体" w:cs="宋体"/>
          <w:color w:val="auto"/>
          <w:spacing w:val="-3"/>
          <w:position w:val="2"/>
          <w:sz w:val="24"/>
          <w:szCs w:val="24"/>
        </w:rPr>
        <w:t>（</w:t>
      </w:r>
      <w:r>
        <w:rPr>
          <w:rFonts w:ascii="Times New Roman" w:hAnsi="Times New Roman" w:eastAsia="Times New Roman" w:cs="Times New Roman"/>
          <w:color w:val="auto"/>
          <w:spacing w:val="-3"/>
          <w:position w:val="2"/>
          <w:sz w:val="24"/>
          <w:szCs w:val="24"/>
        </w:rPr>
        <w:t>2</w:t>
      </w:r>
      <w:r>
        <w:rPr>
          <w:rFonts w:ascii="宋体" w:hAnsi="宋体" w:eastAsia="宋体" w:cs="宋体"/>
          <w:color w:val="auto"/>
          <w:spacing w:val="-3"/>
          <w:position w:val="2"/>
          <w:sz w:val="24"/>
          <w:szCs w:val="24"/>
        </w:rPr>
        <w:t>）评价标准</w:t>
      </w:r>
    </w:p>
    <w:p>
      <w:pPr>
        <w:spacing w:before="107" w:line="366" w:lineRule="auto"/>
        <w:ind w:firstLine="480"/>
        <w:rPr>
          <w:rFonts w:ascii="宋体" w:hAnsi="宋体" w:eastAsia="宋体" w:cs="宋体"/>
          <w:color w:val="auto"/>
          <w:sz w:val="24"/>
          <w:szCs w:val="24"/>
        </w:rPr>
      </w:pPr>
      <w:r>
        <w:rPr>
          <w:rFonts w:ascii="宋体" w:hAnsi="宋体" w:eastAsia="宋体" w:cs="宋体"/>
          <w:color w:val="auto"/>
          <w:spacing w:val="-3"/>
          <w:sz w:val="24"/>
          <w:szCs w:val="24"/>
        </w:rPr>
        <w:t>依据《电磁环境控制限值》（</w:t>
      </w:r>
      <w:r>
        <w:rPr>
          <w:rFonts w:ascii="Times New Roman" w:hAnsi="Times New Roman" w:eastAsia="Times New Roman" w:cs="Times New Roman"/>
          <w:color w:val="auto"/>
          <w:spacing w:val="-3"/>
          <w:sz w:val="24"/>
          <w:szCs w:val="24"/>
        </w:rPr>
        <w:t>GB8702-2014</w:t>
      </w:r>
      <w:r>
        <w:rPr>
          <w:rFonts w:ascii="宋体" w:hAnsi="宋体" w:eastAsia="宋体" w:cs="宋体"/>
          <w:color w:val="auto"/>
          <w:spacing w:val="-3"/>
          <w:sz w:val="24"/>
          <w:szCs w:val="24"/>
        </w:rPr>
        <w:t>）表</w:t>
      </w:r>
      <w:r>
        <w:rPr>
          <w:rFonts w:ascii="Times New Roman" w:hAnsi="Times New Roman" w:eastAsia="Times New Roman" w:cs="Times New Roman"/>
          <w:color w:val="auto"/>
          <w:spacing w:val="-3"/>
          <w:sz w:val="24"/>
          <w:szCs w:val="24"/>
        </w:rPr>
        <w:t>1“</w:t>
      </w:r>
      <w:r>
        <w:rPr>
          <w:rFonts w:ascii="宋体" w:hAnsi="宋体" w:eastAsia="宋体" w:cs="宋体"/>
          <w:color w:val="auto"/>
          <w:spacing w:val="-3"/>
          <w:sz w:val="24"/>
          <w:szCs w:val="24"/>
        </w:rPr>
        <w:t>公众曝露控制限值</w:t>
      </w:r>
      <w:r>
        <w:rPr>
          <w:rFonts w:ascii="Times New Roman" w:hAnsi="Times New Roman" w:eastAsia="Times New Roman" w:cs="Times New Roman"/>
          <w:color w:val="auto"/>
          <w:spacing w:val="-3"/>
          <w:sz w:val="24"/>
          <w:szCs w:val="24"/>
        </w:rPr>
        <w:t>”</w:t>
      </w:r>
      <w:r>
        <w:rPr>
          <w:rFonts w:ascii="宋体" w:hAnsi="宋体" w:eastAsia="宋体" w:cs="宋体"/>
          <w:color w:val="auto"/>
          <w:spacing w:val="-3"/>
          <w:sz w:val="24"/>
          <w:szCs w:val="24"/>
        </w:rPr>
        <w:t>规定，电磁环境</w:t>
      </w:r>
      <w:r>
        <w:rPr>
          <w:rFonts w:ascii="宋体" w:hAnsi="宋体" w:eastAsia="宋体" w:cs="宋体"/>
          <w:color w:val="auto"/>
          <w:spacing w:val="-1"/>
          <w:sz w:val="24"/>
          <w:szCs w:val="24"/>
        </w:rPr>
        <w:t>敏感目标（</w:t>
      </w:r>
      <w:r>
        <w:rPr>
          <w:rFonts w:hint="eastAsia" w:ascii="宋体" w:hAnsi="宋体" w:eastAsia="宋体" w:cs="宋体"/>
          <w:color w:val="auto"/>
          <w:spacing w:val="-1"/>
          <w:sz w:val="24"/>
          <w:szCs w:val="24"/>
          <w:lang w:eastAsia="zh-CN"/>
        </w:rPr>
        <w:t>即</w:t>
      </w:r>
      <w:r>
        <w:rPr>
          <w:rFonts w:ascii="宋体" w:hAnsi="宋体" w:eastAsia="宋体" w:cs="宋体"/>
          <w:color w:val="auto"/>
          <w:spacing w:val="-1"/>
          <w:sz w:val="24"/>
          <w:szCs w:val="24"/>
        </w:rPr>
        <w:t>住宅、学校、医院、办公楼、工厂等有公众居住、工作或学习的建筑物）工频电场强度控制限值为</w:t>
      </w:r>
      <w:r>
        <w:rPr>
          <w:rFonts w:ascii="宋体" w:hAnsi="宋体" w:eastAsia="宋体" w:cs="宋体"/>
          <w:color w:val="auto"/>
          <w:spacing w:val="-58"/>
          <w:sz w:val="24"/>
          <w:szCs w:val="24"/>
        </w:rPr>
        <w:t xml:space="preserve"> </w:t>
      </w:r>
      <w:r>
        <w:rPr>
          <w:rFonts w:ascii="Times New Roman" w:hAnsi="Times New Roman" w:eastAsia="Times New Roman" w:cs="Times New Roman"/>
          <w:color w:val="auto"/>
          <w:spacing w:val="-1"/>
          <w:sz w:val="24"/>
          <w:szCs w:val="24"/>
        </w:rPr>
        <w:t>4000V/m</w:t>
      </w:r>
      <w:r>
        <w:rPr>
          <w:rFonts w:ascii="Times New Roman" w:hAnsi="Times New Roman" w:eastAsia="Times New Roman" w:cs="Times New Roman"/>
          <w:color w:val="auto"/>
          <w:spacing w:val="-30"/>
          <w:sz w:val="24"/>
          <w:szCs w:val="24"/>
        </w:rPr>
        <w:t xml:space="preserve"> </w:t>
      </w:r>
      <w:r>
        <w:rPr>
          <w:rFonts w:ascii="宋体" w:hAnsi="宋体" w:eastAsia="宋体" w:cs="宋体"/>
          <w:color w:val="auto"/>
          <w:spacing w:val="-1"/>
          <w:sz w:val="24"/>
          <w:szCs w:val="24"/>
        </w:rPr>
        <w:t>；磁感应强度控制限值为</w:t>
      </w:r>
      <w:r>
        <w:rPr>
          <w:rFonts w:ascii="Times New Roman" w:hAnsi="Times New Roman" w:eastAsia="Times New Roman" w:cs="Times New Roman"/>
          <w:color w:val="auto"/>
          <w:spacing w:val="-2"/>
          <w:sz w:val="24"/>
          <w:szCs w:val="24"/>
        </w:rPr>
        <w:t>100μT</w:t>
      </w:r>
      <w:r>
        <w:rPr>
          <w:rFonts w:ascii="宋体" w:hAnsi="宋体" w:eastAsia="宋体" w:cs="宋体"/>
          <w:color w:val="auto"/>
          <w:spacing w:val="-2"/>
          <w:sz w:val="24"/>
          <w:szCs w:val="24"/>
        </w:rPr>
        <w:t>；架空线路线下耕地、</w:t>
      </w:r>
      <w:r>
        <w:rPr>
          <w:rFonts w:ascii="宋体" w:hAnsi="宋体" w:eastAsia="宋体" w:cs="宋体"/>
          <w:color w:val="auto"/>
          <w:spacing w:val="-1"/>
          <w:sz w:val="24"/>
          <w:szCs w:val="24"/>
        </w:rPr>
        <w:t>园地、畜禽饲养地、养殖水面、道路等场所，其电场强度为</w:t>
      </w:r>
      <w:r>
        <w:rPr>
          <w:rFonts w:ascii="Times New Roman" w:hAnsi="Times New Roman" w:eastAsia="Times New Roman" w:cs="Times New Roman"/>
          <w:color w:val="auto"/>
          <w:spacing w:val="-2"/>
          <w:sz w:val="24"/>
          <w:szCs w:val="24"/>
        </w:rPr>
        <w:t>10kV/m</w:t>
      </w:r>
      <w:r>
        <w:rPr>
          <w:rFonts w:ascii="宋体" w:hAnsi="宋体" w:eastAsia="宋体" w:cs="宋体"/>
          <w:color w:val="auto"/>
          <w:spacing w:val="-2"/>
          <w:sz w:val="24"/>
          <w:szCs w:val="24"/>
        </w:rPr>
        <w:t>。</w:t>
      </w:r>
    </w:p>
    <w:p>
      <w:pPr>
        <w:spacing w:line="219" w:lineRule="auto"/>
        <w:ind w:left="5"/>
        <w:outlineLvl w:val="2"/>
        <w:rPr>
          <w:rFonts w:ascii="宋体" w:hAnsi="宋体" w:eastAsia="宋体" w:cs="宋体"/>
          <w:color w:val="auto"/>
          <w:sz w:val="24"/>
          <w:szCs w:val="24"/>
        </w:rPr>
      </w:pPr>
      <w:r>
        <w:rPr>
          <w:rFonts w:ascii="Times New Roman" w:hAnsi="Times New Roman" w:eastAsia="Times New Roman" w:cs="Times New Roman"/>
          <w:b/>
          <w:bCs/>
          <w:color w:val="auto"/>
          <w:spacing w:val="-3"/>
          <w:sz w:val="24"/>
          <w:szCs w:val="24"/>
        </w:rPr>
        <w:t>1.3</w:t>
      </w:r>
      <w:r>
        <w:rPr>
          <w:rFonts w:ascii="宋体" w:hAnsi="宋体" w:eastAsia="宋体" w:cs="宋体"/>
          <w:b/>
          <w:bCs/>
          <w:color w:val="auto"/>
          <w:spacing w:val="-3"/>
          <w:sz w:val="24"/>
          <w:szCs w:val="24"/>
        </w:rPr>
        <w:t>评价工作等级</w:t>
      </w:r>
    </w:p>
    <w:p>
      <w:pPr>
        <w:pStyle w:val="30"/>
        <w:ind w:firstLine="480"/>
        <w:rPr>
          <w:rFonts w:ascii="宋体" w:hAnsi="宋体" w:eastAsia="宋体" w:cs="宋体"/>
          <w:color w:val="auto"/>
          <w:sz w:val="24"/>
          <w:szCs w:val="24"/>
        </w:rPr>
      </w:pPr>
      <w:r>
        <w:rPr>
          <w:rFonts w:cs="Times New Roman" w:eastAsiaTheme="minorEastAsia"/>
          <w:color w:val="auto"/>
          <w:lang w:eastAsia="zh-CN"/>
        </w:rPr>
        <w:t>依据《环境影响评价技术导则输变电》（HJ24-2020）中有关规定，本项目架空输电线路电压等级为220kV，边导线地面投影外两侧各15m范围内无电磁环境敏感目标，电磁环境影响评价工作等级定为三级。</w:t>
      </w:r>
    </w:p>
    <w:p>
      <w:pPr>
        <w:spacing w:before="50" w:line="227" w:lineRule="auto"/>
        <w:ind w:left="2305"/>
        <w:rPr>
          <w:color w:val="auto"/>
        </w:rPr>
      </w:pPr>
      <w:r>
        <w:rPr>
          <w:rFonts w:ascii="宋体" w:hAnsi="宋体" w:eastAsia="宋体" w:cs="宋体"/>
          <w:b/>
          <w:bCs/>
          <w:color w:val="auto"/>
          <w:spacing w:val="6"/>
          <w:sz w:val="21"/>
          <w:szCs w:val="21"/>
        </w:rPr>
        <w:t>表</w:t>
      </w:r>
      <w:r>
        <w:rPr>
          <w:rFonts w:ascii="宋体" w:hAnsi="宋体" w:eastAsia="宋体" w:cs="宋体"/>
          <w:color w:val="auto"/>
          <w:spacing w:val="-13"/>
          <w:sz w:val="21"/>
          <w:szCs w:val="21"/>
        </w:rPr>
        <w:t xml:space="preserve"> </w:t>
      </w:r>
      <w:r>
        <w:rPr>
          <w:rFonts w:ascii="Times New Roman" w:hAnsi="Times New Roman" w:eastAsia="Times New Roman" w:cs="Times New Roman"/>
          <w:b/>
          <w:bCs/>
          <w:color w:val="auto"/>
          <w:spacing w:val="6"/>
          <w:sz w:val="21"/>
          <w:szCs w:val="21"/>
        </w:rPr>
        <w:t xml:space="preserve">1-1 </w:t>
      </w:r>
      <w:r>
        <w:rPr>
          <w:rFonts w:ascii="宋体" w:hAnsi="宋体" w:eastAsia="宋体" w:cs="宋体"/>
          <w:b/>
          <w:bCs/>
          <w:color w:val="auto"/>
          <w:spacing w:val="6"/>
          <w:sz w:val="21"/>
          <w:szCs w:val="21"/>
        </w:rPr>
        <w:t>输变电建设项目电磁环境影响评价工作等级</w:t>
      </w:r>
    </w:p>
    <w:tbl>
      <w:tblPr>
        <w:tblStyle w:val="31"/>
        <w:tblW w:w="9324" w:type="dxa"/>
        <w:tblInd w:w="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74"/>
        <w:gridCol w:w="1559"/>
        <w:gridCol w:w="1163"/>
        <w:gridCol w:w="3944"/>
        <w:gridCol w:w="168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6" w:hRule="atLeast"/>
        </w:trPr>
        <w:tc>
          <w:tcPr>
            <w:tcW w:w="974"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b w:val="0"/>
                <w:bCs w:val="0"/>
                <w:color w:val="auto"/>
                <w:sz w:val="21"/>
                <w:szCs w:val="21"/>
              </w:rPr>
            </w:pPr>
            <w:r>
              <w:rPr>
                <w:rFonts w:hint="eastAsia" w:ascii="宋体" w:hAnsi="宋体" w:eastAsia="宋体" w:cs="宋体"/>
                <w:b w:val="0"/>
                <w:bCs w:val="0"/>
                <w:color w:val="auto"/>
                <w:spacing w:val="3"/>
                <w:sz w:val="21"/>
                <w:szCs w:val="21"/>
              </w:rPr>
              <w:t>分类</w:t>
            </w:r>
          </w:p>
        </w:tc>
        <w:tc>
          <w:tcPr>
            <w:tcW w:w="1559"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b w:val="0"/>
                <w:bCs w:val="0"/>
                <w:color w:val="auto"/>
                <w:sz w:val="21"/>
                <w:szCs w:val="21"/>
              </w:rPr>
            </w:pPr>
            <w:r>
              <w:rPr>
                <w:rFonts w:hint="eastAsia" w:ascii="宋体" w:hAnsi="宋体" w:eastAsia="宋体" w:cs="宋体"/>
                <w:b w:val="0"/>
                <w:bCs w:val="0"/>
                <w:color w:val="auto"/>
                <w:spacing w:val="1"/>
                <w:sz w:val="21"/>
                <w:szCs w:val="21"/>
              </w:rPr>
              <w:t>电压等级</w:t>
            </w:r>
          </w:p>
        </w:tc>
        <w:tc>
          <w:tcPr>
            <w:tcW w:w="1163"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b w:val="0"/>
                <w:bCs w:val="0"/>
                <w:color w:val="auto"/>
                <w:sz w:val="21"/>
                <w:szCs w:val="21"/>
              </w:rPr>
            </w:pPr>
            <w:r>
              <w:rPr>
                <w:rFonts w:hint="eastAsia" w:ascii="宋体" w:hAnsi="宋体" w:eastAsia="宋体" w:cs="宋体"/>
                <w:b w:val="0"/>
                <w:bCs w:val="0"/>
                <w:color w:val="auto"/>
                <w:spacing w:val="3"/>
                <w:sz w:val="21"/>
                <w:szCs w:val="21"/>
              </w:rPr>
              <w:t>工程</w:t>
            </w:r>
          </w:p>
        </w:tc>
        <w:tc>
          <w:tcPr>
            <w:tcW w:w="3944"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b w:val="0"/>
                <w:bCs w:val="0"/>
                <w:color w:val="auto"/>
                <w:sz w:val="21"/>
                <w:szCs w:val="21"/>
              </w:rPr>
            </w:pPr>
            <w:r>
              <w:rPr>
                <w:rFonts w:hint="eastAsia" w:ascii="宋体" w:hAnsi="宋体" w:eastAsia="宋体" w:cs="宋体"/>
                <w:b w:val="0"/>
                <w:bCs w:val="0"/>
                <w:color w:val="auto"/>
                <w:spacing w:val="3"/>
                <w:sz w:val="21"/>
                <w:szCs w:val="21"/>
              </w:rPr>
              <w:t>条件</w:t>
            </w:r>
          </w:p>
        </w:tc>
        <w:tc>
          <w:tcPr>
            <w:tcW w:w="1684"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b w:val="0"/>
                <w:bCs w:val="0"/>
                <w:color w:val="auto"/>
                <w:sz w:val="21"/>
                <w:szCs w:val="21"/>
              </w:rPr>
            </w:pPr>
            <w:r>
              <w:rPr>
                <w:rFonts w:hint="eastAsia" w:ascii="宋体" w:hAnsi="宋体" w:eastAsia="宋体" w:cs="宋体"/>
                <w:b w:val="0"/>
                <w:bCs w:val="0"/>
                <w:color w:val="auto"/>
                <w:spacing w:val="8"/>
                <w:sz w:val="21"/>
                <w:szCs w:val="21"/>
              </w:rPr>
              <w:t>评价工作等级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974" w:type="dxa"/>
            <w:vMerge w:val="restart"/>
            <w:tcBorders>
              <w:bottom w:val="nil"/>
            </w:tcBorders>
            <w:textDirection w:val="tbRlV"/>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b w:val="0"/>
                <w:bCs w:val="0"/>
                <w:color w:val="auto"/>
                <w:sz w:val="21"/>
                <w:szCs w:val="21"/>
              </w:rPr>
            </w:pPr>
          </w:p>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b w:val="0"/>
                <w:bCs w:val="0"/>
                <w:color w:val="auto"/>
                <w:sz w:val="21"/>
                <w:szCs w:val="21"/>
              </w:rPr>
            </w:pPr>
            <w:r>
              <w:rPr>
                <w:rFonts w:hint="eastAsia" w:ascii="宋体" w:hAnsi="宋体" w:eastAsia="宋体" w:cs="宋体"/>
                <w:b w:val="0"/>
                <w:bCs w:val="0"/>
                <w:color w:val="auto"/>
                <w:spacing w:val="9"/>
                <w:sz w:val="21"/>
                <w:szCs w:val="21"/>
              </w:rPr>
              <w:t>交</w:t>
            </w:r>
            <w:r>
              <w:rPr>
                <w:rFonts w:hint="eastAsia" w:ascii="宋体" w:hAnsi="宋体" w:eastAsia="宋体" w:cs="宋体"/>
                <w:b w:val="0"/>
                <w:bCs w:val="0"/>
                <w:color w:val="auto"/>
                <w:spacing w:val="-39"/>
                <w:sz w:val="21"/>
                <w:szCs w:val="21"/>
              </w:rPr>
              <w:t xml:space="preserve"> </w:t>
            </w:r>
            <w:r>
              <w:rPr>
                <w:rFonts w:hint="eastAsia" w:ascii="宋体" w:hAnsi="宋体" w:eastAsia="宋体" w:cs="宋体"/>
                <w:b w:val="0"/>
                <w:bCs w:val="0"/>
                <w:color w:val="auto"/>
                <w:spacing w:val="9"/>
                <w:sz w:val="21"/>
                <w:szCs w:val="21"/>
              </w:rPr>
              <w:t>流</w:t>
            </w:r>
          </w:p>
        </w:tc>
        <w:tc>
          <w:tcPr>
            <w:tcW w:w="1559" w:type="dxa"/>
            <w:vMerge w:val="restart"/>
            <w:tcBorders>
              <w:bottom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position w:val="1"/>
                <w:sz w:val="21"/>
                <w:szCs w:val="21"/>
              </w:rPr>
              <w:t>110kV</w:t>
            </w:r>
          </w:p>
        </w:tc>
        <w:tc>
          <w:tcPr>
            <w:tcW w:w="1163" w:type="dxa"/>
            <w:vMerge w:val="restart"/>
            <w:tcBorders>
              <w:bottom w:val="nil"/>
            </w:tcBorders>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6"/>
                <w:sz w:val="21"/>
                <w:szCs w:val="21"/>
              </w:rPr>
              <w:t>变电站</w:t>
            </w:r>
          </w:p>
        </w:tc>
        <w:tc>
          <w:tcPr>
            <w:tcW w:w="3944"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105" w:leftChars="50" w:right="105" w:rightChars="50" w:firstLine="0"/>
              <w:jc w:val="left"/>
              <w:textAlignment w:val="baseline"/>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8"/>
                <w:sz w:val="21"/>
                <w:szCs w:val="21"/>
              </w:rPr>
              <w:t>户内式、地下式</w:t>
            </w:r>
          </w:p>
        </w:tc>
        <w:tc>
          <w:tcPr>
            <w:tcW w:w="1684"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b w:val="0"/>
                <w:bCs w:val="0"/>
                <w:color w:val="auto"/>
                <w:sz w:val="21"/>
                <w:szCs w:val="21"/>
              </w:rPr>
            </w:pPr>
            <w:r>
              <w:rPr>
                <w:rFonts w:hint="eastAsia" w:ascii="宋体" w:hAnsi="宋体" w:eastAsia="宋体" w:cs="宋体"/>
                <w:b w:val="0"/>
                <w:bCs w:val="0"/>
                <w:color w:val="auto"/>
                <w:spacing w:val="4"/>
                <w:sz w:val="21"/>
                <w:szCs w:val="21"/>
              </w:rPr>
              <w:t>三级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974" w:type="dxa"/>
            <w:vMerge w:val="continue"/>
            <w:tcBorders>
              <w:top w:val="nil"/>
              <w:bottom w:val="nil"/>
            </w:tcBorders>
            <w:textDirection w:val="tbRlV"/>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b w:val="0"/>
                <w:bCs w:val="0"/>
                <w:color w:val="auto"/>
                <w:sz w:val="21"/>
                <w:szCs w:val="21"/>
              </w:rPr>
            </w:pPr>
          </w:p>
        </w:tc>
        <w:tc>
          <w:tcPr>
            <w:tcW w:w="1559" w:type="dxa"/>
            <w:vMerge w:val="continue"/>
            <w:tcBorders>
              <w:top w:val="nil"/>
              <w:bottom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z w:val="21"/>
                <w:szCs w:val="21"/>
              </w:rPr>
            </w:pPr>
          </w:p>
        </w:tc>
        <w:tc>
          <w:tcPr>
            <w:tcW w:w="1163" w:type="dxa"/>
            <w:vMerge w:val="continue"/>
            <w:tcBorders>
              <w:top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z w:val="21"/>
                <w:szCs w:val="21"/>
              </w:rPr>
            </w:pPr>
          </w:p>
        </w:tc>
        <w:tc>
          <w:tcPr>
            <w:tcW w:w="3944"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105" w:leftChars="50" w:right="105" w:rightChars="50" w:firstLine="0"/>
              <w:jc w:val="left"/>
              <w:textAlignment w:val="baseline"/>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6"/>
                <w:sz w:val="21"/>
                <w:szCs w:val="21"/>
              </w:rPr>
              <w:t>户外式</w:t>
            </w:r>
          </w:p>
        </w:tc>
        <w:tc>
          <w:tcPr>
            <w:tcW w:w="1684"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b w:val="0"/>
                <w:bCs w:val="0"/>
                <w:color w:val="auto"/>
                <w:sz w:val="21"/>
                <w:szCs w:val="21"/>
              </w:rPr>
            </w:pPr>
            <w:r>
              <w:rPr>
                <w:rFonts w:hint="eastAsia" w:ascii="宋体" w:hAnsi="宋体" w:eastAsia="宋体" w:cs="宋体"/>
                <w:b w:val="0"/>
                <w:bCs w:val="0"/>
                <w:color w:val="auto"/>
                <w:spacing w:val="3"/>
                <w:sz w:val="21"/>
                <w:szCs w:val="21"/>
              </w:rPr>
              <w:t>二级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1" w:hRule="atLeast"/>
        </w:trPr>
        <w:tc>
          <w:tcPr>
            <w:tcW w:w="974" w:type="dxa"/>
            <w:vMerge w:val="continue"/>
            <w:tcBorders>
              <w:top w:val="nil"/>
              <w:bottom w:val="nil"/>
            </w:tcBorders>
            <w:textDirection w:val="tbRlV"/>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b w:val="0"/>
                <w:bCs w:val="0"/>
                <w:color w:val="auto"/>
                <w:sz w:val="21"/>
                <w:szCs w:val="21"/>
              </w:rPr>
            </w:pPr>
          </w:p>
        </w:tc>
        <w:tc>
          <w:tcPr>
            <w:tcW w:w="1559" w:type="dxa"/>
            <w:vMerge w:val="continue"/>
            <w:tcBorders>
              <w:top w:val="nil"/>
              <w:bottom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z w:val="21"/>
                <w:szCs w:val="21"/>
              </w:rPr>
            </w:pPr>
          </w:p>
        </w:tc>
        <w:tc>
          <w:tcPr>
            <w:tcW w:w="1163" w:type="dxa"/>
            <w:vMerge w:val="restart"/>
            <w:tcBorders>
              <w:bottom w:val="nil"/>
            </w:tcBorders>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5"/>
                <w:sz w:val="21"/>
                <w:szCs w:val="21"/>
              </w:rPr>
              <w:t>输电</w:t>
            </w:r>
            <w:r>
              <w:rPr>
                <w:rFonts w:hint="default" w:ascii="Times New Roman" w:hAnsi="Times New Roman" w:eastAsia="宋体" w:cs="Times New Roman"/>
                <w:b w:val="0"/>
                <w:bCs w:val="0"/>
                <w:color w:val="auto"/>
                <w:spacing w:val="3"/>
                <w:sz w:val="21"/>
                <w:szCs w:val="21"/>
              </w:rPr>
              <w:t>线路</w:t>
            </w:r>
          </w:p>
        </w:tc>
        <w:tc>
          <w:tcPr>
            <w:tcW w:w="3944"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105" w:leftChars="50" w:right="105" w:rightChars="50" w:firstLine="0"/>
              <w:jc w:val="left"/>
              <w:textAlignment w:val="baseline"/>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position w:val="1"/>
                <w:sz w:val="21"/>
                <w:szCs w:val="21"/>
              </w:rPr>
              <w:t>1、地下电缆</w:t>
            </w:r>
          </w:p>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105" w:leftChars="50" w:right="105" w:rightChars="50" w:firstLine="0"/>
              <w:jc w:val="left"/>
              <w:textAlignment w:val="baseline"/>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7"/>
                <w:sz w:val="21"/>
                <w:szCs w:val="21"/>
              </w:rPr>
              <w:t>2、边导线地面投影外两侧各10m范围内</w:t>
            </w:r>
            <w:r>
              <w:rPr>
                <w:rFonts w:hint="default" w:ascii="Times New Roman" w:hAnsi="Times New Roman" w:eastAsia="宋体" w:cs="Times New Roman"/>
                <w:b w:val="0"/>
                <w:bCs w:val="0"/>
                <w:color w:val="auto"/>
                <w:spacing w:val="9"/>
                <w:sz w:val="21"/>
                <w:szCs w:val="21"/>
              </w:rPr>
              <w:t>无电磁环境敏感目标的架空线</w:t>
            </w:r>
          </w:p>
        </w:tc>
        <w:tc>
          <w:tcPr>
            <w:tcW w:w="1684"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b w:val="0"/>
                <w:bCs w:val="0"/>
                <w:color w:val="auto"/>
                <w:sz w:val="21"/>
                <w:szCs w:val="21"/>
              </w:rPr>
            </w:pPr>
            <w:r>
              <w:rPr>
                <w:rFonts w:hint="eastAsia" w:ascii="宋体" w:hAnsi="宋体" w:eastAsia="宋体" w:cs="宋体"/>
                <w:b w:val="0"/>
                <w:bCs w:val="0"/>
                <w:color w:val="auto"/>
                <w:spacing w:val="4"/>
                <w:sz w:val="21"/>
                <w:szCs w:val="21"/>
              </w:rPr>
              <w:t>三级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974" w:type="dxa"/>
            <w:vMerge w:val="continue"/>
            <w:tcBorders>
              <w:top w:val="nil"/>
              <w:bottom w:val="nil"/>
            </w:tcBorders>
            <w:textDirection w:val="tbRlV"/>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b w:val="0"/>
                <w:bCs w:val="0"/>
                <w:color w:val="auto"/>
                <w:sz w:val="21"/>
                <w:szCs w:val="21"/>
              </w:rPr>
            </w:pPr>
          </w:p>
        </w:tc>
        <w:tc>
          <w:tcPr>
            <w:tcW w:w="1559" w:type="dxa"/>
            <w:vMerge w:val="continue"/>
            <w:tcBorders>
              <w:top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z w:val="21"/>
                <w:szCs w:val="21"/>
              </w:rPr>
            </w:pPr>
          </w:p>
        </w:tc>
        <w:tc>
          <w:tcPr>
            <w:tcW w:w="1163" w:type="dxa"/>
            <w:vMerge w:val="continue"/>
            <w:tcBorders>
              <w:top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z w:val="21"/>
                <w:szCs w:val="21"/>
              </w:rPr>
            </w:pPr>
          </w:p>
        </w:tc>
        <w:tc>
          <w:tcPr>
            <w:tcW w:w="3944"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105" w:leftChars="50" w:right="105" w:rightChars="50" w:firstLine="0"/>
              <w:jc w:val="left"/>
              <w:textAlignment w:val="baseline"/>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8"/>
                <w:sz w:val="21"/>
                <w:szCs w:val="21"/>
              </w:rPr>
              <w:t>边导线地面投影外两侧各10m范围内有</w:t>
            </w:r>
            <w:r>
              <w:rPr>
                <w:rFonts w:hint="default" w:ascii="Times New Roman" w:hAnsi="Times New Roman" w:eastAsia="宋体" w:cs="Times New Roman"/>
                <w:b w:val="0"/>
                <w:bCs w:val="0"/>
                <w:color w:val="auto"/>
                <w:spacing w:val="7"/>
                <w:sz w:val="21"/>
                <w:szCs w:val="21"/>
              </w:rPr>
              <w:t>电磁环境敏感目标的架空线</w:t>
            </w:r>
          </w:p>
        </w:tc>
        <w:tc>
          <w:tcPr>
            <w:tcW w:w="1684"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b w:val="0"/>
                <w:bCs w:val="0"/>
                <w:color w:val="auto"/>
                <w:sz w:val="21"/>
                <w:szCs w:val="21"/>
              </w:rPr>
            </w:pPr>
            <w:r>
              <w:rPr>
                <w:rFonts w:hint="eastAsia" w:ascii="宋体" w:hAnsi="宋体" w:eastAsia="宋体" w:cs="宋体"/>
                <w:b w:val="0"/>
                <w:bCs w:val="0"/>
                <w:color w:val="auto"/>
                <w:spacing w:val="3"/>
                <w:sz w:val="21"/>
                <w:szCs w:val="21"/>
              </w:rPr>
              <w:t>二级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974" w:type="dxa"/>
            <w:vMerge w:val="continue"/>
            <w:tcBorders>
              <w:top w:val="nil"/>
              <w:bottom w:val="nil"/>
            </w:tcBorders>
            <w:textDirection w:val="tbRlV"/>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b w:val="0"/>
                <w:bCs w:val="0"/>
                <w:color w:val="auto"/>
                <w:sz w:val="21"/>
                <w:szCs w:val="21"/>
              </w:rPr>
            </w:pPr>
          </w:p>
        </w:tc>
        <w:tc>
          <w:tcPr>
            <w:tcW w:w="1559" w:type="dxa"/>
            <w:vMerge w:val="restart"/>
            <w:tcBorders>
              <w:bottom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5"/>
                <w:sz w:val="21"/>
                <w:szCs w:val="21"/>
              </w:rPr>
              <w:t>220~330</w:t>
            </w:r>
            <w:r>
              <w:rPr>
                <w:rFonts w:hint="default" w:ascii="Times New Roman" w:hAnsi="Times New Roman" w:eastAsia="宋体" w:cs="Times New Roman"/>
                <w:b w:val="0"/>
                <w:bCs w:val="0"/>
                <w:color w:val="auto"/>
                <w:sz w:val="21"/>
                <w:szCs w:val="21"/>
              </w:rPr>
              <w:t>kV</w:t>
            </w:r>
          </w:p>
        </w:tc>
        <w:tc>
          <w:tcPr>
            <w:tcW w:w="1163" w:type="dxa"/>
            <w:vMerge w:val="restart"/>
            <w:tcBorders>
              <w:bottom w:val="nil"/>
            </w:tcBorders>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5"/>
                <w:sz w:val="21"/>
                <w:szCs w:val="21"/>
              </w:rPr>
              <w:t>变电站</w:t>
            </w:r>
          </w:p>
        </w:tc>
        <w:tc>
          <w:tcPr>
            <w:tcW w:w="3944"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105" w:leftChars="50" w:right="105" w:rightChars="50" w:firstLine="0"/>
              <w:jc w:val="left"/>
              <w:textAlignment w:val="baseline"/>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8"/>
                <w:sz w:val="21"/>
                <w:szCs w:val="21"/>
              </w:rPr>
              <w:t>户内式、地下式</w:t>
            </w:r>
          </w:p>
        </w:tc>
        <w:tc>
          <w:tcPr>
            <w:tcW w:w="1684"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b w:val="0"/>
                <w:bCs w:val="0"/>
                <w:color w:val="auto"/>
                <w:sz w:val="21"/>
                <w:szCs w:val="21"/>
              </w:rPr>
            </w:pPr>
            <w:r>
              <w:rPr>
                <w:rFonts w:hint="eastAsia" w:ascii="宋体" w:hAnsi="宋体" w:eastAsia="宋体" w:cs="宋体"/>
                <w:b w:val="0"/>
                <w:bCs w:val="0"/>
                <w:color w:val="auto"/>
                <w:spacing w:val="4"/>
                <w:sz w:val="21"/>
                <w:szCs w:val="21"/>
              </w:rPr>
              <w:t>三级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974" w:type="dxa"/>
            <w:vMerge w:val="continue"/>
            <w:tcBorders>
              <w:top w:val="nil"/>
              <w:bottom w:val="nil"/>
            </w:tcBorders>
            <w:textDirection w:val="tbRlV"/>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b w:val="0"/>
                <w:bCs w:val="0"/>
                <w:color w:val="auto"/>
                <w:sz w:val="21"/>
                <w:szCs w:val="21"/>
              </w:rPr>
            </w:pPr>
          </w:p>
        </w:tc>
        <w:tc>
          <w:tcPr>
            <w:tcW w:w="1559" w:type="dxa"/>
            <w:vMerge w:val="continue"/>
            <w:tcBorders>
              <w:top w:val="nil"/>
              <w:bottom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z w:val="21"/>
                <w:szCs w:val="21"/>
              </w:rPr>
            </w:pPr>
          </w:p>
        </w:tc>
        <w:tc>
          <w:tcPr>
            <w:tcW w:w="1163" w:type="dxa"/>
            <w:vMerge w:val="continue"/>
            <w:tcBorders>
              <w:top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z w:val="21"/>
                <w:szCs w:val="21"/>
              </w:rPr>
            </w:pPr>
          </w:p>
        </w:tc>
        <w:tc>
          <w:tcPr>
            <w:tcW w:w="3944"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105" w:leftChars="50" w:right="105" w:rightChars="50" w:firstLine="0"/>
              <w:jc w:val="left"/>
              <w:textAlignment w:val="baseline"/>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5"/>
                <w:sz w:val="21"/>
                <w:szCs w:val="21"/>
              </w:rPr>
              <w:t>户外式</w:t>
            </w:r>
          </w:p>
        </w:tc>
        <w:tc>
          <w:tcPr>
            <w:tcW w:w="1684"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b w:val="0"/>
                <w:bCs w:val="0"/>
                <w:color w:val="auto"/>
                <w:sz w:val="21"/>
                <w:szCs w:val="21"/>
              </w:rPr>
            </w:pPr>
            <w:r>
              <w:rPr>
                <w:rFonts w:hint="eastAsia" w:ascii="宋体" w:hAnsi="宋体" w:eastAsia="宋体" w:cs="宋体"/>
                <w:b w:val="0"/>
                <w:bCs w:val="0"/>
                <w:color w:val="auto"/>
                <w:spacing w:val="2"/>
                <w:sz w:val="21"/>
                <w:szCs w:val="21"/>
              </w:rPr>
              <w:t>二级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1" w:hRule="atLeast"/>
        </w:trPr>
        <w:tc>
          <w:tcPr>
            <w:tcW w:w="974" w:type="dxa"/>
            <w:vMerge w:val="continue"/>
            <w:tcBorders>
              <w:top w:val="nil"/>
              <w:bottom w:val="nil"/>
            </w:tcBorders>
            <w:textDirection w:val="tbRlV"/>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b w:val="0"/>
                <w:bCs w:val="0"/>
                <w:color w:val="auto"/>
                <w:sz w:val="21"/>
                <w:szCs w:val="21"/>
              </w:rPr>
            </w:pPr>
          </w:p>
        </w:tc>
        <w:tc>
          <w:tcPr>
            <w:tcW w:w="1559" w:type="dxa"/>
            <w:vMerge w:val="continue"/>
            <w:tcBorders>
              <w:top w:val="nil"/>
              <w:bottom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z w:val="21"/>
                <w:szCs w:val="21"/>
              </w:rPr>
            </w:pPr>
          </w:p>
        </w:tc>
        <w:tc>
          <w:tcPr>
            <w:tcW w:w="1163" w:type="dxa"/>
            <w:vMerge w:val="restart"/>
            <w:tcBorders>
              <w:bottom w:val="nil"/>
            </w:tcBorders>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4"/>
                <w:sz w:val="21"/>
                <w:szCs w:val="21"/>
              </w:rPr>
              <w:t>输电</w:t>
            </w:r>
            <w:r>
              <w:rPr>
                <w:rFonts w:hint="default" w:ascii="Times New Roman" w:hAnsi="Times New Roman" w:eastAsia="宋体" w:cs="Times New Roman"/>
                <w:b w:val="0"/>
                <w:bCs w:val="0"/>
                <w:color w:val="auto"/>
                <w:spacing w:val="2"/>
                <w:sz w:val="21"/>
                <w:szCs w:val="21"/>
              </w:rPr>
              <w:t>线路</w:t>
            </w:r>
          </w:p>
        </w:tc>
        <w:tc>
          <w:tcPr>
            <w:tcW w:w="3944"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105" w:leftChars="50" w:right="105" w:rightChars="50" w:firstLine="0"/>
              <w:jc w:val="left"/>
              <w:textAlignment w:val="baseline"/>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position w:val="1"/>
                <w:sz w:val="21"/>
                <w:szCs w:val="21"/>
              </w:rPr>
              <w:t>1、地下电缆</w:t>
            </w:r>
          </w:p>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105" w:leftChars="50" w:right="105" w:rightChars="50" w:firstLine="0"/>
              <w:jc w:val="left"/>
              <w:textAlignment w:val="baseline"/>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6"/>
                <w:sz w:val="21"/>
                <w:szCs w:val="21"/>
              </w:rPr>
              <w:t>2、边导线地面投影外两侧各15m范围内</w:t>
            </w:r>
            <w:r>
              <w:rPr>
                <w:rFonts w:hint="default" w:ascii="Times New Roman" w:hAnsi="Times New Roman" w:eastAsia="宋体" w:cs="Times New Roman"/>
                <w:b w:val="0"/>
                <w:bCs w:val="0"/>
                <w:color w:val="auto"/>
                <w:spacing w:val="7"/>
                <w:sz w:val="21"/>
                <w:szCs w:val="21"/>
              </w:rPr>
              <w:t>无电磁环境敏感目标的架空线</w:t>
            </w:r>
          </w:p>
        </w:tc>
        <w:tc>
          <w:tcPr>
            <w:tcW w:w="1684"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b w:val="0"/>
                <w:bCs w:val="0"/>
                <w:color w:val="auto"/>
                <w:sz w:val="21"/>
                <w:szCs w:val="21"/>
              </w:rPr>
            </w:pPr>
            <w:r>
              <w:rPr>
                <w:rFonts w:hint="eastAsia" w:ascii="宋体" w:hAnsi="宋体" w:eastAsia="宋体" w:cs="宋体"/>
                <w:b w:val="0"/>
                <w:bCs w:val="0"/>
                <w:color w:val="auto"/>
                <w:spacing w:val="3"/>
                <w:sz w:val="21"/>
                <w:szCs w:val="21"/>
              </w:rPr>
              <w:t>三级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974" w:type="dxa"/>
            <w:vMerge w:val="continue"/>
            <w:tcBorders>
              <w:top w:val="nil"/>
              <w:bottom w:val="nil"/>
            </w:tcBorders>
            <w:textDirection w:val="tbRlV"/>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b w:val="0"/>
                <w:bCs w:val="0"/>
                <w:color w:val="auto"/>
                <w:sz w:val="21"/>
                <w:szCs w:val="21"/>
              </w:rPr>
            </w:pPr>
          </w:p>
        </w:tc>
        <w:tc>
          <w:tcPr>
            <w:tcW w:w="1559" w:type="dxa"/>
            <w:vMerge w:val="continue"/>
            <w:tcBorders>
              <w:top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z w:val="21"/>
                <w:szCs w:val="21"/>
              </w:rPr>
            </w:pPr>
          </w:p>
        </w:tc>
        <w:tc>
          <w:tcPr>
            <w:tcW w:w="1163" w:type="dxa"/>
            <w:vMerge w:val="continue"/>
            <w:tcBorders>
              <w:top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z w:val="21"/>
                <w:szCs w:val="21"/>
              </w:rPr>
            </w:pPr>
          </w:p>
        </w:tc>
        <w:tc>
          <w:tcPr>
            <w:tcW w:w="3944"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105" w:leftChars="50" w:right="105" w:rightChars="50" w:firstLine="0"/>
              <w:jc w:val="left"/>
              <w:textAlignment w:val="baseline"/>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8"/>
                <w:sz w:val="21"/>
                <w:szCs w:val="21"/>
              </w:rPr>
              <w:t>边导线地面投影外两侧各15m范围内有</w:t>
            </w:r>
            <w:r>
              <w:rPr>
                <w:rFonts w:hint="default" w:ascii="Times New Roman" w:hAnsi="Times New Roman" w:eastAsia="宋体" w:cs="Times New Roman"/>
                <w:b w:val="0"/>
                <w:bCs w:val="0"/>
                <w:color w:val="auto"/>
                <w:spacing w:val="7"/>
                <w:sz w:val="21"/>
                <w:szCs w:val="21"/>
              </w:rPr>
              <w:t>电磁环境敏感目标的架空线</w:t>
            </w:r>
          </w:p>
        </w:tc>
        <w:tc>
          <w:tcPr>
            <w:tcW w:w="1684"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b w:val="0"/>
                <w:bCs w:val="0"/>
                <w:color w:val="auto"/>
                <w:sz w:val="21"/>
                <w:szCs w:val="21"/>
              </w:rPr>
            </w:pPr>
            <w:r>
              <w:rPr>
                <w:rFonts w:hint="eastAsia" w:ascii="宋体" w:hAnsi="宋体" w:eastAsia="宋体" w:cs="宋体"/>
                <w:b w:val="0"/>
                <w:bCs w:val="0"/>
                <w:color w:val="auto"/>
                <w:spacing w:val="3"/>
                <w:sz w:val="21"/>
                <w:szCs w:val="21"/>
              </w:rPr>
              <w:t>二级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974" w:type="dxa"/>
            <w:vMerge w:val="continue"/>
            <w:tcBorders>
              <w:top w:val="nil"/>
              <w:bottom w:val="nil"/>
            </w:tcBorders>
            <w:textDirection w:val="tbRlV"/>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b w:val="0"/>
                <w:bCs w:val="0"/>
                <w:color w:val="auto"/>
                <w:sz w:val="21"/>
                <w:szCs w:val="21"/>
              </w:rPr>
            </w:pPr>
          </w:p>
        </w:tc>
        <w:tc>
          <w:tcPr>
            <w:tcW w:w="1559" w:type="dxa"/>
            <w:vMerge w:val="restart"/>
            <w:tcBorders>
              <w:bottom w:val="nil"/>
            </w:tcBorders>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5"/>
                <w:sz w:val="21"/>
                <w:szCs w:val="21"/>
              </w:rPr>
              <w:t>500</w:t>
            </w:r>
            <w:r>
              <w:rPr>
                <w:rFonts w:hint="default" w:ascii="Times New Roman" w:hAnsi="Times New Roman" w:eastAsia="宋体" w:cs="Times New Roman"/>
                <w:b w:val="0"/>
                <w:bCs w:val="0"/>
                <w:color w:val="auto"/>
                <w:sz w:val="21"/>
                <w:szCs w:val="21"/>
              </w:rPr>
              <w:t>kV</w:t>
            </w:r>
            <w:r>
              <w:rPr>
                <w:rFonts w:hint="default" w:ascii="Times New Roman" w:hAnsi="Times New Roman" w:eastAsia="宋体" w:cs="Times New Roman"/>
                <w:b w:val="0"/>
                <w:bCs w:val="0"/>
                <w:color w:val="auto"/>
                <w:spacing w:val="7"/>
                <w:sz w:val="21"/>
                <w:szCs w:val="21"/>
              </w:rPr>
              <w:t>及以上</w:t>
            </w:r>
          </w:p>
        </w:tc>
        <w:tc>
          <w:tcPr>
            <w:tcW w:w="1163" w:type="dxa"/>
            <w:vMerge w:val="restart"/>
            <w:tcBorders>
              <w:bottom w:val="nil"/>
            </w:tcBorders>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6"/>
                <w:sz w:val="21"/>
                <w:szCs w:val="21"/>
              </w:rPr>
              <w:t>变电站</w:t>
            </w:r>
          </w:p>
        </w:tc>
        <w:tc>
          <w:tcPr>
            <w:tcW w:w="3944"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105" w:leftChars="50" w:right="105" w:rightChars="50" w:firstLine="0"/>
              <w:jc w:val="left"/>
              <w:textAlignment w:val="baseline"/>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8"/>
                <w:sz w:val="21"/>
                <w:szCs w:val="21"/>
              </w:rPr>
              <w:t>户内式、地下式</w:t>
            </w:r>
          </w:p>
        </w:tc>
        <w:tc>
          <w:tcPr>
            <w:tcW w:w="1684"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b w:val="0"/>
                <w:bCs w:val="0"/>
                <w:color w:val="auto"/>
                <w:sz w:val="21"/>
                <w:szCs w:val="21"/>
              </w:rPr>
            </w:pPr>
            <w:r>
              <w:rPr>
                <w:rFonts w:hint="eastAsia" w:ascii="宋体" w:hAnsi="宋体" w:eastAsia="宋体" w:cs="宋体"/>
                <w:b w:val="0"/>
                <w:bCs w:val="0"/>
                <w:color w:val="auto"/>
                <w:spacing w:val="3"/>
                <w:sz w:val="21"/>
                <w:szCs w:val="21"/>
              </w:rPr>
              <w:t>二级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974" w:type="dxa"/>
            <w:vMerge w:val="continue"/>
            <w:tcBorders>
              <w:top w:val="nil"/>
              <w:bottom w:val="nil"/>
            </w:tcBorders>
            <w:textDirection w:val="tbRlV"/>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b w:val="0"/>
                <w:bCs w:val="0"/>
                <w:color w:val="auto"/>
                <w:sz w:val="21"/>
                <w:szCs w:val="21"/>
              </w:rPr>
            </w:pPr>
          </w:p>
        </w:tc>
        <w:tc>
          <w:tcPr>
            <w:tcW w:w="1559" w:type="dxa"/>
            <w:vMerge w:val="continue"/>
            <w:tcBorders>
              <w:top w:val="nil"/>
              <w:bottom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z w:val="21"/>
                <w:szCs w:val="21"/>
              </w:rPr>
            </w:pPr>
          </w:p>
        </w:tc>
        <w:tc>
          <w:tcPr>
            <w:tcW w:w="1163" w:type="dxa"/>
            <w:vMerge w:val="continue"/>
            <w:tcBorders>
              <w:top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z w:val="21"/>
                <w:szCs w:val="21"/>
              </w:rPr>
            </w:pPr>
          </w:p>
        </w:tc>
        <w:tc>
          <w:tcPr>
            <w:tcW w:w="3944"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105" w:leftChars="50" w:right="105" w:rightChars="50" w:firstLine="0"/>
              <w:jc w:val="left"/>
              <w:textAlignment w:val="baseline"/>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6"/>
                <w:sz w:val="21"/>
                <w:szCs w:val="21"/>
              </w:rPr>
              <w:t>户外式</w:t>
            </w:r>
          </w:p>
        </w:tc>
        <w:tc>
          <w:tcPr>
            <w:tcW w:w="1684"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b w:val="0"/>
                <w:bCs w:val="0"/>
                <w:color w:val="auto"/>
                <w:sz w:val="21"/>
                <w:szCs w:val="21"/>
              </w:rPr>
            </w:pPr>
            <w:r>
              <w:rPr>
                <w:rFonts w:hint="eastAsia" w:ascii="宋体" w:hAnsi="宋体" w:eastAsia="宋体" w:cs="宋体"/>
                <w:b w:val="0"/>
                <w:bCs w:val="0"/>
                <w:color w:val="auto"/>
                <w:spacing w:val="3"/>
                <w:sz w:val="21"/>
                <w:szCs w:val="21"/>
              </w:rPr>
              <w:t>一级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1" w:hRule="atLeast"/>
        </w:trPr>
        <w:tc>
          <w:tcPr>
            <w:tcW w:w="974" w:type="dxa"/>
            <w:vMerge w:val="continue"/>
            <w:tcBorders>
              <w:top w:val="nil"/>
              <w:bottom w:val="nil"/>
            </w:tcBorders>
            <w:textDirection w:val="tbRlV"/>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b w:val="0"/>
                <w:bCs w:val="0"/>
                <w:color w:val="auto"/>
                <w:sz w:val="21"/>
                <w:szCs w:val="21"/>
              </w:rPr>
            </w:pPr>
          </w:p>
        </w:tc>
        <w:tc>
          <w:tcPr>
            <w:tcW w:w="1559" w:type="dxa"/>
            <w:vMerge w:val="continue"/>
            <w:tcBorders>
              <w:top w:val="nil"/>
              <w:bottom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z w:val="21"/>
                <w:szCs w:val="21"/>
              </w:rPr>
            </w:pPr>
          </w:p>
        </w:tc>
        <w:tc>
          <w:tcPr>
            <w:tcW w:w="1163" w:type="dxa"/>
            <w:vMerge w:val="restart"/>
            <w:tcBorders>
              <w:bottom w:val="nil"/>
            </w:tcBorders>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5"/>
                <w:sz w:val="21"/>
                <w:szCs w:val="21"/>
              </w:rPr>
              <w:t>输电</w:t>
            </w:r>
            <w:r>
              <w:rPr>
                <w:rFonts w:hint="default" w:ascii="Times New Roman" w:hAnsi="Times New Roman" w:eastAsia="宋体" w:cs="Times New Roman"/>
                <w:b w:val="0"/>
                <w:bCs w:val="0"/>
                <w:color w:val="auto"/>
                <w:spacing w:val="3"/>
                <w:sz w:val="21"/>
                <w:szCs w:val="21"/>
              </w:rPr>
              <w:t>线路</w:t>
            </w:r>
          </w:p>
        </w:tc>
        <w:tc>
          <w:tcPr>
            <w:tcW w:w="3944"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105" w:leftChars="50" w:right="105" w:rightChars="50" w:firstLine="0"/>
              <w:jc w:val="left"/>
              <w:textAlignment w:val="baseline"/>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1"/>
                <w:position w:val="1"/>
                <w:sz w:val="21"/>
                <w:szCs w:val="21"/>
              </w:rPr>
              <w:t>1、地下电缆</w:t>
            </w:r>
          </w:p>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105" w:leftChars="50" w:right="105" w:rightChars="50" w:firstLine="0"/>
              <w:jc w:val="left"/>
              <w:textAlignment w:val="baseline"/>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pacing w:val="7"/>
                <w:sz w:val="21"/>
                <w:szCs w:val="21"/>
              </w:rPr>
              <w:t>2、边导线地面投影外两侧各20m范围内</w:t>
            </w:r>
            <w:r>
              <w:rPr>
                <w:rFonts w:hint="default" w:ascii="Times New Roman" w:hAnsi="Times New Roman" w:eastAsia="宋体" w:cs="Times New Roman"/>
                <w:b w:val="0"/>
                <w:bCs w:val="0"/>
                <w:color w:val="auto"/>
                <w:spacing w:val="9"/>
                <w:sz w:val="21"/>
                <w:szCs w:val="21"/>
              </w:rPr>
              <w:t>无电磁环境敏感目标的架空线</w:t>
            </w:r>
          </w:p>
        </w:tc>
        <w:tc>
          <w:tcPr>
            <w:tcW w:w="1684"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b w:val="0"/>
                <w:bCs w:val="0"/>
                <w:color w:val="auto"/>
                <w:sz w:val="21"/>
                <w:szCs w:val="21"/>
              </w:rPr>
            </w:pPr>
            <w:r>
              <w:rPr>
                <w:rFonts w:hint="eastAsia" w:ascii="宋体" w:hAnsi="宋体" w:eastAsia="宋体" w:cs="宋体"/>
                <w:b w:val="0"/>
                <w:bCs w:val="0"/>
                <w:color w:val="auto"/>
                <w:spacing w:val="3"/>
                <w:sz w:val="21"/>
                <w:szCs w:val="21"/>
              </w:rPr>
              <w:t>二级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974" w:type="dxa"/>
            <w:vMerge w:val="continue"/>
            <w:tcBorders>
              <w:top w:val="nil"/>
            </w:tcBorders>
            <w:textDirection w:val="tbRlV"/>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Arial"/>
                <w:color w:val="auto"/>
                <w:sz w:val="21"/>
              </w:rPr>
            </w:pPr>
          </w:p>
        </w:tc>
        <w:tc>
          <w:tcPr>
            <w:tcW w:w="1559" w:type="dxa"/>
            <w:vMerge w:val="continue"/>
            <w:tcBorders>
              <w:top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rPr>
            </w:pPr>
          </w:p>
        </w:tc>
        <w:tc>
          <w:tcPr>
            <w:tcW w:w="1163" w:type="dxa"/>
            <w:vMerge w:val="continue"/>
            <w:tcBorders>
              <w:top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z w:val="21"/>
              </w:rPr>
            </w:pPr>
          </w:p>
        </w:tc>
        <w:tc>
          <w:tcPr>
            <w:tcW w:w="3944"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105" w:leftChars="50" w:right="105" w:rightChars="50" w:firstLine="0"/>
              <w:jc w:val="left"/>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边导线地面投影外两侧各20m范围内有</w:t>
            </w:r>
            <w:r>
              <w:rPr>
                <w:rFonts w:hint="default" w:ascii="Times New Roman" w:hAnsi="Times New Roman" w:eastAsia="宋体" w:cs="Times New Roman"/>
                <w:color w:val="auto"/>
                <w:spacing w:val="7"/>
                <w:sz w:val="21"/>
                <w:szCs w:val="21"/>
              </w:rPr>
              <w:t>电磁环境敏感目标的架空线</w:t>
            </w:r>
          </w:p>
        </w:tc>
        <w:tc>
          <w:tcPr>
            <w:tcW w:w="1684"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3"/>
                <w:sz w:val="21"/>
                <w:szCs w:val="21"/>
              </w:rPr>
              <w:t>一级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8" w:hRule="atLeast"/>
        </w:trPr>
        <w:tc>
          <w:tcPr>
            <w:tcW w:w="974" w:type="dxa"/>
            <w:vMerge w:val="restart"/>
            <w:tcBorders>
              <w:bottom w:val="nil"/>
            </w:tcBorders>
            <w:textDirection w:val="tbRlV"/>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p>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9"/>
                <w:sz w:val="21"/>
                <w:szCs w:val="21"/>
              </w:rPr>
              <w:t>直流</w:t>
            </w:r>
          </w:p>
        </w:tc>
        <w:tc>
          <w:tcPr>
            <w:tcW w:w="1559"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position w:val="1"/>
                <w:sz w:val="21"/>
                <w:szCs w:val="21"/>
              </w:rPr>
              <w:t>±</w:t>
            </w:r>
            <w:r>
              <w:rPr>
                <w:rFonts w:hint="default" w:ascii="Times New Roman" w:hAnsi="Times New Roman" w:eastAsia="宋体" w:cs="Times New Roman"/>
                <w:color w:val="auto"/>
                <w:spacing w:val="7"/>
                <w:sz w:val="21"/>
                <w:szCs w:val="21"/>
              </w:rPr>
              <w:t>400</w:t>
            </w:r>
            <w:r>
              <w:rPr>
                <w:rFonts w:hint="default" w:ascii="Times New Roman" w:hAnsi="Times New Roman" w:eastAsia="宋体" w:cs="Times New Roman"/>
                <w:color w:val="auto"/>
                <w:sz w:val="21"/>
                <w:szCs w:val="21"/>
              </w:rPr>
              <w:t>kV</w:t>
            </w:r>
            <w:r>
              <w:rPr>
                <w:rFonts w:hint="default" w:ascii="Times New Roman" w:hAnsi="Times New Roman" w:eastAsia="宋体" w:cs="Times New Roman"/>
                <w:color w:val="auto"/>
                <w:spacing w:val="7"/>
                <w:sz w:val="21"/>
                <w:szCs w:val="21"/>
              </w:rPr>
              <w:t>及以上</w:t>
            </w:r>
          </w:p>
        </w:tc>
        <w:tc>
          <w:tcPr>
            <w:tcW w:w="1163"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z w:val="20"/>
                <w:szCs w:val="20"/>
              </w:rPr>
            </w:pPr>
            <w:r>
              <w:rPr>
                <w:rFonts w:hint="default" w:ascii="Times New Roman" w:hAnsi="Times New Roman" w:eastAsia="Times New Roman" w:cs="Times New Roman"/>
                <w:color w:val="auto"/>
                <w:spacing w:val="10"/>
                <w:position w:val="-2"/>
                <w:sz w:val="20"/>
                <w:szCs w:val="20"/>
              </w:rPr>
              <w:t>——</w:t>
            </w:r>
          </w:p>
        </w:tc>
        <w:tc>
          <w:tcPr>
            <w:tcW w:w="3944"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0"/>
                <w:position w:val="-2"/>
                <w:sz w:val="21"/>
                <w:szCs w:val="21"/>
              </w:rPr>
              <w:t>——</w:t>
            </w:r>
          </w:p>
        </w:tc>
        <w:tc>
          <w:tcPr>
            <w:tcW w:w="1684"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3"/>
                <w:sz w:val="21"/>
                <w:szCs w:val="21"/>
              </w:rPr>
              <w:t>一级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6" w:hRule="atLeast"/>
        </w:trPr>
        <w:tc>
          <w:tcPr>
            <w:tcW w:w="974" w:type="dxa"/>
            <w:vMerge w:val="continue"/>
            <w:tcBorders>
              <w:top w:val="nil"/>
            </w:tcBorders>
            <w:textDirection w:val="tbRlV"/>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p>
        </w:tc>
        <w:tc>
          <w:tcPr>
            <w:tcW w:w="1559"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4"/>
                <w:sz w:val="21"/>
                <w:szCs w:val="21"/>
              </w:rPr>
              <w:t>其他</w:t>
            </w:r>
          </w:p>
        </w:tc>
        <w:tc>
          <w:tcPr>
            <w:tcW w:w="1163"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ascii="Times New Roman" w:hAnsi="Times New Roman" w:eastAsia="Times New Roman" w:cs="Times New Roman"/>
                <w:color w:val="auto"/>
                <w:sz w:val="20"/>
                <w:szCs w:val="20"/>
              </w:rPr>
            </w:pPr>
            <w:r>
              <w:rPr>
                <w:rFonts w:ascii="Times New Roman" w:hAnsi="Times New Roman" w:eastAsia="Times New Roman" w:cs="Times New Roman"/>
                <w:color w:val="auto"/>
                <w:spacing w:val="10"/>
                <w:position w:val="-2"/>
                <w:sz w:val="20"/>
                <w:szCs w:val="20"/>
              </w:rPr>
              <w:t>——</w:t>
            </w:r>
          </w:p>
        </w:tc>
        <w:tc>
          <w:tcPr>
            <w:tcW w:w="3944"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10"/>
                <w:position w:val="-2"/>
                <w:sz w:val="21"/>
                <w:szCs w:val="21"/>
              </w:rPr>
              <w:t>——</w:t>
            </w:r>
          </w:p>
        </w:tc>
        <w:tc>
          <w:tcPr>
            <w:tcW w:w="1684"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3"/>
                <w:sz w:val="21"/>
                <w:szCs w:val="21"/>
              </w:rPr>
              <w:t>二级</w:t>
            </w:r>
          </w:p>
        </w:tc>
      </w:tr>
    </w:tbl>
    <w:p>
      <w:pPr>
        <w:spacing w:before="155" w:line="219" w:lineRule="auto"/>
        <w:ind w:left="5"/>
        <w:outlineLvl w:val="2"/>
        <w:rPr>
          <w:rFonts w:ascii="宋体" w:hAnsi="宋体" w:eastAsia="宋体" w:cs="宋体"/>
          <w:color w:val="auto"/>
          <w:sz w:val="24"/>
          <w:szCs w:val="24"/>
        </w:rPr>
      </w:pPr>
      <w:r>
        <w:rPr>
          <w:rFonts w:ascii="Times New Roman" w:hAnsi="Times New Roman" w:eastAsia="Times New Roman" w:cs="Times New Roman"/>
          <w:b/>
          <w:bCs/>
          <w:color w:val="auto"/>
          <w:spacing w:val="-4"/>
          <w:sz w:val="24"/>
          <w:szCs w:val="24"/>
        </w:rPr>
        <w:t>1.4</w:t>
      </w:r>
      <w:r>
        <w:rPr>
          <w:rFonts w:ascii="宋体" w:hAnsi="宋体" w:eastAsia="宋体" w:cs="宋体"/>
          <w:b/>
          <w:bCs/>
          <w:color w:val="auto"/>
          <w:spacing w:val="-4"/>
          <w:sz w:val="24"/>
          <w:szCs w:val="24"/>
        </w:rPr>
        <w:t>评价范围</w:t>
      </w:r>
    </w:p>
    <w:p>
      <w:pPr>
        <w:spacing w:before="146" w:line="359" w:lineRule="exact"/>
        <w:ind w:left="480"/>
        <w:rPr>
          <w:rFonts w:ascii="宋体" w:hAnsi="宋体" w:eastAsia="宋体" w:cs="宋体"/>
          <w:color w:val="auto"/>
          <w:sz w:val="24"/>
          <w:szCs w:val="24"/>
        </w:rPr>
      </w:pPr>
      <w:r>
        <w:rPr>
          <w:rFonts w:hint="eastAsia" w:ascii="宋体" w:hAnsi="宋体" w:eastAsia="宋体" w:cs="宋体"/>
          <w:color w:val="auto"/>
          <w:spacing w:val="-1"/>
          <w:position w:val="2"/>
          <w:sz w:val="24"/>
          <w:szCs w:val="24"/>
        </w:rPr>
        <w:t>依据《环境影响评价技术导则输变电》（HJ24-2020），确定电磁评价范围为输电线路边导线地面投影外两侧各40m</w:t>
      </w:r>
      <w:r>
        <w:rPr>
          <w:rFonts w:ascii="宋体" w:hAnsi="宋体" w:eastAsia="宋体" w:cs="宋体"/>
          <w:color w:val="auto"/>
          <w:spacing w:val="-1"/>
          <w:position w:val="2"/>
          <w:sz w:val="24"/>
          <w:szCs w:val="24"/>
        </w:rPr>
        <w:t>。</w:t>
      </w:r>
    </w:p>
    <w:p>
      <w:pPr>
        <w:spacing w:before="65" w:line="223" w:lineRule="auto"/>
        <w:ind w:left="2694"/>
        <w:rPr>
          <w:rFonts w:ascii="宋体" w:hAnsi="宋体" w:eastAsia="宋体" w:cs="宋体"/>
          <w:color w:val="auto"/>
          <w:sz w:val="21"/>
          <w:szCs w:val="21"/>
        </w:rPr>
      </w:pPr>
      <w:r>
        <w:rPr>
          <w:rFonts w:ascii="宋体" w:hAnsi="宋体" w:eastAsia="宋体" w:cs="宋体"/>
          <w:b/>
          <w:bCs/>
          <w:color w:val="auto"/>
          <w:spacing w:val="7"/>
          <w:sz w:val="21"/>
          <w:szCs w:val="21"/>
        </w:rPr>
        <w:t>表</w:t>
      </w:r>
      <w:r>
        <w:rPr>
          <w:rFonts w:ascii="Times New Roman" w:hAnsi="Times New Roman" w:eastAsia="Times New Roman" w:cs="Times New Roman"/>
          <w:b/>
          <w:bCs/>
          <w:color w:val="auto"/>
          <w:spacing w:val="7"/>
          <w:sz w:val="21"/>
          <w:szCs w:val="21"/>
        </w:rPr>
        <w:t>1-2</w:t>
      </w:r>
      <w:r>
        <w:rPr>
          <w:rFonts w:ascii="宋体" w:hAnsi="宋体" w:eastAsia="宋体" w:cs="宋体"/>
          <w:b/>
          <w:bCs/>
          <w:color w:val="auto"/>
          <w:spacing w:val="7"/>
          <w:sz w:val="21"/>
          <w:szCs w:val="21"/>
        </w:rPr>
        <w:t>输变电建设项目电磁环境影响评价范围</w:t>
      </w:r>
    </w:p>
    <w:tbl>
      <w:tblPr>
        <w:tblStyle w:val="31"/>
        <w:tblW w:w="9395" w:type="dxa"/>
        <w:tblInd w:w="2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07"/>
        <w:gridCol w:w="1752"/>
        <w:gridCol w:w="2095"/>
        <w:gridCol w:w="3262"/>
        <w:gridCol w:w="157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6" w:hRule="atLeast"/>
        </w:trPr>
        <w:tc>
          <w:tcPr>
            <w:tcW w:w="707" w:type="dxa"/>
            <w:vMerge w:val="restart"/>
            <w:tcBorders>
              <w:bottom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分类</w:t>
            </w:r>
          </w:p>
        </w:tc>
        <w:tc>
          <w:tcPr>
            <w:tcW w:w="1752" w:type="dxa"/>
            <w:vMerge w:val="restart"/>
            <w:tcBorders>
              <w:bottom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电压等级</w:t>
            </w:r>
          </w:p>
        </w:tc>
        <w:tc>
          <w:tcPr>
            <w:tcW w:w="6936" w:type="dxa"/>
            <w:gridSpan w:val="3"/>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评价范围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707"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p>
        </w:tc>
        <w:tc>
          <w:tcPr>
            <w:tcW w:w="1752"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p>
        </w:tc>
        <w:tc>
          <w:tcPr>
            <w:tcW w:w="2095" w:type="dxa"/>
            <w:vMerge w:val="restart"/>
            <w:tcBorders>
              <w:bottom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变电站、换流站、</w:t>
            </w:r>
            <w:r>
              <w:rPr>
                <w:rFonts w:hint="default" w:ascii="Times New Roman" w:hAnsi="Times New Roman" w:eastAsia="宋体" w:cs="Times New Roman"/>
                <w:color w:val="auto"/>
                <w:spacing w:val="8"/>
                <w:sz w:val="21"/>
                <w:szCs w:val="21"/>
              </w:rPr>
              <w:t>开关站、串补站</w:t>
            </w:r>
          </w:p>
        </w:tc>
        <w:tc>
          <w:tcPr>
            <w:tcW w:w="4841" w:type="dxa"/>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线路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707"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p>
        </w:tc>
        <w:tc>
          <w:tcPr>
            <w:tcW w:w="1752"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p>
        </w:tc>
        <w:tc>
          <w:tcPr>
            <w:tcW w:w="2095"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p>
        </w:tc>
        <w:tc>
          <w:tcPr>
            <w:tcW w:w="3262"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架空线路</w:t>
            </w:r>
          </w:p>
        </w:tc>
        <w:tc>
          <w:tcPr>
            <w:tcW w:w="1579" w:type="dxa"/>
            <w:vAlign w:val="center"/>
          </w:tcPr>
          <w:p>
            <w:pPr>
              <w:pStyle w:val="38"/>
              <w:keepNext w:val="0"/>
              <w:keepLines w:val="0"/>
              <w:pageBreakBefore w:val="0"/>
              <w:widowControl w:val="0"/>
              <w:kinsoku/>
              <w:wordWrap/>
              <w:overflowPunct/>
              <w:topLinePunct w:val="0"/>
              <w:autoSpaceDE/>
              <w:autoSpaceDN/>
              <w:bidi w:val="0"/>
              <w:adjustRightInd/>
              <w:snapToGrid/>
              <w:spacing w:before="96" w:line="240" w:lineRule="auto"/>
              <w:ind w:left="0"/>
              <w:jc w:val="center"/>
              <w:textAlignment w:val="auto"/>
              <w:rPr>
                <w:rFonts w:hint="eastAsia" w:ascii="宋体" w:hAnsi="宋体" w:eastAsia="宋体" w:cs="宋体"/>
                <w:color w:val="auto"/>
                <w:sz w:val="21"/>
                <w:szCs w:val="21"/>
              </w:rPr>
            </w:pPr>
            <w:r>
              <w:rPr>
                <w:rFonts w:hint="eastAsia" w:ascii="宋体" w:hAnsi="宋体" w:eastAsia="宋体" w:cs="宋体"/>
                <w:color w:val="auto"/>
                <w:spacing w:val="7"/>
                <w:sz w:val="21"/>
                <w:szCs w:val="21"/>
              </w:rPr>
              <w:t>地下电缆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707" w:type="dxa"/>
            <w:vMerge w:val="restart"/>
            <w:tcBorders>
              <w:bottom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交流</w:t>
            </w:r>
          </w:p>
        </w:tc>
        <w:tc>
          <w:tcPr>
            <w:tcW w:w="175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position w:val="1"/>
                <w:sz w:val="21"/>
                <w:szCs w:val="21"/>
              </w:rPr>
              <w:t>110kV</w:t>
            </w:r>
          </w:p>
        </w:tc>
        <w:tc>
          <w:tcPr>
            <w:tcW w:w="209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5"/>
                <w:position w:val="1"/>
                <w:sz w:val="21"/>
                <w:szCs w:val="21"/>
              </w:rPr>
              <w:t>站界外30m</w:t>
            </w:r>
          </w:p>
        </w:tc>
        <w:tc>
          <w:tcPr>
            <w:tcW w:w="3262"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2"/>
                <w:position w:val="1"/>
                <w:sz w:val="21"/>
                <w:szCs w:val="21"/>
              </w:rPr>
              <w:t>边导线地面投影外两侧各30m</w:t>
            </w:r>
          </w:p>
        </w:tc>
        <w:tc>
          <w:tcPr>
            <w:tcW w:w="1579" w:type="dxa"/>
            <w:vMerge w:val="restart"/>
            <w:tcBorders>
              <w:bottom w:val="nil"/>
            </w:tcBorders>
            <w:vAlign w:val="center"/>
          </w:tcPr>
          <w:p>
            <w:pPr>
              <w:pStyle w:val="38"/>
              <w:keepNext w:val="0"/>
              <w:keepLines w:val="0"/>
              <w:pageBreakBefore w:val="0"/>
              <w:widowControl w:val="0"/>
              <w:kinsoku/>
              <w:wordWrap/>
              <w:overflowPunct/>
              <w:topLinePunct w:val="0"/>
              <w:autoSpaceDE/>
              <w:autoSpaceDN/>
              <w:bidi w:val="0"/>
              <w:adjustRightInd/>
              <w:snapToGrid/>
              <w:spacing w:before="65" w:line="240" w:lineRule="auto"/>
              <w:ind w:left="0"/>
              <w:jc w:val="center"/>
              <w:textAlignment w:val="auto"/>
              <w:rPr>
                <w:rFonts w:hint="eastAsia" w:ascii="宋体" w:hAnsi="宋体" w:eastAsia="宋体" w:cs="宋体"/>
                <w:color w:val="auto"/>
                <w:sz w:val="21"/>
                <w:szCs w:val="21"/>
              </w:rPr>
            </w:pPr>
            <w:r>
              <w:rPr>
                <w:rFonts w:hint="eastAsia" w:ascii="宋体" w:hAnsi="宋体" w:eastAsia="宋体" w:cs="宋体"/>
                <w:color w:val="auto"/>
                <w:spacing w:val="6"/>
                <w:sz w:val="21"/>
                <w:szCs w:val="21"/>
              </w:rPr>
              <w:t>管廊两侧边缘各外延5m</w:t>
            </w:r>
            <w:r>
              <w:rPr>
                <w:rFonts w:hint="eastAsia" w:ascii="宋体" w:hAnsi="宋体" w:eastAsia="宋体" w:cs="宋体"/>
                <w:color w:val="auto"/>
                <w:spacing w:val="5"/>
                <w:sz w:val="21"/>
                <w:szCs w:val="21"/>
              </w:rPr>
              <w:t>（水平距离）</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707" w:type="dxa"/>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p>
        </w:tc>
        <w:tc>
          <w:tcPr>
            <w:tcW w:w="175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position w:val="1"/>
                <w:sz w:val="21"/>
                <w:szCs w:val="21"/>
              </w:rPr>
              <w:t>220~330</w:t>
            </w:r>
            <w:r>
              <w:rPr>
                <w:rFonts w:hint="default" w:ascii="Times New Roman" w:hAnsi="Times New Roman" w:eastAsia="宋体" w:cs="Times New Roman"/>
                <w:color w:val="auto"/>
                <w:position w:val="1"/>
                <w:sz w:val="21"/>
                <w:szCs w:val="21"/>
              </w:rPr>
              <w:t>kV</w:t>
            </w:r>
          </w:p>
        </w:tc>
        <w:tc>
          <w:tcPr>
            <w:tcW w:w="209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bCs/>
                <w:color w:val="auto"/>
                <w:spacing w:val="4"/>
                <w:sz w:val="21"/>
                <w:szCs w:val="21"/>
              </w:rPr>
              <w:t>站界外40m</w:t>
            </w:r>
          </w:p>
        </w:tc>
        <w:tc>
          <w:tcPr>
            <w:tcW w:w="3262"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bCs/>
                <w:color w:val="auto"/>
                <w:spacing w:val="12"/>
                <w:position w:val="1"/>
                <w:sz w:val="21"/>
                <w:szCs w:val="21"/>
              </w:rPr>
              <w:t>边导线地面投影外两侧各40m</w:t>
            </w:r>
          </w:p>
        </w:tc>
        <w:tc>
          <w:tcPr>
            <w:tcW w:w="1579" w:type="dxa"/>
            <w:vMerge w:val="continue"/>
            <w:tcBorders>
              <w:top w:val="nil"/>
              <w:bottom w:val="nil"/>
            </w:tcBorders>
            <w:vAlign w:val="top"/>
          </w:tcPr>
          <w:p>
            <w:pPr>
              <w:rPr>
                <w:rFonts w:hint="eastAsia" w:ascii="宋体" w:hAnsi="宋体" w:eastAsia="宋体" w:cs="宋体"/>
                <w:color w:val="auto"/>
                <w:sz w:val="21"/>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707"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p>
        </w:tc>
        <w:tc>
          <w:tcPr>
            <w:tcW w:w="1752"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position w:val="1"/>
                <w:sz w:val="21"/>
                <w:szCs w:val="21"/>
              </w:rPr>
              <w:t>500</w:t>
            </w:r>
            <w:r>
              <w:rPr>
                <w:rFonts w:hint="default" w:ascii="Times New Roman" w:hAnsi="Times New Roman" w:eastAsia="宋体" w:cs="Times New Roman"/>
                <w:color w:val="auto"/>
                <w:position w:val="1"/>
                <w:sz w:val="21"/>
                <w:szCs w:val="21"/>
              </w:rPr>
              <w:t>kV</w:t>
            </w:r>
            <w:r>
              <w:rPr>
                <w:rFonts w:hint="default" w:ascii="Times New Roman" w:hAnsi="Times New Roman" w:eastAsia="宋体" w:cs="Times New Roman"/>
                <w:color w:val="auto"/>
                <w:spacing w:val="6"/>
                <w:position w:val="1"/>
                <w:sz w:val="21"/>
                <w:szCs w:val="21"/>
              </w:rPr>
              <w:t>及以上</w:t>
            </w:r>
          </w:p>
        </w:tc>
        <w:tc>
          <w:tcPr>
            <w:tcW w:w="209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position w:val="1"/>
                <w:sz w:val="21"/>
                <w:szCs w:val="21"/>
              </w:rPr>
              <w:t>站界外50m</w:t>
            </w:r>
          </w:p>
        </w:tc>
        <w:tc>
          <w:tcPr>
            <w:tcW w:w="3262"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position w:val="1"/>
                <w:sz w:val="21"/>
                <w:szCs w:val="21"/>
              </w:rPr>
              <w:t>边导线地面投影外两侧各50m</w:t>
            </w:r>
          </w:p>
        </w:tc>
        <w:tc>
          <w:tcPr>
            <w:tcW w:w="1579" w:type="dxa"/>
            <w:vMerge w:val="continue"/>
            <w:tcBorders>
              <w:top w:val="nil"/>
              <w:bottom w:val="nil"/>
            </w:tcBorders>
            <w:vAlign w:val="top"/>
          </w:tcPr>
          <w:p>
            <w:pPr>
              <w:rPr>
                <w:rFonts w:hint="eastAsia" w:ascii="宋体" w:hAnsi="宋体" w:eastAsia="宋体" w:cs="宋体"/>
                <w:color w:val="auto"/>
                <w:sz w:val="21"/>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6" w:hRule="atLeast"/>
        </w:trPr>
        <w:tc>
          <w:tcPr>
            <w:tcW w:w="707"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直流</w:t>
            </w:r>
          </w:p>
        </w:tc>
        <w:tc>
          <w:tcPr>
            <w:tcW w:w="1752"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position w:val="1"/>
                <w:sz w:val="21"/>
                <w:szCs w:val="21"/>
              </w:rPr>
              <w:t>±100</w:t>
            </w:r>
            <w:r>
              <w:rPr>
                <w:rFonts w:hint="default" w:ascii="Times New Roman" w:hAnsi="Times New Roman" w:eastAsia="宋体" w:cs="Times New Roman"/>
                <w:color w:val="auto"/>
                <w:position w:val="1"/>
                <w:sz w:val="21"/>
                <w:szCs w:val="21"/>
              </w:rPr>
              <w:t>kV</w:t>
            </w:r>
            <w:r>
              <w:rPr>
                <w:rFonts w:hint="default" w:ascii="Times New Roman" w:hAnsi="Times New Roman" w:eastAsia="宋体" w:cs="Times New Roman"/>
                <w:color w:val="auto"/>
                <w:spacing w:val="4"/>
                <w:position w:val="1"/>
                <w:sz w:val="21"/>
                <w:szCs w:val="21"/>
              </w:rPr>
              <w:t>及以上</w:t>
            </w:r>
          </w:p>
        </w:tc>
        <w:tc>
          <w:tcPr>
            <w:tcW w:w="2095"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position w:val="1"/>
                <w:sz w:val="21"/>
                <w:szCs w:val="21"/>
              </w:rPr>
              <w:t>站界外50m</w:t>
            </w:r>
          </w:p>
        </w:tc>
        <w:tc>
          <w:tcPr>
            <w:tcW w:w="3262" w:type="dxa"/>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position w:val="1"/>
                <w:sz w:val="21"/>
                <w:szCs w:val="21"/>
              </w:rPr>
              <w:t>边导线地面投影外两侧各50m</w:t>
            </w:r>
          </w:p>
        </w:tc>
        <w:tc>
          <w:tcPr>
            <w:tcW w:w="1579" w:type="dxa"/>
            <w:vMerge w:val="continue"/>
            <w:tcBorders>
              <w:top w:val="nil"/>
            </w:tcBorders>
            <w:vAlign w:val="top"/>
          </w:tcPr>
          <w:p>
            <w:pPr>
              <w:rPr>
                <w:rFonts w:hint="eastAsia" w:ascii="宋体" w:hAnsi="宋体" w:eastAsia="宋体" w:cs="宋体"/>
                <w:color w:val="auto"/>
                <w:sz w:val="21"/>
                <w:szCs w:val="21"/>
              </w:rPr>
            </w:pPr>
          </w:p>
        </w:tc>
      </w:tr>
    </w:tbl>
    <w:p>
      <w:pPr>
        <w:spacing w:before="31" w:line="223" w:lineRule="auto"/>
        <w:ind w:left="3325"/>
        <w:rPr>
          <w:rFonts w:hint="eastAsia" w:ascii="宋体" w:hAnsi="宋体" w:eastAsia="宋体" w:cs="宋体"/>
          <w:b/>
          <w:bCs/>
          <w:color w:val="auto"/>
          <w:spacing w:val="7"/>
          <w:sz w:val="21"/>
          <w:szCs w:val="21"/>
        </w:rPr>
      </w:pPr>
    </w:p>
    <w:p>
      <w:pPr>
        <w:spacing w:before="155" w:line="219" w:lineRule="auto"/>
        <w:ind w:left="5"/>
        <w:outlineLvl w:val="2"/>
        <w:rPr>
          <w:rFonts w:hint="default" w:ascii="Times New Roman" w:hAnsi="Times New Roman" w:eastAsia="Times New Roman" w:cs="Times New Roman"/>
          <w:b/>
          <w:bCs/>
          <w:color w:val="auto"/>
          <w:spacing w:val="-4"/>
          <w:sz w:val="24"/>
          <w:szCs w:val="24"/>
          <w:lang w:val="en-US"/>
        </w:rPr>
      </w:pPr>
      <w:r>
        <w:rPr>
          <w:rFonts w:hint="eastAsia" w:ascii="Times New Roman" w:hAnsi="Times New Roman" w:eastAsia="Times New Roman" w:cs="Times New Roman"/>
          <w:b/>
          <w:bCs/>
          <w:color w:val="auto"/>
          <w:spacing w:val="-4"/>
          <w:sz w:val="24"/>
          <w:szCs w:val="24"/>
          <w:lang w:val="en-US" w:eastAsia="zh-CN"/>
        </w:rPr>
        <w:t>1.5</w:t>
      </w:r>
      <w:r>
        <w:rPr>
          <w:rFonts w:ascii="Times New Roman" w:hAnsi="Times New Roman" w:eastAsia="Times New Roman" w:cs="Times New Roman"/>
          <w:b/>
          <w:bCs/>
          <w:color w:val="auto"/>
          <w:spacing w:val="-4"/>
          <w:sz w:val="24"/>
          <w:szCs w:val="24"/>
          <w:lang w:eastAsia="zh-CN"/>
        </w:rPr>
        <w:t>电磁环境</w:t>
      </w:r>
      <w:r>
        <w:rPr>
          <w:rFonts w:hint="eastAsia" w:ascii="Times New Roman" w:hAnsi="Times New Roman" w:eastAsia="Times New Roman" w:cs="Times New Roman"/>
          <w:b/>
          <w:bCs/>
          <w:color w:val="auto"/>
          <w:spacing w:val="-4"/>
          <w:sz w:val="24"/>
          <w:szCs w:val="24"/>
          <w:lang w:val="en-US" w:eastAsia="zh-CN"/>
        </w:rPr>
        <w:t>保护目标</w:t>
      </w:r>
    </w:p>
    <w:p>
      <w:pPr>
        <w:pStyle w:val="5"/>
        <w:rPr>
          <w:rFonts w:hint="eastAsia" w:ascii="宋体" w:hAnsi="宋体" w:eastAsia="宋体" w:cs="宋体"/>
          <w:b/>
          <w:bCs/>
          <w:color w:val="auto"/>
          <w:spacing w:val="7"/>
          <w:sz w:val="21"/>
          <w:szCs w:val="21"/>
        </w:rPr>
      </w:pPr>
    </w:p>
    <w:p>
      <w:pPr>
        <w:keepNext w:val="0"/>
        <w:keepLines w:val="0"/>
        <w:pageBreakBefore w:val="0"/>
        <w:widowControl w:val="0"/>
        <w:kinsoku/>
        <w:wordWrap/>
        <w:overflowPunct/>
        <w:topLinePunct w:val="0"/>
        <w:autoSpaceDE/>
        <w:autoSpaceDN/>
        <w:bidi w:val="0"/>
        <w:adjustRightInd/>
        <w:snapToGrid/>
        <w:spacing w:line="240" w:lineRule="auto"/>
        <w:ind w:left="0" w:right="0" w:firstLine="446" w:firstLineChars="200"/>
        <w:jc w:val="center"/>
        <w:textAlignment w:val="auto"/>
        <w:rPr>
          <w:rFonts w:hint="default" w:ascii="Times New Roman" w:hAnsi="Times New Roman" w:cs="Times New Roman"/>
          <w:b/>
          <w:bCs/>
          <w:color w:val="auto"/>
          <w:spacing w:val="6"/>
          <w:sz w:val="21"/>
          <w:szCs w:val="21"/>
        </w:rPr>
      </w:pPr>
      <w:r>
        <w:rPr>
          <w:rFonts w:hint="default" w:ascii="Times New Roman" w:hAnsi="Times New Roman" w:cs="Times New Roman"/>
          <w:b/>
          <w:bCs/>
          <w:color w:val="auto"/>
          <w:spacing w:val="6"/>
          <w:sz w:val="21"/>
          <w:szCs w:val="21"/>
        </w:rPr>
        <w:t xml:space="preserve">表 </w:t>
      </w:r>
      <w:r>
        <w:rPr>
          <w:rFonts w:hint="eastAsia" w:ascii="Times New Roman" w:hAnsi="Times New Roman" w:cs="Times New Roman"/>
          <w:b/>
          <w:bCs/>
          <w:color w:val="auto"/>
          <w:spacing w:val="6"/>
          <w:sz w:val="21"/>
          <w:szCs w:val="21"/>
          <w:lang w:val="en-US" w:eastAsia="zh-CN"/>
        </w:rPr>
        <w:t xml:space="preserve">1-3  </w:t>
      </w:r>
      <w:r>
        <w:rPr>
          <w:rFonts w:hint="default" w:ascii="Times New Roman" w:hAnsi="Times New Roman" w:cs="Times New Roman"/>
          <w:b/>
          <w:bCs/>
          <w:color w:val="auto"/>
          <w:spacing w:val="6"/>
          <w:sz w:val="21"/>
          <w:szCs w:val="21"/>
        </w:rPr>
        <w:t>本项目电磁环境保护目标（施工期和运营期）一览表</w:t>
      </w:r>
    </w:p>
    <w:tbl>
      <w:tblPr>
        <w:tblStyle w:val="31"/>
        <w:tblW w:w="4999"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88"/>
        <w:gridCol w:w="1007"/>
        <w:gridCol w:w="1501"/>
        <w:gridCol w:w="681"/>
        <w:gridCol w:w="908"/>
        <w:gridCol w:w="858"/>
        <w:gridCol w:w="942"/>
        <w:gridCol w:w="768"/>
        <w:gridCol w:w="667"/>
        <w:gridCol w:w="775"/>
        <w:gridCol w:w="66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jc w:val="center"/>
        </w:trPr>
        <w:tc>
          <w:tcPr>
            <w:tcW w:w="314" w:type="pct"/>
            <w:vMerge w:val="restart"/>
            <w:tcBorders>
              <w:bottom w:val="nil"/>
            </w:tcBorders>
            <w:textDirection w:val="tbRlV"/>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9"/>
                <w:sz w:val="21"/>
                <w:szCs w:val="21"/>
              </w:rPr>
              <w:t>序</w:t>
            </w:r>
            <w:r>
              <w:rPr>
                <w:rFonts w:hint="default" w:ascii="Times New Roman" w:hAnsi="Times New Roman" w:eastAsia="宋体" w:cs="Times New Roman"/>
                <w:color w:val="auto"/>
                <w:spacing w:val="-36"/>
                <w:sz w:val="21"/>
                <w:szCs w:val="21"/>
              </w:rPr>
              <w:t xml:space="preserve"> </w:t>
            </w:r>
            <w:r>
              <w:rPr>
                <w:rFonts w:hint="default" w:ascii="Times New Roman" w:hAnsi="Times New Roman" w:eastAsia="宋体" w:cs="Times New Roman"/>
                <w:color w:val="auto"/>
                <w:spacing w:val="9"/>
                <w:sz w:val="21"/>
                <w:szCs w:val="21"/>
              </w:rPr>
              <w:t>号</w:t>
            </w:r>
          </w:p>
        </w:tc>
        <w:tc>
          <w:tcPr>
            <w:tcW w:w="538" w:type="pct"/>
            <w:vMerge w:val="restart"/>
            <w:tcBorders>
              <w:bottom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工程</w:t>
            </w:r>
            <w:r>
              <w:rPr>
                <w:rFonts w:hint="default" w:ascii="Times New Roman" w:hAnsi="Times New Roman" w:eastAsia="宋体" w:cs="Times New Roman"/>
                <w:color w:val="auto"/>
                <w:spacing w:val="-8"/>
                <w:sz w:val="21"/>
                <w:szCs w:val="21"/>
              </w:rPr>
              <w:t>内容</w:t>
            </w:r>
          </w:p>
        </w:tc>
        <w:tc>
          <w:tcPr>
            <w:tcW w:w="802" w:type="pct"/>
            <w:vMerge w:val="restart"/>
            <w:tcBorders>
              <w:bottom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保护目标</w:t>
            </w:r>
            <w:r>
              <w:rPr>
                <w:rFonts w:hint="default" w:ascii="Times New Roman" w:hAnsi="Times New Roman" w:eastAsia="宋体" w:cs="Times New Roman"/>
                <w:color w:val="auto"/>
                <w:spacing w:val="3"/>
                <w:sz w:val="21"/>
                <w:szCs w:val="21"/>
              </w:rPr>
              <w:t>名称</w:t>
            </w:r>
          </w:p>
        </w:tc>
        <w:tc>
          <w:tcPr>
            <w:tcW w:w="364" w:type="pct"/>
            <w:vMerge w:val="restart"/>
            <w:tcBorders>
              <w:bottom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方位</w:t>
            </w:r>
          </w:p>
        </w:tc>
        <w:tc>
          <w:tcPr>
            <w:tcW w:w="485" w:type="pct"/>
            <w:vMerge w:val="restart"/>
            <w:tcBorders>
              <w:bottom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7"/>
                <w:sz w:val="21"/>
                <w:szCs w:val="21"/>
              </w:rPr>
              <w:t>距站界</w:t>
            </w:r>
            <w:r>
              <w:rPr>
                <w:rFonts w:hint="default" w:ascii="Times New Roman" w:hAnsi="Times New Roman" w:eastAsia="宋体" w:cs="Times New Roman"/>
                <w:color w:val="auto"/>
                <w:spacing w:val="7"/>
                <w:sz w:val="21"/>
                <w:szCs w:val="21"/>
                <w:lang w:val="en-US" w:eastAsia="zh-CN"/>
              </w:rPr>
              <w:t>/线路</w:t>
            </w:r>
          </w:p>
        </w:tc>
        <w:tc>
          <w:tcPr>
            <w:tcW w:w="961" w:type="pct"/>
            <w:gridSpan w:val="2"/>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建筑物特征</w:t>
            </w:r>
          </w:p>
        </w:tc>
        <w:tc>
          <w:tcPr>
            <w:tcW w:w="410" w:type="pct"/>
            <w:vMerge w:val="restart"/>
            <w:tcBorders>
              <w:bottom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规模</w:t>
            </w:r>
          </w:p>
        </w:tc>
        <w:tc>
          <w:tcPr>
            <w:tcW w:w="356" w:type="pct"/>
            <w:vMerge w:val="restart"/>
            <w:tcBorders>
              <w:bottom w:val="nil"/>
            </w:tcBorders>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功能</w:t>
            </w:r>
          </w:p>
        </w:tc>
        <w:tc>
          <w:tcPr>
            <w:tcW w:w="414" w:type="pct"/>
            <w:vMerge w:val="restart"/>
            <w:vAlign w:val="center"/>
          </w:tcPr>
          <w:p>
            <w:pPr>
              <w:pStyle w:val="28"/>
              <w:ind w:firstLine="0" w:firstLineChars="0"/>
              <w:rPr>
                <w:rFonts w:hint="default" w:ascii="Times New Roman" w:hAnsi="Times New Roman" w:eastAsia="宋体" w:cs="Times New Roman"/>
                <w:b w:val="0"/>
                <w:bCs w:val="0"/>
                <w:color w:val="auto"/>
                <w:spacing w:val="3"/>
                <w:sz w:val="21"/>
                <w:szCs w:val="21"/>
              </w:rPr>
            </w:pPr>
            <w:r>
              <w:rPr>
                <w:b w:val="0"/>
                <w:bCs w:val="0"/>
                <w:color w:val="auto"/>
                <w:lang w:eastAsia="zh-CN"/>
              </w:rPr>
              <w:t>环境影响因子</w:t>
            </w:r>
          </w:p>
        </w:tc>
        <w:tc>
          <w:tcPr>
            <w:tcW w:w="352" w:type="pct"/>
            <w:vMerge w:val="restart"/>
            <w:vAlign w:val="center"/>
          </w:tcPr>
          <w:p>
            <w:pPr>
              <w:pStyle w:val="28"/>
              <w:ind w:firstLine="0" w:firstLineChars="0"/>
              <w:rPr>
                <w:rFonts w:hint="default" w:ascii="Times New Roman" w:hAnsi="Times New Roman" w:eastAsia="宋体" w:cs="Times New Roman"/>
                <w:b w:val="0"/>
                <w:bCs w:val="0"/>
                <w:color w:val="auto"/>
                <w:spacing w:val="3"/>
                <w:sz w:val="21"/>
                <w:szCs w:val="21"/>
              </w:rPr>
            </w:pPr>
            <w:r>
              <w:rPr>
                <w:b w:val="0"/>
                <w:bCs w:val="0"/>
                <w:color w:val="auto"/>
                <w:spacing w:val="-7"/>
                <w:lang w:eastAsia="zh-CN"/>
              </w:rPr>
              <w:t>导线</w:t>
            </w:r>
            <w:r>
              <w:rPr>
                <w:b w:val="0"/>
                <w:bCs w:val="0"/>
                <w:color w:val="auto"/>
                <w:lang w:eastAsia="zh-CN"/>
              </w:rPr>
              <w:t>对地高度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0" w:hRule="atLeast"/>
          <w:jc w:val="center"/>
        </w:trPr>
        <w:tc>
          <w:tcPr>
            <w:tcW w:w="314" w:type="pct"/>
            <w:vMerge w:val="continue"/>
            <w:tcBorders>
              <w:top w:val="nil"/>
            </w:tcBorders>
            <w:textDirection w:val="tbRlV"/>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538" w:type="pct"/>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802" w:type="pct"/>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364" w:type="pct"/>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485" w:type="pct"/>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458"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楼层</w:t>
            </w:r>
          </w:p>
        </w:tc>
        <w:tc>
          <w:tcPr>
            <w:tcW w:w="503" w:type="pct"/>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高度</w:t>
            </w:r>
          </w:p>
        </w:tc>
        <w:tc>
          <w:tcPr>
            <w:tcW w:w="410" w:type="pct"/>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356" w:type="pct"/>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p>
        </w:tc>
        <w:tc>
          <w:tcPr>
            <w:tcW w:w="414" w:type="pct"/>
            <w:vMerge w:val="continue"/>
            <w:vAlign w:val="center"/>
          </w:tcPr>
          <w:p>
            <w:pPr>
              <w:pStyle w:val="28"/>
              <w:ind w:firstLine="0" w:firstLineChars="0"/>
              <w:rPr>
                <w:rFonts w:hint="default" w:ascii="Times New Roman" w:hAnsi="Times New Roman" w:eastAsia="宋体" w:cs="Times New Roman"/>
                <w:color w:val="auto"/>
                <w:sz w:val="21"/>
                <w:szCs w:val="21"/>
              </w:rPr>
            </w:pPr>
          </w:p>
        </w:tc>
        <w:tc>
          <w:tcPr>
            <w:tcW w:w="352" w:type="pct"/>
            <w:vMerge w:val="continue"/>
            <w:vAlign w:val="center"/>
          </w:tcPr>
          <w:p>
            <w:pPr>
              <w:pStyle w:val="28"/>
              <w:ind w:firstLine="0" w:firstLineChars="0"/>
              <w:rPr>
                <w:rFonts w:hint="default" w:ascii="Times New Roman" w:hAnsi="Times New Roman" w:eastAsia="宋体" w:cs="Times New Roman"/>
                <w:b w:val="0"/>
                <w:bCs w:val="0"/>
                <w:color w:val="auto"/>
                <w:sz w:val="21"/>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2" w:hRule="atLeast"/>
          <w:jc w:val="center"/>
        </w:trPr>
        <w:tc>
          <w:tcPr>
            <w:tcW w:w="314"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position w:val="1"/>
                <w:sz w:val="21"/>
                <w:szCs w:val="21"/>
                <w:lang w:val="en-US" w:eastAsia="zh-CN"/>
              </w:rPr>
            </w:pPr>
            <w:r>
              <w:rPr>
                <w:rFonts w:hint="default" w:ascii="Times New Roman" w:hAnsi="Times New Roman" w:eastAsia="宋体" w:cs="Times New Roman"/>
                <w:color w:val="auto"/>
                <w:position w:val="1"/>
                <w:sz w:val="21"/>
                <w:szCs w:val="21"/>
                <w:lang w:val="en-US" w:eastAsia="zh-CN"/>
              </w:rPr>
              <w:t>1</w:t>
            </w:r>
          </w:p>
        </w:tc>
        <w:tc>
          <w:tcPr>
            <w:tcW w:w="53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z w:val="21"/>
                <w:szCs w:val="21"/>
                <w:lang w:val="en-US" w:eastAsia="zh-CN"/>
              </w:rPr>
              <w:t>线路工程</w:t>
            </w:r>
          </w:p>
        </w:tc>
        <w:tc>
          <w:tcPr>
            <w:tcW w:w="802"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cs="Times New Roman" w:eastAsiaTheme="minorEastAsia"/>
                <w:b w:val="0"/>
                <w:bCs/>
                <w:color w:val="auto"/>
                <w:kern w:val="2"/>
                <w:sz w:val="21"/>
                <w:szCs w:val="21"/>
                <w:lang w:val="en-US" w:eastAsia="zh-CN" w:bidi="ar-SA"/>
              </w:rPr>
            </w:pPr>
            <w:r>
              <w:rPr>
                <w:rFonts w:hint="default" w:ascii="Times New Roman" w:hAnsi="Times New Roman" w:eastAsia="宋体" w:cs="Times New Roman"/>
                <w:b w:val="0"/>
                <w:bCs/>
                <w:color w:val="auto"/>
                <w:sz w:val="21"/>
                <w:szCs w:val="21"/>
                <w:lang w:val="en-US" w:eastAsia="zh-CN"/>
              </w:rPr>
              <w:t>卧马线民房</w:t>
            </w:r>
          </w:p>
        </w:tc>
        <w:tc>
          <w:tcPr>
            <w:tcW w:w="364"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position w:val="1"/>
                <w:sz w:val="21"/>
                <w:szCs w:val="21"/>
                <w:lang w:val="en-US" w:eastAsia="en-US" w:bidi="ar-SA"/>
              </w:rPr>
            </w:pPr>
            <w:r>
              <w:rPr>
                <w:rFonts w:hint="default" w:ascii="Times New Roman" w:hAnsi="Times New Roman" w:eastAsia="宋体" w:cs="Times New Roman"/>
                <w:color w:val="auto"/>
                <w:spacing w:val="5"/>
                <w:sz w:val="21"/>
                <w:szCs w:val="21"/>
                <w:lang w:val="en-US" w:eastAsia="zh-CN"/>
              </w:rPr>
              <w:t>西侧</w:t>
            </w:r>
          </w:p>
        </w:tc>
        <w:tc>
          <w:tcPr>
            <w:tcW w:w="485"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position w:val="1"/>
                <w:sz w:val="21"/>
                <w:szCs w:val="21"/>
                <w:lang w:val="en-US" w:eastAsia="zh-CN" w:bidi="ar-SA"/>
              </w:rPr>
            </w:pPr>
            <w:r>
              <w:rPr>
                <w:rFonts w:hint="default" w:ascii="Times New Roman" w:hAnsi="Times New Roman" w:eastAsia="宋体" w:cs="Times New Roman"/>
                <w:color w:val="auto"/>
                <w:spacing w:val="-1"/>
                <w:position w:val="2"/>
                <w:sz w:val="21"/>
                <w:szCs w:val="21"/>
                <w:lang w:val="en-US" w:eastAsia="zh-CN"/>
              </w:rPr>
              <w:t>40m</w:t>
            </w:r>
          </w:p>
        </w:tc>
        <w:tc>
          <w:tcPr>
            <w:tcW w:w="458"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position w:val="1"/>
                <w:sz w:val="21"/>
                <w:szCs w:val="21"/>
                <w:lang w:val="en-US" w:eastAsia="en-US" w:bidi="ar-SA"/>
              </w:rPr>
            </w:pPr>
            <w:r>
              <w:rPr>
                <w:rFonts w:hint="default" w:ascii="Times New Roman" w:hAnsi="Times New Roman" w:eastAsia="宋体" w:cs="Times New Roman"/>
                <w:color w:val="auto"/>
                <w:spacing w:val="-10"/>
                <w:position w:val="1"/>
                <w:sz w:val="21"/>
                <w:szCs w:val="21"/>
              </w:rPr>
              <w:t>1</w:t>
            </w:r>
            <w:r>
              <w:rPr>
                <w:rFonts w:hint="default" w:ascii="Times New Roman" w:hAnsi="Times New Roman" w:eastAsia="宋体" w:cs="Times New Roman"/>
                <w:color w:val="auto"/>
                <w:spacing w:val="12"/>
                <w:position w:val="1"/>
                <w:sz w:val="21"/>
                <w:szCs w:val="21"/>
              </w:rPr>
              <w:t xml:space="preserve"> </w:t>
            </w:r>
            <w:r>
              <w:rPr>
                <w:rFonts w:hint="default" w:ascii="Times New Roman" w:hAnsi="Times New Roman" w:eastAsia="宋体" w:cs="Times New Roman"/>
                <w:color w:val="auto"/>
                <w:spacing w:val="-10"/>
                <w:position w:val="1"/>
                <w:sz w:val="21"/>
                <w:szCs w:val="21"/>
              </w:rPr>
              <w:t>层</w:t>
            </w:r>
          </w:p>
        </w:tc>
        <w:tc>
          <w:tcPr>
            <w:tcW w:w="503"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position w:val="1"/>
                <w:sz w:val="21"/>
                <w:szCs w:val="21"/>
                <w:lang w:val="en-US" w:eastAsia="zh-CN" w:bidi="ar-SA"/>
              </w:rPr>
            </w:pPr>
            <w:r>
              <w:rPr>
                <w:rFonts w:hint="default" w:ascii="Times New Roman" w:hAnsi="Times New Roman" w:eastAsia="宋体" w:cs="Times New Roman"/>
                <w:color w:val="auto"/>
                <w:spacing w:val="4"/>
                <w:position w:val="1"/>
                <w:sz w:val="21"/>
                <w:szCs w:val="21"/>
              </w:rPr>
              <w:t>4m</w:t>
            </w:r>
          </w:p>
        </w:tc>
        <w:tc>
          <w:tcPr>
            <w:tcW w:w="410"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position w:val="1"/>
                <w:sz w:val="21"/>
                <w:szCs w:val="21"/>
                <w:lang w:val="en-US" w:eastAsia="en-US" w:bidi="ar-SA"/>
              </w:rPr>
            </w:pPr>
            <w:r>
              <w:rPr>
                <w:rFonts w:hint="default" w:ascii="Times New Roman" w:hAnsi="Times New Roman" w:eastAsia="宋体" w:cs="Times New Roman"/>
                <w:color w:val="auto"/>
                <w:spacing w:val="-10"/>
                <w:position w:val="1"/>
                <w:sz w:val="21"/>
                <w:szCs w:val="21"/>
              </w:rPr>
              <w:t>1</w:t>
            </w:r>
            <w:r>
              <w:rPr>
                <w:rFonts w:hint="default" w:ascii="Times New Roman" w:hAnsi="Times New Roman" w:eastAsia="宋体" w:cs="Times New Roman"/>
                <w:color w:val="auto"/>
                <w:spacing w:val="12"/>
                <w:position w:val="1"/>
                <w:sz w:val="21"/>
                <w:szCs w:val="21"/>
              </w:rPr>
              <w:t xml:space="preserve"> </w:t>
            </w:r>
            <w:r>
              <w:rPr>
                <w:rFonts w:hint="default" w:ascii="Times New Roman" w:hAnsi="Times New Roman" w:eastAsia="宋体" w:cs="Times New Roman"/>
                <w:color w:val="auto"/>
                <w:spacing w:val="-10"/>
                <w:position w:val="1"/>
                <w:sz w:val="21"/>
                <w:szCs w:val="21"/>
              </w:rPr>
              <w:t>栋</w:t>
            </w:r>
          </w:p>
        </w:tc>
        <w:tc>
          <w:tcPr>
            <w:tcW w:w="356"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position w:val="1"/>
                <w:sz w:val="21"/>
                <w:szCs w:val="21"/>
                <w:lang w:val="en-US" w:eastAsia="en-US" w:bidi="ar-SA"/>
              </w:rPr>
            </w:pPr>
            <w:r>
              <w:rPr>
                <w:rFonts w:hint="default" w:ascii="Times New Roman" w:hAnsi="Times New Roman" w:eastAsia="宋体" w:cs="Times New Roman"/>
                <w:color w:val="auto"/>
                <w:spacing w:val="5"/>
                <w:sz w:val="21"/>
                <w:szCs w:val="21"/>
              </w:rPr>
              <w:t>住宅</w:t>
            </w:r>
          </w:p>
        </w:tc>
        <w:tc>
          <w:tcPr>
            <w:tcW w:w="414" w:type="pct"/>
            <w:shd w:val="clear" w:color="auto" w:fill="auto"/>
            <w:vAlign w:val="center"/>
          </w:tcPr>
          <w:p>
            <w:pPr>
              <w:pStyle w:val="38"/>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①②③</w:t>
            </w:r>
          </w:p>
        </w:tc>
        <w:tc>
          <w:tcPr>
            <w:tcW w:w="352" w:type="pct"/>
            <w:shd w:val="clear" w:color="auto" w:fill="auto"/>
            <w:vAlign w:val="center"/>
          </w:tcPr>
          <w:p>
            <w:pPr>
              <w:pStyle w:val="28"/>
              <w:ind w:firstLine="0" w:firstLineChars="0"/>
              <w:rPr>
                <w:rFonts w:hint="default" w:ascii="Times New Roman" w:hAnsi="Times New Roman" w:eastAsia="宋体" w:cs="Times New Roman"/>
                <w:b w:val="0"/>
                <w:bCs w:val="0"/>
                <w:color w:val="auto"/>
                <w:spacing w:val="3"/>
                <w:kern w:val="0"/>
                <w:sz w:val="21"/>
                <w:szCs w:val="21"/>
                <w:lang w:val="en-US" w:eastAsia="zh-CN" w:bidi="ar-SA"/>
              </w:rPr>
            </w:pPr>
            <w:r>
              <w:rPr>
                <w:rFonts w:hint="default" w:ascii="Times New Roman" w:hAnsi="Times New Roman" w:eastAsia="宋体" w:cs="Times New Roman"/>
                <w:b w:val="0"/>
                <w:bCs w:val="0"/>
                <w:color w:val="auto"/>
                <w:spacing w:val="3"/>
                <w:kern w:val="0"/>
                <w:sz w:val="21"/>
                <w:szCs w:val="21"/>
                <w:lang w:val="en-US" w:eastAsia="zh-CN" w:bidi="ar-SA"/>
              </w:rPr>
              <w:t>大于7.5m</w:t>
            </w:r>
          </w:p>
        </w:tc>
      </w:tr>
    </w:tbl>
    <w:p>
      <w:pPr>
        <w:pStyle w:val="51"/>
        <w:spacing w:line="240" w:lineRule="auto"/>
        <w:ind w:left="42" w:right="42" w:firstLine="0" w:firstLineChars="0"/>
        <w:rPr>
          <w:rFonts w:cs="Times New Roman"/>
          <w:b/>
          <w:bCs/>
          <w:color w:val="auto"/>
        </w:rPr>
      </w:pPr>
      <w:r>
        <w:rPr>
          <w:rFonts w:cs="Times New Roman"/>
          <w:b/>
          <w:bCs/>
          <w:color w:val="auto"/>
        </w:rPr>
        <w:t>注：</w:t>
      </w:r>
      <w:r>
        <w:rPr>
          <w:rFonts w:hint="eastAsia" w:ascii="宋体" w:hAnsi="宋体" w:eastAsia="宋体" w:cs="宋体"/>
          <w:b/>
          <w:bCs/>
          <w:color w:val="auto"/>
        </w:rPr>
        <w:t>①</w:t>
      </w:r>
      <w:r>
        <w:rPr>
          <w:rFonts w:cs="Times New Roman"/>
          <w:b/>
          <w:bCs/>
          <w:color w:val="auto"/>
        </w:rPr>
        <w:t>工频电场</w:t>
      </w:r>
      <w:r>
        <w:rPr>
          <w:rFonts w:hint="eastAsia" w:ascii="宋体" w:hAnsi="宋体" w:eastAsia="宋体" w:cs="宋体"/>
          <w:b/>
          <w:bCs/>
          <w:color w:val="auto"/>
        </w:rPr>
        <w:t>②</w:t>
      </w:r>
      <w:r>
        <w:rPr>
          <w:rFonts w:cs="Times New Roman"/>
          <w:b/>
          <w:bCs/>
          <w:color w:val="auto"/>
        </w:rPr>
        <w:t>工频磁场</w:t>
      </w:r>
      <w:r>
        <w:rPr>
          <w:rFonts w:hint="eastAsia" w:ascii="宋体" w:hAnsi="宋体" w:eastAsia="宋体" w:cs="宋体"/>
          <w:b/>
          <w:bCs/>
          <w:color w:val="auto"/>
        </w:rPr>
        <w:t>③</w:t>
      </w:r>
      <w:r>
        <w:rPr>
          <w:rFonts w:cs="Times New Roman"/>
          <w:b/>
          <w:bCs/>
          <w:color w:val="auto"/>
        </w:rPr>
        <w:t>噪声</w:t>
      </w:r>
    </w:p>
    <w:p>
      <w:pPr>
        <w:pStyle w:val="5"/>
        <w:rPr>
          <w:rFonts w:hint="eastAsia"/>
        </w:rPr>
      </w:pPr>
    </w:p>
    <w:p>
      <w:pPr>
        <w:keepNext w:val="0"/>
        <w:keepLines w:val="0"/>
        <w:pageBreakBefore w:val="0"/>
        <w:widowControl w:val="0"/>
        <w:kinsoku/>
        <w:wordWrap/>
        <w:overflowPunct/>
        <w:topLinePunct w:val="0"/>
        <w:autoSpaceDE/>
        <w:autoSpaceDN/>
        <w:bidi w:val="0"/>
        <w:spacing w:line="360" w:lineRule="auto"/>
        <w:ind w:left="5"/>
        <w:textAlignment w:val="auto"/>
        <w:outlineLvl w:val="2"/>
        <w:rPr>
          <w:rFonts w:ascii="Times New Roman" w:hAnsi="Times New Roman" w:eastAsia="Times New Roman" w:cs="Times New Roman"/>
          <w:b/>
          <w:bCs/>
          <w:color w:val="auto"/>
          <w:spacing w:val="-4"/>
          <w:sz w:val="24"/>
          <w:szCs w:val="24"/>
          <w:lang w:eastAsia="zh-CN"/>
        </w:rPr>
      </w:pPr>
      <w:bookmarkStart w:id="50" w:name="_Toc173484754"/>
      <w:r>
        <w:rPr>
          <w:rFonts w:hint="eastAsia" w:ascii="Times New Roman" w:hAnsi="Times New Roman" w:eastAsia="Times New Roman" w:cs="Times New Roman"/>
          <w:b/>
          <w:bCs/>
          <w:color w:val="auto"/>
          <w:spacing w:val="-4"/>
          <w:sz w:val="24"/>
          <w:szCs w:val="24"/>
          <w:lang w:val="en-US" w:eastAsia="zh-CN"/>
        </w:rPr>
        <w:t>1.6</w:t>
      </w:r>
      <w:r>
        <w:rPr>
          <w:rFonts w:ascii="Times New Roman" w:hAnsi="Times New Roman" w:eastAsia="Times New Roman" w:cs="Times New Roman"/>
          <w:b/>
          <w:bCs/>
          <w:color w:val="auto"/>
          <w:spacing w:val="-4"/>
          <w:sz w:val="24"/>
          <w:szCs w:val="24"/>
          <w:lang w:eastAsia="zh-CN"/>
        </w:rPr>
        <w:t>电磁环境现状评价</w:t>
      </w:r>
      <w:bookmarkEnd w:id="50"/>
    </w:p>
    <w:p>
      <w:pPr>
        <w:pStyle w:val="5"/>
        <w:keepNext w:val="0"/>
        <w:keepLines w:val="0"/>
        <w:pageBreakBefore w:val="0"/>
        <w:widowControl w:val="0"/>
        <w:kinsoku/>
        <w:wordWrap/>
        <w:overflowPunct/>
        <w:topLinePunct w:val="0"/>
        <w:autoSpaceDE/>
        <w:autoSpaceDN/>
        <w:bidi w:val="0"/>
        <w:spacing w:line="360" w:lineRule="auto"/>
        <w:textAlignment w:val="auto"/>
        <w:rPr>
          <w:rFonts w:hint="eastAsia"/>
        </w:rPr>
      </w:pPr>
      <w:r>
        <w:rPr>
          <w:rFonts w:cs="Times New Roman" w:eastAsiaTheme="minorEastAsia"/>
          <w:color w:val="auto"/>
          <w:lang w:eastAsia="zh-CN"/>
        </w:rPr>
        <w:t>根据《</w:t>
      </w:r>
      <w:r>
        <w:rPr>
          <w:rFonts w:hint="eastAsia" w:cs="Times New Roman" w:eastAsiaTheme="minorEastAsia"/>
          <w:color w:val="auto"/>
          <w:lang w:eastAsia="zh-CN"/>
        </w:rPr>
        <w:t>环境影响评价技术导则 输变电</w:t>
      </w:r>
      <w:r>
        <w:rPr>
          <w:rFonts w:cs="Times New Roman" w:eastAsiaTheme="minorEastAsia"/>
          <w:color w:val="auto"/>
          <w:lang w:eastAsia="zh-CN"/>
        </w:rPr>
        <w:t>》（HJ24-2020</w:t>
      </w:r>
      <w:r>
        <w:rPr>
          <w:rFonts w:cs="Times New Roman" w:eastAsiaTheme="minorEastAsia"/>
          <w:color w:val="auto"/>
          <w:spacing w:val="12"/>
          <w:lang w:eastAsia="zh-CN"/>
        </w:rPr>
        <w:t>），</w:t>
      </w:r>
      <w:r>
        <w:rPr>
          <w:rFonts w:cs="Times New Roman" w:eastAsiaTheme="minorEastAsia"/>
          <w:color w:val="auto"/>
          <w:lang w:eastAsia="zh-CN"/>
        </w:rPr>
        <w:t>220kV输电线路评价范围工</w:t>
      </w:r>
      <w:r>
        <w:rPr>
          <w:rFonts w:cs="Times New Roman" w:eastAsiaTheme="minorEastAsia"/>
          <w:color w:val="auto"/>
          <w:spacing w:val="-8"/>
          <w:lang w:eastAsia="zh-CN"/>
        </w:rPr>
        <w:t>频电场、工频磁场：输电线路边导线地面投影</w:t>
      </w:r>
      <w:r>
        <w:rPr>
          <w:rFonts w:cs="Times New Roman" w:eastAsiaTheme="minorEastAsia"/>
          <w:color w:val="auto"/>
          <w:spacing w:val="-9"/>
          <w:lang w:eastAsia="zh-CN"/>
        </w:rPr>
        <w:t>外两侧各40m的区域。根据</w:t>
      </w:r>
      <w:r>
        <w:rPr>
          <w:rFonts w:hint="eastAsia" w:cs="Times New Roman" w:eastAsiaTheme="minorEastAsia"/>
          <w:color w:val="auto"/>
          <w:spacing w:val="-9"/>
          <w:lang w:eastAsia="zh-CN"/>
        </w:rPr>
        <w:t>现场勘查</w:t>
      </w:r>
      <w:r>
        <w:rPr>
          <w:rFonts w:cs="Times New Roman" w:eastAsiaTheme="minorEastAsia"/>
          <w:color w:val="auto"/>
          <w:spacing w:val="-9"/>
          <w:lang w:eastAsia="zh-CN"/>
        </w:rPr>
        <w:t>，本项</w:t>
      </w:r>
      <w:r>
        <w:rPr>
          <w:rFonts w:cs="Times New Roman" w:eastAsiaTheme="minorEastAsia"/>
          <w:color w:val="auto"/>
          <w:spacing w:val="-5"/>
          <w:lang w:eastAsia="zh-CN"/>
        </w:rPr>
        <w:t>目评价范围内有</w:t>
      </w:r>
      <w:r>
        <w:rPr>
          <w:rFonts w:hint="eastAsia" w:cs="Times New Roman" w:eastAsiaTheme="minorEastAsia"/>
          <w:color w:val="auto"/>
          <w:spacing w:val="-5"/>
          <w:lang w:val="en-US" w:eastAsia="zh-CN"/>
        </w:rPr>
        <w:t>1</w:t>
      </w:r>
      <w:r>
        <w:rPr>
          <w:rFonts w:cs="Times New Roman" w:eastAsiaTheme="minorEastAsia"/>
          <w:color w:val="auto"/>
          <w:spacing w:val="-5"/>
          <w:lang w:eastAsia="zh-CN"/>
        </w:rPr>
        <w:t>处电磁环境敏感目标。</w:t>
      </w:r>
    </w:p>
    <w:p>
      <w:pPr>
        <w:spacing w:before="31" w:line="223" w:lineRule="auto"/>
        <w:ind w:left="3325"/>
        <w:rPr>
          <w:rFonts w:hint="eastAsia" w:ascii="宋体" w:hAnsi="宋体" w:eastAsia="宋体" w:cs="宋体"/>
          <w:color w:val="auto"/>
          <w:sz w:val="21"/>
          <w:szCs w:val="21"/>
        </w:rPr>
      </w:pPr>
      <w:r>
        <w:rPr>
          <w:rFonts w:hint="eastAsia" w:ascii="宋体" w:hAnsi="宋体" w:eastAsia="宋体" w:cs="宋体"/>
          <w:b/>
          <w:bCs/>
          <w:color w:val="auto"/>
          <w:spacing w:val="7"/>
          <w:sz w:val="21"/>
          <w:szCs w:val="21"/>
        </w:rPr>
        <w:t>表1-</w:t>
      </w:r>
      <w:r>
        <w:rPr>
          <w:rFonts w:hint="eastAsia" w:ascii="宋体" w:hAnsi="宋体" w:eastAsia="宋体" w:cs="宋体"/>
          <w:b/>
          <w:bCs/>
          <w:color w:val="auto"/>
          <w:spacing w:val="7"/>
          <w:sz w:val="21"/>
          <w:szCs w:val="21"/>
          <w:lang w:val="en-US" w:eastAsia="zh-CN"/>
        </w:rPr>
        <w:t>4</w:t>
      </w:r>
      <w:r>
        <w:rPr>
          <w:rFonts w:hint="eastAsia" w:ascii="宋体" w:hAnsi="宋体" w:eastAsia="宋体" w:cs="宋体"/>
          <w:b/>
          <w:bCs/>
          <w:color w:val="auto"/>
          <w:spacing w:val="7"/>
          <w:sz w:val="21"/>
          <w:szCs w:val="21"/>
        </w:rPr>
        <w:t>电磁环境现状监测与评价</w:t>
      </w:r>
    </w:p>
    <w:tbl>
      <w:tblPr>
        <w:tblStyle w:val="31"/>
        <w:tblW w:w="9443" w:type="dxa"/>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27"/>
        <w:gridCol w:w="1182"/>
        <w:gridCol w:w="3792"/>
        <w:gridCol w:w="2280"/>
        <w:gridCol w:w="15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4" w:hRule="atLeast"/>
        </w:trPr>
        <w:tc>
          <w:tcPr>
            <w:tcW w:w="627"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7"/>
                <w:sz w:val="21"/>
                <w:szCs w:val="21"/>
              </w:rPr>
              <w:t>评价等</w:t>
            </w:r>
            <w:r>
              <w:rPr>
                <w:rFonts w:hint="eastAsia" w:ascii="宋体" w:hAnsi="宋体" w:eastAsia="宋体" w:cs="宋体"/>
                <w:color w:val="auto"/>
                <w:sz w:val="21"/>
                <w:szCs w:val="21"/>
              </w:rPr>
              <w:t>级</w:t>
            </w:r>
          </w:p>
        </w:tc>
        <w:tc>
          <w:tcPr>
            <w:tcW w:w="1182"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4"/>
                <w:sz w:val="21"/>
                <w:szCs w:val="21"/>
              </w:rPr>
              <w:t>类型</w:t>
            </w:r>
          </w:p>
        </w:tc>
        <w:tc>
          <w:tcPr>
            <w:tcW w:w="3792"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8"/>
                <w:sz w:val="21"/>
                <w:szCs w:val="21"/>
              </w:rPr>
              <w:t>现状监测方法及要求</w:t>
            </w:r>
          </w:p>
        </w:tc>
        <w:tc>
          <w:tcPr>
            <w:tcW w:w="2280"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7"/>
                <w:sz w:val="21"/>
                <w:szCs w:val="21"/>
              </w:rPr>
              <w:t>现状评价要求</w:t>
            </w:r>
          </w:p>
        </w:tc>
        <w:tc>
          <w:tcPr>
            <w:tcW w:w="1562"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7"/>
                <w:sz w:val="21"/>
                <w:szCs w:val="21"/>
              </w:rPr>
              <w:t>本项目情况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94" w:hRule="atLeast"/>
        </w:trPr>
        <w:tc>
          <w:tcPr>
            <w:tcW w:w="627" w:type="dxa"/>
            <w:vMerge w:val="restart"/>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3"/>
                <w:sz w:val="21"/>
                <w:szCs w:val="21"/>
              </w:rPr>
              <w:t>一级</w:t>
            </w:r>
          </w:p>
        </w:tc>
        <w:tc>
          <w:tcPr>
            <w:tcW w:w="1182"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7"/>
                <w:sz w:val="21"/>
                <w:szCs w:val="21"/>
              </w:rPr>
              <w:t>输电线路</w:t>
            </w:r>
          </w:p>
        </w:tc>
        <w:tc>
          <w:tcPr>
            <w:tcW w:w="3792"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9"/>
                <w:sz w:val="21"/>
                <w:szCs w:val="21"/>
              </w:rPr>
              <w:t>评价范围内具有代表性的电磁环境敏感目标和典型线位的电磁环</w:t>
            </w:r>
            <w:r>
              <w:rPr>
                <w:rFonts w:hint="eastAsia" w:ascii="宋体" w:hAnsi="宋体" w:eastAsia="宋体" w:cs="宋体"/>
                <w:color w:val="auto"/>
                <w:spacing w:val="8"/>
                <w:sz w:val="21"/>
                <w:szCs w:val="21"/>
              </w:rPr>
              <w:t>境现状应实测</w:t>
            </w:r>
          </w:p>
        </w:tc>
        <w:tc>
          <w:tcPr>
            <w:tcW w:w="2280"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8"/>
                <w:sz w:val="21"/>
                <w:szCs w:val="21"/>
              </w:rPr>
              <w:t>对实测结果进行评价，并分析现有电磁源的构成及其对电磁环境敏感</w:t>
            </w:r>
            <w:r>
              <w:rPr>
                <w:rFonts w:hint="eastAsia" w:ascii="宋体" w:hAnsi="宋体" w:eastAsia="宋体" w:cs="宋体"/>
                <w:color w:val="auto"/>
                <w:sz w:val="21"/>
                <w:szCs w:val="21"/>
              </w:rPr>
              <w:t>目标的影响</w:t>
            </w:r>
          </w:p>
        </w:tc>
        <w:tc>
          <w:tcPr>
            <w:tcW w:w="1562"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2"/>
                <w:position w:val="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93" w:hRule="atLeast"/>
        </w:trPr>
        <w:tc>
          <w:tcPr>
            <w:tcW w:w="627" w:type="dxa"/>
            <w:vMerge w:val="continue"/>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p>
        </w:tc>
        <w:tc>
          <w:tcPr>
            <w:tcW w:w="1182"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5"/>
                <w:sz w:val="21"/>
                <w:szCs w:val="21"/>
              </w:rPr>
              <w:t>变电站、</w:t>
            </w:r>
            <w:r>
              <w:rPr>
                <w:rFonts w:hint="eastAsia" w:ascii="宋体" w:hAnsi="宋体" w:eastAsia="宋体" w:cs="宋体"/>
                <w:color w:val="auto"/>
                <w:spacing w:val="4"/>
                <w:sz w:val="21"/>
                <w:szCs w:val="21"/>
              </w:rPr>
              <w:t>换流站、</w:t>
            </w:r>
            <w:r>
              <w:rPr>
                <w:rFonts w:hint="eastAsia" w:ascii="宋体" w:hAnsi="宋体" w:eastAsia="宋体" w:cs="宋体"/>
                <w:color w:val="auto"/>
                <w:spacing w:val="-2"/>
                <w:sz w:val="21"/>
                <w:szCs w:val="21"/>
              </w:rPr>
              <w:t>开关站、</w:t>
            </w:r>
            <w:r>
              <w:rPr>
                <w:rFonts w:hint="eastAsia" w:ascii="宋体" w:hAnsi="宋体" w:eastAsia="宋体" w:cs="宋体"/>
                <w:color w:val="auto"/>
                <w:sz w:val="21"/>
                <w:szCs w:val="21"/>
              </w:rPr>
              <w:t>串补站</w:t>
            </w:r>
          </w:p>
        </w:tc>
        <w:tc>
          <w:tcPr>
            <w:tcW w:w="3792"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9"/>
                <w:sz w:val="21"/>
                <w:szCs w:val="21"/>
              </w:rPr>
              <w:t>其评价范围内临近各侧站界的电磁环境敏感目标和站界的电磁环</w:t>
            </w:r>
            <w:r>
              <w:rPr>
                <w:rFonts w:hint="eastAsia" w:ascii="宋体" w:hAnsi="宋体" w:eastAsia="宋体" w:cs="宋体"/>
                <w:color w:val="auto"/>
                <w:spacing w:val="8"/>
                <w:sz w:val="21"/>
                <w:szCs w:val="21"/>
              </w:rPr>
              <w:t>境现状应实测</w:t>
            </w:r>
          </w:p>
        </w:tc>
        <w:tc>
          <w:tcPr>
            <w:tcW w:w="2280"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8"/>
                <w:sz w:val="21"/>
                <w:szCs w:val="21"/>
              </w:rPr>
              <w:t>对实测结果进行评价，分析现有电磁源的构成</w:t>
            </w:r>
            <w:r>
              <w:rPr>
                <w:rFonts w:hint="eastAsia" w:ascii="宋体" w:hAnsi="宋体" w:eastAsia="宋体" w:cs="宋体"/>
                <w:color w:val="auto"/>
                <w:spacing w:val="9"/>
                <w:sz w:val="21"/>
                <w:szCs w:val="21"/>
              </w:rPr>
              <w:t>及其对电磁环境敏感目</w:t>
            </w:r>
            <w:r>
              <w:rPr>
                <w:rFonts w:hint="eastAsia" w:ascii="宋体" w:hAnsi="宋体" w:eastAsia="宋体" w:cs="宋体"/>
                <w:color w:val="auto"/>
                <w:spacing w:val="7"/>
                <w:sz w:val="21"/>
                <w:szCs w:val="21"/>
              </w:rPr>
              <w:t>标的影响</w:t>
            </w:r>
          </w:p>
        </w:tc>
        <w:tc>
          <w:tcPr>
            <w:tcW w:w="1562"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2"/>
                <w:position w:val="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22" w:hRule="atLeast"/>
        </w:trPr>
        <w:tc>
          <w:tcPr>
            <w:tcW w:w="627" w:type="dxa"/>
            <w:vMerge w:val="restart"/>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3"/>
                <w:sz w:val="21"/>
                <w:szCs w:val="21"/>
              </w:rPr>
              <w:t>二级</w:t>
            </w:r>
          </w:p>
        </w:tc>
        <w:tc>
          <w:tcPr>
            <w:tcW w:w="1182"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7"/>
                <w:sz w:val="21"/>
                <w:szCs w:val="21"/>
              </w:rPr>
              <w:t>输电线路</w:t>
            </w:r>
          </w:p>
        </w:tc>
        <w:tc>
          <w:tcPr>
            <w:tcW w:w="3792"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9"/>
                <w:sz w:val="21"/>
                <w:szCs w:val="21"/>
              </w:rPr>
              <w:t>评价范围内具有代表性的电磁环境敏感目标的电磁环境现状应实</w:t>
            </w:r>
            <w:r>
              <w:rPr>
                <w:rFonts w:hint="eastAsia" w:ascii="宋体" w:hAnsi="宋体" w:eastAsia="宋体" w:cs="宋体"/>
                <w:color w:val="auto"/>
                <w:sz w:val="21"/>
                <w:szCs w:val="21"/>
              </w:rPr>
              <w:t>测</w:t>
            </w:r>
          </w:p>
        </w:tc>
        <w:tc>
          <w:tcPr>
            <w:tcW w:w="2280"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9"/>
                <w:sz w:val="21"/>
                <w:szCs w:val="21"/>
              </w:rPr>
              <w:t>对电磁环境现状进行评</w:t>
            </w:r>
            <w:r>
              <w:rPr>
                <w:rFonts w:hint="eastAsia" w:ascii="宋体" w:hAnsi="宋体" w:eastAsia="宋体" w:cs="宋体"/>
                <w:color w:val="auto"/>
                <w:sz w:val="21"/>
                <w:szCs w:val="21"/>
              </w:rPr>
              <w:t>价</w:t>
            </w:r>
          </w:p>
        </w:tc>
        <w:tc>
          <w:tcPr>
            <w:tcW w:w="1562"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2"/>
                <w:position w:val="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66" w:hRule="atLeast"/>
        </w:trPr>
        <w:tc>
          <w:tcPr>
            <w:tcW w:w="627" w:type="dxa"/>
            <w:vMerge w:val="continue"/>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p>
        </w:tc>
        <w:tc>
          <w:tcPr>
            <w:tcW w:w="1182" w:type="dxa"/>
            <w:vMerge w:val="restart"/>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5"/>
                <w:sz w:val="21"/>
                <w:szCs w:val="21"/>
              </w:rPr>
              <w:t>变电站、</w:t>
            </w:r>
            <w:r>
              <w:rPr>
                <w:rFonts w:hint="eastAsia" w:ascii="宋体" w:hAnsi="宋体" w:eastAsia="宋体" w:cs="宋体"/>
                <w:color w:val="auto"/>
                <w:spacing w:val="4"/>
                <w:sz w:val="21"/>
                <w:szCs w:val="21"/>
              </w:rPr>
              <w:t>换流站、</w:t>
            </w:r>
            <w:r>
              <w:rPr>
                <w:rFonts w:hint="eastAsia" w:ascii="宋体" w:hAnsi="宋体" w:eastAsia="宋体" w:cs="宋体"/>
                <w:color w:val="auto"/>
                <w:spacing w:val="-2"/>
                <w:sz w:val="21"/>
                <w:szCs w:val="21"/>
              </w:rPr>
              <w:t>开关站、</w:t>
            </w:r>
            <w:r>
              <w:rPr>
                <w:rFonts w:hint="eastAsia" w:ascii="宋体" w:hAnsi="宋体" w:eastAsia="宋体" w:cs="宋体"/>
                <w:color w:val="auto"/>
                <w:sz w:val="21"/>
                <w:szCs w:val="21"/>
              </w:rPr>
              <w:t>串补站</w:t>
            </w:r>
          </w:p>
        </w:tc>
        <w:tc>
          <w:tcPr>
            <w:tcW w:w="3792"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4"/>
                <w:sz w:val="21"/>
                <w:szCs w:val="21"/>
              </w:rPr>
              <w:t>电磁环境敏感目标的电磁环境现</w:t>
            </w:r>
            <w:r>
              <w:rPr>
                <w:rFonts w:hint="eastAsia" w:ascii="宋体" w:hAnsi="宋体" w:eastAsia="宋体" w:cs="宋体"/>
                <w:color w:val="auto"/>
                <w:spacing w:val="-1"/>
                <w:sz w:val="21"/>
                <w:szCs w:val="21"/>
              </w:rPr>
              <w:t>状应实测，非电磁环境敏感目标处</w:t>
            </w:r>
            <w:r>
              <w:rPr>
                <w:rFonts w:hint="eastAsia" w:ascii="宋体" w:hAnsi="宋体" w:eastAsia="宋体" w:cs="宋体"/>
                <w:color w:val="auto"/>
                <w:spacing w:val="2"/>
                <w:sz w:val="21"/>
                <w:szCs w:val="21"/>
              </w:rPr>
              <w:t>的典型线位电磁环境现状可实测，</w:t>
            </w:r>
            <w:r>
              <w:rPr>
                <w:rFonts w:hint="eastAsia" w:ascii="宋体" w:hAnsi="宋体" w:eastAsia="宋体" w:cs="宋体"/>
                <w:color w:val="auto"/>
                <w:spacing w:val="9"/>
                <w:sz w:val="21"/>
                <w:szCs w:val="21"/>
              </w:rPr>
              <w:t>也可利用评价范围内已有的最近</w:t>
            </w:r>
            <w:r>
              <w:rPr>
                <w:rFonts w:hint="eastAsia" w:ascii="宋体" w:hAnsi="宋体" w:eastAsia="宋体" w:cs="宋体"/>
                <w:color w:val="auto"/>
                <w:spacing w:val="10"/>
                <w:sz w:val="21"/>
                <w:szCs w:val="21"/>
              </w:rPr>
              <w:t>3年内的电磁环境现状监测资料</w:t>
            </w:r>
          </w:p>
        </w:tc>
        <w:tc>
          <w:tcPr>
            <w:tcW w:w="2280"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9"/>
                <w:sz w:val="21"/>
                <w:szCs w:val="21"/>
              </w:rPr>
              <w:t>对电磁环境现状进行评</w:t>
            </w:r>
            <w:r>
              <w:rPr>
                <w:rFonts w:hint="eastAsia" w:ascii="宋体" w:hAnsi="宋体" w:eastAsia="宋体" w:cs="宋体"/>
                <w:color w:val="auto"/>
                <w:sz w:val="21"/>
                <w:szCs w:val="21"/>
              </w:rPr>
              <w:t>价</w:t>
            </w:r>
          </w:p>
        </w:tc>
        <w:tc>
          <w:tcPr>
            <w:tcW w:w="1562"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2"/>
                <w:position w:val="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66" w:hRule="atLeast"/>
        </w:trPr>
        <w:tc>
          <w:tcPr>
            <w:tcW w:w="627" w:type="dxa"/>
            <w:vMerge w:val="continue"/>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p>
        </w:tc>
        <w:tc>
          <w:tcPr>
            <w:tcW w:w="1182" w:type="dxa"/>
            <w:vMerge w:val="continue"/>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p>
        </w:tc>
        <w:tc>
          <w:tcPr>
            <w:tcW w:w="3792"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9"/>
                <w:sz w:val="21"/>
                <w:szCs w:val="21"/>
              </w:rPr>
              <w:t>其评价范围内临近各侧站界的电磁环境敏感目标的电磁环境现状应实测，站界电磁环境现状可实</w:t>
            </w:r>
            <w:r>
              <w:rPr>
                <w:rFonts w:hint="eastAsia" w:ascii="宋体" w:hAnsi="宋体" w:eastAsia="宋体" w:cs="宋体"/>
                <w:color w:val="auto"/>
                <w:spacing w:val="1"/>
                <w:position w:val="1"/>
                <w:sz w:val="21"/>
                <w:szCs w:val="21"/>
              </w:rPr>
              <w:t>测，也可利用已有的最近3年内的</w:t>
            </w:r>
            <w:r>
              <w:rPr>
                <w:rFonts w:hint="eastAsia" w:ascii="宋体" w:hAnsi="宋体" w:eastAsia="宋体" w:cs="宋体"/>
                <w:color w:val="auto"/>
                <w:spacing w:val="6"/>
                <w:sz w:val="21"/>
                <w:szCs w:val="21"/>
              </w:rPr>
              <w:t>电磁环境现状监测资料</w:t>
            </w:r>
          </w:p>
        </w:tc>
        <w:tc>
          <w:tcPr>
            <w:tcW w:w="2280"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9"/>
                <w:sz w:val="21"/>
                <w:szCs w:val="21"/>
              </w:rPr>
              <w:t>对电磁环境现状进行评</w:t>
            </w:r>
            <w:r>
              <w:rPr>
                <w:rFonts w:hint="eastAsia" w:ascii="宋体" w:hAnsi="宋体" w:eastAsia="宋体" w:cs="宋体"/>
                <w:color w:val="auto"/>
                <w:sz w:val="21"/>
                <w:szCs w:val="21"/>
              </w:rPr>
              <w:t>价</w:t>
            </w:r>
          </w:p>
        </w:tc>
        <w:tc>
          <w:tcPr>
            <w:tcW w:w="1562"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lang w:eastAsia="zh-CN"/>
              </w:rPr>
            </w:pPr>
            <w:r>
              <w:rPr>
                <w:rFonts w:hint="eastAsia" w:ascii="宋体" w:hAnsi="宋体" w:eastAsia="宋体" w:cs="宋体"/>
                <w:color w:val="auto"/>
                <w:spacing w:val="7"/>
                <w:position w:val="1"/>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38" w:hRule="atLeast"/>
        </w:trPr>
        <w:tc>
          <w:tcPr>
            <w:tcW w:w="627" w:type="dxa"/>
            <w:vMerge w:val="restart"/>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4"/>
                <w:sz w:val="21"/>
                <w:szCs w:val="21"/>
              </w:rPr>
              <w:t>三级</w:t>
            </w:r>
          </w:p>
        </w:tc>
        <w:tc>
          <w:tcPr>
            <w:tcW w:w="1182"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7"/>
                <w:sz w:val="21"/>
                <w:szCs w:val="21"/>
              </w:rPr>
              <w:t>输电线路</w:t>
            </w:r>
          </w:p>
        </w:tc>
        <w:tc>
          <w:tcPr>
            <w:tcW w:w="3792"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9"/>
                <w:sz w:val="21"/>
                <w:szCs w:val="21"/>
              </w:rPr>
              <w:t>重点调查评价范围内主要电磁环境敏感目标和典型线位的电磁环</w:t>
            </w:r>
            <w:r>
              <w:rPr>
                <w:rFonts w:hint="eastAsia" w:ascii="宋体" w:hAnsi="宋体" w:eastAsia="宋体" w:cs="宋体"/>
                <w:color w:val="auto"/>
                <w:spacing w:val="2"/>
                <w:sz w:val="21"/>
                <w:szCs w:val="21"/>
              </w:rPr>
              <w:t>境现状，可利用评价范围内已有的</w:t>
            </w:r>
            <w:r>
              <w:rPr>
                <w:rFonts w:hint="eastAsia" w:ascii="宋体" w:hAnsi="宋体" w:eastAsia="宋体" w:cs="宋体"/>
                <w:color w:val="auto"/>
                <w:spacing w:val="11"/>
                <w:position w:val="1"/>
                <w:sz w:val="21"/>
                <w:szCs w:val="21"/>
              </w:rPr>
              <w:t>最近3年内的电磁环境现状监测</w:t>
            </w:r>
            <w:r>
              <w:rPr>
                <w:rFonts w:hint="eastAsia" w:ascii="宋体" w:hAnsi="宋体" w:eastAsia="宋体" w:cs="宋体"/>
                <w:color w:val="auto"/>
                <w:spacing w:val="2"/>
                <w:sz w:val="21"/>
                <w:szCs w:val="21"/>
              </w:rPr>
              <w:t>资料；若无现状监测资料时应进行实测</w:t>
            </w:r>
          </w:p>
        </w:tc>
        <w:tc>
          <w:tcPr>
            <w:tcW w:w="2280"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9"/>
                <w:sz w:val="21"/>
                <w:szCs w:val="21"/>
              </w:rPr>
              <w:t>对电磁环境现状进行评</w:t>
            </w:r>
            <w:r>
              <w:rPr>
                <w:rFonts w:hint="eastAsia" w:ascii="宋体" w:hAnsi="宋体" w:eastAsia="宋体" w:cs="宋体"/>
                <w:color w:val="auto"/>
                <w:sz w:val="21"/>
                <w:szCs w:val="21"/>
              </w:rPr>
              <w:t>价</w:t>
            </w:r>
          </w:p>
        </w:tc>
        <w:tc>
          <w:tcPr>
            <w:tcW w:w="1562"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color w:val="auto"/>
                <w:sz w:val="21"/>
                <w:szCs w:val="21"/>
                <w:lang w:val="en-US" w:eastAsia="zh-CN"/>
              </w:rPr>
            </w:pPr>
            <w:r>
              <w:rPr>
                <w:rFonts w:hint="eastAsia" w:ascii="宋体" w:hAnsi="宋体" w:eastAsia="宋体" w:cs="宋体"/>
                <w:color w:val="auto"/>
                <w:spacing w:val="2"/>
                <w:position w:val="1"/>
                <w:sz w:val="21"/>
                <w:szCs w:val="21"/>
                <w:lang w:val="en-US" w:eastAsia="zh-CN"/>
              </w:rPr>
              <w:t>本项目为220kV线路送出工程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70" w:hRule="atLeast"/>
        </w:trPr>
        <w:tc>
          <w:tcPr>
            <w:tcW w:w="627" w:type="dxa"/>
            <w:vMerge w:val="continue"/>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p>
        </w:tc>
        <w:tc>
          <w:tcPr>
            <w:tcW w:w="1182"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5"/>
                <w:sz w:val="21"/>
                <w:szCs w:val="21"/>
              </w:rPr>
              <w:t>变电站、</w:t>
            </w:r>
            <w:r>
              <w:rPr>
                <w:rFonts w:hint="eastAsia" w:ascii="宋体" w:hAnsi="宋体" w:eastAsia="宋体" w:cs="宋体"/>
                <w:color w:val="auto"/>
                <w:spacing w:val="4"/>
                <w:sz w:val="21"/>
                <w:szCs w:val="21"/>
              </w:rPr>
              <w:t>换流站、</w:t>
            </w:r>
            <w:r>
              <w:rPr>
                <w:rFonts w:hint="eastAsia" w:ascii="宋体" w:hAnsi="宋体" w:eastAsia="宋体" w:cs="宋体"/>
                <w:color w:val="auto"/>
                <w:spacing w:val="-2"/>
                <w:sz w:val="21"/>
                <w:szCs w:val="21"/>
              </w:rPr>
              <w:t>开关站、</w:t>
            </w:r>
            <w:r>
              <w:rPr>
                <w:rFonts w:hint="eastAsia" w:ascii="宋体" w:hAnsi="宋体" w:eastAsia="宋体" w:cs="宋体"/>
                <w:color w:val="auto"/>
                <w:sz w:val="21"/>
                <w:szCs w:val="21"/>
              </w:rPr>
              <w:t>串补站</w:t>
            </w:r>
          </w:p>
        </w:tc>
        <w:tc>
          <w:tcPr>
            <w:tcW w:w="3792"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9"/>
                <w:sz w:val="21"/>
                <w:szCs w:val="21"/>
              </w:rPr>
              <w:t>重点调查评价范围内主要电磁环</w:t>
            </w:r>
            <w:r>
              <w:rPr>
                <w:rFonts w:hint="eastAsia" w:ascii="宋体" w:hAnsi="宋体" w:eastAsia="宋体" w:cs="宋体"/>
                <w:color w:val="auto"/>
                <w:spacing w:val="13"/>
                <w:sz w:val="21"/>
                <w:szCs w:val="21"/>
              </w:rPr>
              <w:t>境敏感目标和站界的电磁环境现</w:t>
            </w:r>
            <w:r>
              <w:rPr>
                <w:rFonts w:hint="eastAsia" w:ascii="宋体" w:hAnsi="宋体" w:eastAsia="宋体" w:cs="宋体"/>
                <w:color w:val="auto"/>
                <w:spacing w:val="2"/>
                <w:sz w:val="21"/>
                <w:szCs w:val="21"/>
              </w:rPr>
              <w:t>状，可利用评价范围内已有的最近</w:t>
            </w:r>
            <w:r>
              <w:rPr>
                <w:rFonts w:hint="eastAsia" w:ascii="宋体" w:hAnsi="宋体" w:eastAsia="宋体" w:cs="宋体"/>
                <w:color w:val="auto"/>
                <w:spacing w:val="5"/>
                <w:sz w:val="21"/>
                <w:szCs w:val="21"/>
              </w:rPr>
              <w:t>3年内的电磁环境现状监测资料，</w:t>
            </w:r>
            <w:r>
              <w:rPr>
                <w:rFonts w:hint="eastAsia" w:ascii="宋体" w:hAnsi="宋体" w:eastAsia="宋体" w:cs="宋体"/>
                <w:color w:val="auto"/>
                <w:spacing w:val="13"/>
                <w:sz w:val="21"/>
                <w:szCs w:val="21"/>
              </w:rPr>
              <w:t>若无现状监测资料时应进行实测</w:t>
            </w:r>
          </w:p>
        </w:tc>
        <w:tc>
          <w:tcPr>
            <w:tcW w:w="2280"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9"/>
                <w:sz w:val="21"/>
                <w:szCs w:val="21"/>
              </w:rPr>
              <w:t>对电磁环境现状进行评</w:t>
            </w:r>
            <w:r>
              <w:rPr>
                <w:rFonts w:hint="eastAsia" w:ascii="宋体" w:hAnsi="宋体" w:eastAsia="宋体" w:cs="宋体"/>
                <w:color w:val="auto"/>
                <w:sz w:val="21"/>
                <w:szCs w:val="21"/>
              </w:rPr>
              <w:t>价</w:t>
            </w:r>
          </w:p>
        </w:tc>
        <w:tc>
          <w:tcPr>
            <w:tcW w:w="1562" w:type="dxa"/>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color w:val="auto"/>
                <w:sz w:val="21"/>
                <w:szCs w:val="21"/>
              </w:rPr>
            </w:pPr>
            <w:r>
              <w:rPr>
                <w:rFonts w:hint="eastAsia" w:ascii="宋体" w:hAnsi="宋体" w:eastAsia="宋体" w:cs="宋体"/>
                <w:color w:val="auto"/>
                <w:spacing w:val="2"/>
                <w:position w:val="1"/>
                <w:sz w:val="21"/>
                <w:szCs w:val="21"/>
              </w:rPr>
              <w:t>/</w:t>
            </w:r>
          </w:p>
        </w:tc>
      </w:tr>
    </w:tbl>
    <w:p>
      <w:pPr>
        <w:spacing w:before="125" w:line="360" w:lineRule="exact"/>
        <w:ind w:left="428"/>
        <w:outlineLvl w:val="3"/>
        <w:rPr>
          <w:rFonts w:ascii="宋体" w:hAnsi="宋体" w:eastAsia="宋体" w:cs="宋体"/>
          <w:color w:val="auto"/>
          <w:sz w:val="24"/>
          <w:szCs w:val="24"/>
        </w:rPr>
      </w:pPr>
      <w:r>
        <w:rPr>
          <w:rFonts w:ascii="宋体" w:hAnsi="宋体" w:eastAsia="宋体" w:cs="宋体"/>
          <w:color w:val="auto"/>
          <w:spacing w:val="-3"/>
          <w:position w:val="2"/>
          <w:sz w:val="24"/>
          <w:szCs w:val="24"/>
        </w:rPr>
        <w:t>（</w:t>
      </w:r>
      <w:r>
        <w:rPr>
          <w:rFonts w:ascii="Times New Roman" w:hAnsi="Times New Roman" w:eastAsia="Times New Roman" w:cs="Times New Roman"/>
          <w:color w:val="auto"/>
          <w:spacing w:val="-3"/>
          <w:position w:val="2"/>
          <w:sz w:val="24"/>
          <w:szCs w:val="24"/>
        </w:rPr>
        <w:t>1</w:t>
      </w:r>
      <w:r>
        <w:rPr>
          <w:rFonts w:ascii="宋体" w:hAnsi="宋体" w:eastAsia="宋体" w:cs="宋体"/>
          <w:color w:val="auto"/>
          <w:spacing w:val="-3"/>
          <w:position w:val="2"/>
          <w:sz w:val="24"/>
          <w:szCs w:val="24"/>
        </w:rPr>
        <w:t>）监测布点</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6" w:firstLineChars="200"/>
        <w:textAlignment w:val="baseline"/>
        <w:rPr>
          <w:rFonts w:hint="eastAsia" w:ascii="宋体" w:hAnsi="宋体" w:eastAsia="宋体" w:cs="宋体"/>
          <w:color w:val="auto"/>
          <w:spacing w:val="-1"/>
          <w:sz w:val="24"/>
          <w:szCs w:val="24"/>
          <w:lang w:eastAsia="zh-CN"/>
        </w:rPr>
      </w:pPr>
      <w:r>
        <w:rPr>
          <w:rFonts w:ascii="宋体" w:hAnsi="宋体" w:eastAsia="宋体" w:cs="宋体"/>
          <w:color w:val="auto"/>
          <w:spacing w:val="-1"/>
          <w:sz w:val="24"/>
          <w:szCs w:val="24"/>
        </w:rPr>
        <w:t>根据《交流输变电工程电磁环境监测方法》布设电磁监测点位</w:t>
      </w:r>
      <w:r>
        <w:rPr>
          <w:rFonts w:hint="eastAsia" w:ascii="宋体" w:hAnsi="宋体" w:eastAsia="宋体" w:cs="宋体"/>
          <w:color w:val="auto"/>
          <w:spacing w:val="-1"/>
          <w:sz w:val="24"/>
          <w:szCs w:val="24"/>
          <w:lang w:eastAsia="zh-CN"/>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2" w:firstLineChars="200"/>
        <w:textAlignment w:val="baseline"/>
        <w:rPr>
          <w:rFonts w:hint="default" w:ascii="宋体" w:hAnsi="宋体" w:eastAsia="宋体" w:cs="宋体"/>
          <w:color w:val="auto"/>
          <w:spacing w:val="-2"/>
          <w:sz w:val="24"/>
          <w:szCs w:val="24"/>
          <w:lang w:val="en-US" w:eastAsia="zh-CN"/>
        </w:rPr>
      </w:pPr>
      <w:r>
        <w:rPr>
          <w:rFonts w:hint="eastAsia" w:ascii="宋体" w:hAnsi="宋体" w:eastAsia="宋体" w:cs="宋体"/>
          <w:color w:val="auto"/>
          <w:spacing w:val="-2"/>
          <w:sz w:val="24"/>
          <w:szCs w:val="24"/>
          <w:lang w:val="en-US" w:eastAsia="zh-CN"/>
        </w:rPr>
        <w:t>对线路工程</w:t>
      </w:r>
      <w:r>
        <w:rPr>
          <w:rFonts w:ascii="宋体" w:hAnsi="宋体" w:eastAsia="宋体" w:cs="宋体"/>
          <w:color w:val="auto"/>
          <w:spacing w:val="3"/>
          <w:sz w:val="24"/>
          <w:szCs w:val="24"/>
        </w:rPr>
        <w:t>评价范围内</w:t>
      </w:r>
      <w:r>
        <w:rPr>
          <w:rFonts w:hint="eastAsia" w:ascii="宋体" w:hAnsi="宋体" w:eastAsia="宋体" w:cs="宋体"/>
          <w:color w:val="auto"/>
          <w:spacing w:val="-2"/>
          <w:sz w:val="24"/>
          <w:szCs w:val="24"/>
          <w:lang w:val="en-US" w:eastAsia="zh-CN"/>
        </w:rPr>
        <w:t>周边敏感点进行布点监测。</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2" w:firstLineChars="200"/>
        <w:textAlignment w:val="baseline"/>
        <w:outlineLvl w:val="3"/>
        <w:rPr>
          <w:rFonts w:ascii="宋体" w:hAnsi="宋体" w:eastAsia="宋体" w:cs="宋体"/>
          <w:color w:val="auto"/>
          <w:sz w:val="24"/>
          <w:szCs w:val="24"/>
        </w:rPr>
      </w:pPr>
      <w:r>
        <w:rPr>
          <w:rFonts w:ascii="宋体" w:hAnsi="宋体" w:eastAsia="宋体" w:cs="宋体"/>
          <w:color w:val="auto"/>
          <w:spacing w:val="-2"/>
          <w:position w:val="2"/>
          <w:sz w:val="24"/>
          <w:szCs w:val="24"/>
        </w:rPr>
        <w:t>（</w:t>
      </w:r>
      <w:r>
        <w:rPr>
          <w:rFonts w:ascii="Times New Roman" w:hAnsi="Times New Roman" w:eastAsia="Times New Roman" w:cs="Times New Roman"/>
          <w:color w:val="auto"/>
          <w:spacing w:val="-2"/>
          <w:position w:val="2"/>
          <w:sz w:val="24"/>
          <w:szCs w:val="24"/>
        </w:rPr>
        <w:t>2</w:t>
      </w:r>
      <w:r>
        <w:rPr>
          <w:rFonts w:ascii="宋体" w:hAnsi="宋体" w:eastAsia="宋体" w:cs="宋体"/>
          <w:color w:val="auto"/>
          <w:spacing w:val="-2"/>
          <w:position w:val="2"/>
          <w:sz w:val="24"/>
          <w:szCs w:val="24"/>
        </w:rPr>
        <w:t>）监测频次及天气情况</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68" w:firstLineChars="200"/>
        <w:textAlignment w:val="baseline"/>
        <w:rPr>
          <w:rFonts w:ascii="宋体" w:hAnsi="宋体" w:eastAsia="宋体" w:cs="宋体"/>
          <w:color w:val="auto"/>
          <w:sz w:val="24"/>
          <w:szCs w:val="24"/>
        </w:rPr>
      </w:pPr>
      <w:r>
        <w:rPr>
          <w:rFonts w:hint="eastAsia" w:ascii="Times New Roman" w:hAnsi="Times New Roman" w:eastAsia="宋体" w:cs="Times New Roman"/>
          <w:color w:val="auto"/>
          <w:spacing w:val="-3"/>
          <w:sz w:val="24"/>
          <w:szCs w:val="24"/>
          <w:lang w:val="en-US" w:eastAsia="zh-CN"/>
        </w:rPr>
        <w:t>本项目变电站周边敏感目标的监测数据引用《中能国宏100MW/200MWh独立储能电站项目监测报告》，监测时间为</w:t>
      </w:r>
      <w:r>
        <w:rPr>
          <w:rFonts w:ascii="Times New Roman" w:hAnsi="Times New Roman" w:eastAsia="Times New Roman" w:cs="Times New Roman"/>
          <w:color w:val="auto"/>
          <w:spacing w:val="-3"/>
          <w:sz w:val="24"/>
          <w:szCs w:val="24"/>
        </w:rPr>
        <w:t>2025</w:t>
      </w:r>
      <w:r>
        <w:rPr>
          <w:rFonts w:ascii="宋体" w:hAnsi="宋体" w:eastAsia="宋体" w:cs="宋体"/>
          <w:color w:val="auto"/>
          <w:spacing w:val="-3"/>
          <w:sz w:val="24"/>
          <w:szCs w:val="24"/>
        </w:rPr>
        <w:t>年</w:t>
      </w:r>
      <w:r>
        <w:rPr>
          <w:rFonts w:ascii="Times New Roman" w:hAnsi="Times New Roman" w:eastAsia="Times New Roman" w:cs="Times New Roman"/>
          <w:color w:val="auto"/>
          <w:spacing w:val="-3"/>
          <w:sz w:val="24"/>
          <w:szCs w:val="24"/>
        </w:rPr>
        <w:t>11</w:t>
      </w:r>
      <w:r>
        <w:rPr>
          <w:rFonts w:ascii="宋体" w:hAnsi="宋体" w:eastAsia="宋体" w:cs="宋体"/>
          <w:color w:val="auto"/>
          <w:spacing w:val="-3"/>
          <w:sz w:val="24"/>
          <w:szCs w:val="24"/>
        </w:rPr>
        <w:t>月</w:t>
      </w:r>
      <w:r>
        <w:rPr>
          <w:rFonts w:ascii="Times New Roman" w:hAnsi="Times New Roman" w:eastAsia="Times New Roman" w:cs="Times New Roman"/>
          <w:color w:val="auto"/>
          <w:spacing w:val="-3"/>
          <w:sz w:val="24"/>
          <w:szCs w:val="24"/>
        </w:rPr>
        <w:t>22</w:t>
      </w:r>
      <w:r>
        <w:rPr>
          <w:rFonts w:ascii="宋体" w:hAnsi="宋体" w:eastAsia="宋体" w:cs="宋体"/>
          <w:color w:val="auto"/>
          <w:spacing w:val="-3"/>
          <w:sz w:val="24"/>
          <w:szCs w:val="24"/>
        </w:rPr>
        <w:t>日，监测一次，天气为多云，监测温度为</w:t>
      </w:r>
      <w:r>
        <w:rPr>
          <w:rFonts w:ascii="Times New Roman" w:hAnsi="Times New Roman" w:eastAsia="Times New Roman" w:cs="Times New Roman"/>
          <w:color w:val="auto"/>
          <w:spacing w:val="-3"/>
          <w:sz w:val="24"/>
          <w:szCs w:val="24"/>
        </w:rPr>
        <w:t>-2</w:t>
      </w:r>
      <w:r>
        <w:rPr>
          <w:rFonts w:ascii="宋体" w:hAnsi="宋体" w:eastAsia="宋体" w:cs="宋体"/>
          <w:color w:val="auto"/>
          <w:spacing w:val="-3"/>
          <w:sz w:val="24"/>
          <w:szCs w:val="24"/>
        </w:rPr>
        <w:t>℃</w:t>
      </w:r>
      <w:r>
        <w:rPr>
          <w:rFonts w:hint="eastAsia" w:ascii="宋体" w:hAnsi="宋体" w:eastAsia="宋体" w:cs="宋体"/>
          <w:color w:val="auto"/>
          <w:spacing w:val="-3"/>
          <w:sz w:val="24"/>
          <w:szCs w:val="24"/>
          <w:lang w:eastAsia="zh-CN"/>
        </w:rPr>
        <w:t>，</w:t>
      </w:r>
      <w:r>
        <w:rPr>
          <w:rFonts w:ascii="宋体" w:hAnsi="宋体" w:eastAsia="宋体" w:cs="宋体"/>
          <w:color w:val="auto"/>
          <w:spacing w:val="-3"/>
          <w:sz w:val="24"/>
          <w:szCs w:val="24"/>
        </w:rPr>
        <w:t>湿度</w:t>
      </w:r>
      <w:r>
        <w:rPr>
          <w:rFonts w:ascii="Times New Roman" w:hAnsi="Times New Roman" w:eastAsia="Times New Roman" w:cs="Times New Roman"/>
          <w:color w:val="auto"/>
          <w:spacing w:val="-2"/>
          <w:sz w:val="24"/>
          <w:szCs w:val="24"/>
        </w:rPr>
        <w:t>48%</w:t>
      </w:r>
      <w:r>
        <w:rPr>
          <w:rFonts w:ascii="宋体" w:hAnsi="宋体" w:eastAsia="宋体" w:cs="宋体"/>
          <w:color w:val="auto"/>
          <w:spacing w:val="-2"/>
          <w:sz w:val="24"/>
          <w:szCs w:val="24"/>
        </w:rPr>
        <w:t>，西南风，风速</w:t>
      </w:r>
      <w:r>
        <w:rPr>
          <w:rFonts w:ascii="Times New Roman" w:hAnsi="Times New Roman" w:eastAsia="Times New Roman" w:cs="Times New Roman"/>
          <w:color w:val="auto"/>
          <w:spacing w:val="-2"/>
          <w:sz w:val="24"/>
          <w:szCs w:val="24"/>
        </w:rPr>
        <w:t>1.71m/s</w:t>
      </w:r>
      <w:r>
        <w:rPr>
          <w:rFonts w:ascii="宋体" w:hAnsi="宋体" w:eastAsia="宋体" w:cs="宋体"/>
          <w:color w:val="auto"/>
          <w:spacing w:val="-2"/>
          <w:sz w:val="24"/>
          <w:szCs w:val="24"/>
        </w:rPr>
        <w:t>。天气情况满足监测条件、监测方法及仪器使用</w:t>
      </w:r>
      <w:r>
        <w:rPr>
          <w:rFonts w:ascii="宋体" w:hAnsi="宋体" w:eastAsia="宋体" w:cs="宋体"/>
          <w:color w:val="auto"/>
          <w:spacing w:val="-3"/>
          <w:sz w:val="24"/>
          <w:szCs w:val="24"/>
        </w:rPr>
        <w:t>环境要求。</w:t>
      </w:r>
      <w:r>
        <w:rPr>
          <w:rFonts w:ascii="宋体" w:hAnsi="宋体" w:eastAsia="宋体" w:cs="宋体"/>
          <w:color w:val="auto"/>
          <w:spacing w:val="-3"/>
          <w:position w:val="2"/>
          <w:sz w:val="24"/>
          <w:szCs w:val="24"/>
        </w:rPr>
        <w:t>（</w:t>
      </w:r>
      <w:r>
        <w:rPr>
          <w:rFonts w:ascii="Times New Roman" w:hAnsi="Times New Roman" w:eastAsia="Times New Roman" w:cs="Times New Roman"/>
          <w:color w:val="auto"/>
          <w:spacing w:val="-3"/>
          <w:position w:val="2"/>
          <w:sz w:val="24"/>
          <w:szCs w:val="24"/>
        </w:rPr>
        <w:t>3</w:t>
      </w:r>
      <w:r>
        <w:rPr>
          <w:rFonts w:ascii="宋体" w:hAnsi="宋体" w:eastAsia="宋体" w:cs="宋体"/>
          <w:color w:val="auto"/>
          <w:spacing w:val="-3"/>
          <w:position w:val="2"/>
          <w:sz w:val="24"/>
          <w:szCs w:val="24"/>
        </w:rPr>
        <w:t>）监测方法</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72" w:firstLineChars="200"/>
        <w:textAlignment w:val="baseline"/>
        <w:rPr>
          <w:rFonts w:ascii="宋体" w:hAnsi="宋体" w:eastAsia="宋体" w:cs="宋体"/>
          <w:color w:val="auto"/>
          <w:sz w:val="24"/>
          <w:szCs w:val="24"/>
        </w:rPr>
      </w:pPr>
      <w:r>
        <w:rPr>
          <w:rFonts w:ascii="宋体" w:hAnsi="宋体" w:eastAsia="宋体" w:cs="宋体"/>
          <w:color w:val="auto"/>
          <w:spacing w:val="-2"/>
          <w:sz w:val="24"/>
          <w:szCs w:val="24"/>
        </w:rPr>
        <w:t>监测项目为电磁环境。</w:t>
      </w:r>
    </w:p>
    <w:p>
      <w:pPr>
        <w:spacing w:before="201" w:line="228" w:lineRule="auto"/>
        <w:ind w:left="3257"/>
        <w:rPr>
          <w:rFonts w:hint="default" w:ascii="Times New Roman" w:hAnsi="Times New Roman" w:eastAsia="宋体" w:cs="Times New Roman"/>
          <w:color w:val="auto"/>
          <w:sz w:val="20"/>
          <w:szCs w:val="20"/>
        </w:rPr>
      </w:pPr>
      <w:r>
        <w:rPr>
          <w:rFonts w:hint="default" w:ascii="Times New Roman" w:hAnsi="Times New Roman" w:eastAsia="宋体" w:cs="Times New Roman"/>
          <w:b/>
          <w:bCs/>
          <w:color w:val="auto"/>
          <w:spacing w:val="4"/>
          <w:sz w:val="20"/>
          <w:szCs w:val="20"/>
        </w:rPr>
        <w:t>表</w:t>
      </w:r>
      <w:r>
        <w:rPr>
          <w:rFonts w:hint="default" w:ascii="Times New Roman" w:hAnsi="Times New Roman" w:eastAsia="Times New Roman" w:cs="Times New Roman"/>
          <w:b/>
          <w:bCs/>
          <w:color w:val="auto"/>
          <w:spacing w:val="4"/>
          <w:sz w:val="20"/>
          <w:szCs w:val="20"/>
        </w:rPr>
        <w:t>1-</w:t>
      </w:r>
      <w:r>
        <w:rPr>
          <w:rFonts w:hint="eastAsia" w:ascii="Times New Roman" w:hAnsi="Times New Roman" w:eastAsia="宋体" w:cs="Times New Roman"/>
          <w:b/>
          <w:bCs/>
          <w:color w:val="auto"/>
          <w:spacing w:val="4"/>
          <w:sz w:val="20"/>
          <w:szCs w:val="20"/>
          <w:lang w:val="en-US" w:eastAsia="zh-CN"/>
        </w:rPr>
        <w:t>5</w:t>
      </w:r>
      <w:r>
        <w:rPr>
          <w:rFonts w:hint="default" w:ascii="Times New Roman" w:hAnsi="Times New Roman" w:eastAsia="宋体" w:cs="Times New Roman"/>
          <w:b/>
          <w:bCs/>
          <w:color w:val="auto"/>
          <w:spacing w:val="4"/>
          <w:sz w:val="20"/>
          <w:szCs w:val="20"/>
        </w:rPr>
        <w:t>电磁环境监测方法及仪器</w:t>
      </w:r>
    </w:p>
    <w:tbl>
      <w:tblPr>
        <w:tblStyle w:val="31"/>
        <w:tblpPr w:leftFromText="180" w:rightFromText="180" w:vertAnchor="text" w:horzAnchor="page" w:tblpX="1486" w:tblpY="23"/>
        <w:tblOverlap w:val="never"/>
        <w:tblW w:w="9198"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66"/>
        <w:gridCol w:w="1493"/>
        <w:gridCol w:w="3289"/>
        <w:gridCol w:w="1349"/>
        <w:gridCol w:w="130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05" w:hRule="atLeast"/>
        </w:trPr>
        <w:tc>
          <w:tcPr>
            <w:tcW w:w="1766" w:type="dxa"/>
            <w:vAlign w:val="top"/>
          </w:tcPr>
          <w:p>
            <w:pPr>
              <w:pStyle w:val="38"/>
              <w:spacing w:before="98" w:line="228" w:lineRule="auto"/>
              <w:ind w:left="46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监测仪器</w:t>
            </w:r>
          </w:p>
        </w:tc>
        <w:tc>
          <w:tcPr>
            <w:tcW w:w="1493" w:type="dxa"/>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监测项目</w:t>
            </w:r>
          </w:p>
        </w:tc>
        <w:tc>
          <w:tcPr>
            <w:tcW w:w="3289" w:type="dxa"/>
            <w:vAlign w:val="top"/>
          </w:tcPr>
          <w:p>
            <w:pPr>
              <w:pStyle w:val="38"/>
              <w:spacing w:before="98" w:line="230" w:lineRule="auto"/>
              <w:ind w:left="1268"/>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监测方法</w:t>
            </w:r>
          </w:p>
        </w:tc>
        <w:tc>
          <w:tcPr>
            <w:tcW w:w="1349" w:type="dxa"/>
            <w:vAlign w:val="top"/>
          </w:tcPr>
          <w:p>
            <w:pPr>
              <w:pStyle w:val="38"/>
              <w:spacing w:before="98" w:line="228" w:lineRule="auto"/>
              <w:ind w:left="267"/>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型号规格</w:t>
            </w:r>
          </w:p>
        </w:tc>
        <w:tc>
          <w:tcPr>
            <w:tcW w:w="1301" w:type="dxa"/>
            <w:vAlign w:val="top"/>
          </w:tcPr>
          <w:p>
            <w:pPr>
              <w:pStyle w:val="38"/>
              <w:spacing w:before="98" w:line="229" w:lineRule="auto"/>
              <w:ind w:left="237"/>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有效期至</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0" w:hRule="atLeast"/>
        </w:trPr>
        <w:tc>
          <w:tcPr>
            <w:tcW w:w="1766" w:type="dxa"/>
            <w:vAlign w:val="top"/>
          </w:tcPr>
          <w:p>
            <w:pPr>
              <w:pStyle w:val="38"/>
              <w:spacing w:before="96" w:line="228" w:lineRule="auto"/>
              <w:ind w:left="178"/>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电磁辐射分析仪</w:t>
            </w:r>
          </w:p>
        </w:tc>
        <w:tc>
          <w:tcPr>
            <w:tcW w:w="1493" w:type="dxa"/>
            <w:vMerge w:val="restart"/>
            <w:tcBorders>
              <w:bottom w:val="nil"/>
            </w:tcBorders>
            <w:vAlign w:val="center"/>
          </w:tcPr>
          <w:p>
            <w:pPr>
              <w:pStyle w:val="3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工频电场、工</w:t>
            </w:r>
            <w:r>
              <w:rPr>
                <w:rFonts w:hint="default" w:ascii="Times New Roman" w:hAnsi="Times New Roman" w:eastAsia="宋体" w:cs="Times New Roman"/>
                <w:color w:val="auto"/>
                <w:sz w:val="21"/>
                <w:szCs w:val="21"/>
              </w:rPr>
              <w:t>频</w:t>
            </w:r>
            <w:r>
              <w:rPr>
                <w:rFonts w:hint="default" w:ascii="Times New Roman" w:hAnsi="Times New Roman" w:eastAsia="宋体" w:cs="Times New Roman"/>
                <w:color w:val="auto"/>
                <w:spacing w:val="8"/>
                <w:sz w:val="21"/>
                <w:szCs w:val="21"/>
              </w:rPr>
              <w:t>磁感应强度</w:t>
            </w:r>
          </w:p>
        </w:tc>
        <w:tc>
          <w:tcPr>
            <w:tcW w:w="3289" w:type="dxa"/>
            <w:vMerge w:val="restart"/>
            <w:tcBorders>
              <w:bottom w:val="nil"/>
            </w:tcBorders>
            <w:vAlign w:val="top"/>
          </w:tcPr>
          <w:p>
            <w:pPr>
              <w:pStyle w:val="38"/>
              <w:spacing w:before="168" w:line="224" w:lineRule="auto"/>
              <w:ind w:left="118"/>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9"/>
                <w:sz w:val="21"/>
                <w:szCs w:val="21"/>
              </w:rPr>
              <w:t>《</w:t>
            </w:r>
            <w:r>
              <w:rPr>
                <w:rFonts w:hint="default" w:ascii="Times New Roman" w:hAnsi="Times New Roman" w:eastAsia="宋体" w:cs="Times New Roman"/>
                <w:color w:val="auto"/>
                <w:spacing w:val="9"/>
                <w:sz w:val="21"/>
                <w:szCs w:val="21"/>
                <w:lang w:eastAsia="zh-CN"/>
              </w:rPr>
              <w:t>交流输变电工程电磁环境监测方法（试行）</w:t>
            </w:r>
            <w:r>
              <w:rPr>
                <w:rFonts w:hint="default" w:ascii="Times New Roman" w:hAnsi="Times New Roman" w:eastAsia="宋体" w:cs="Times New Roman"/>
                <w:color w:val="auto"/>
                <w:spacing w:val="6"/>
                <w:position w:val="1"/>
                <w:sz w:val="21"/>
                <w:szCs w:val="21"/>
              </w:rPr>
              <w:t>》（</w:t>
            </w:r>
            <w:r>
              <w:rPr>
                <w:rFonts w:hint="default" w:ascii="Times New Roman" w:hAnsi="Times New Roman" w:eastAsia="宋体" w:cs="Times New Roman"/>
                <w:color w:val="auto"/>
                <w:position w:val="1"/>
                <w:sz w:val="21"/>
                <w:szCs w:val="21"/>
              </w:rPr>
              <w:t>HJ</w:t>
            </w:r>
            <w:r>
              <w:rPr>
                <w:rFonts w:hint="default" w:ascii="Times New Roman" w:hAnsi="Times New Roman" w:eastAsia="宋体" w:cs="Times New Roman"/>
                <w:color w:val="auto"/>
                <w:spacing w:val="6"/>
                <w:position w:val="1"/>
                <w:sz w:val="21"/>
                <w:szCs w:val="21"/>
              </w:rPr>
              <w:t>681-2013）</w:t>
            </w:r>
          </w:p>
        </w:tc>
        <w:tc>
          <w:tcPr>
            <w:tcW w:w="1349" w:type="dxa"/>
            <w:vAlign w:val="top"/>
          </w:tcPr>
          <w:p>
            <w:pPr>
              <w:spacing w:before="65" w:line="274" w:lineRule="exact"/>
              <w:ind w:left="278"/>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position w:val="2"/>
                <w:sz w:val="21"/>
                <w:szCs w:val="21"/>
              </w:rPr>
              <w:t>SEM</w:t>
            </w:r>
            <w:r>
              <w:rPr>
                <w:rFonts w:hint="default" w:ascii="Times New Roman" w:hAnsi="Times New Roman" w:eastAsia="宋体" w:cs="Times New Roman"/>
                <w:color w:val="auto"/>
                <w:spacing w:val="5"/>
                <w:position w:val="2"/>
                <w:sz w:val="21"/>
                <w:szCs w:val="21"/>
              </w:rPr>
              <w:t>-600</w:t>
            </w:r>
          </w:p>
        </w:tc>
        <w:tc>
          <w:tcPr>
            <w:tcW w:w="1301" w:type="dxa"/>
            <w:vAlign w:val="top"/>
          </w:tcPr>
          <w:p>
            <w:pPr>
              <w:spacing w:before="65" w:line="274" w:lineRule="exact"/>
              <w:ind w:left="225"/>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position w:val="1"/>
                <w:sz w:val="21"/>
                <w:szCs w:val="21"/>
              </w:rPr>
              <w:t>2026/6/09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8" w:hRule="atLeast"/>
        </w:trPr>
        <w:tc>
          <w:tcPr>
            <w:tcW w:w="1766" w:type="dxa"/>
            <w:vAlign w:val="top"/>
          </w:tcPr>
          <w:p>
            <w:pPr>
              <w:pStyle w:val="38"/>
              <w:spacing w:before="104" w:line="228" w:lineRule="auto"/>
              <w:ind w:left="387"/>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电磁场探头</w:t>
            </w:r>
          </w:p>
        </w:tc>
        <w:tc>
          <w:tcPr>
            <w:tcW w:w="1493" w:type="dxa"/>
            <w:vMerge w:val="continue"/>
            <w:tcBorders>
              <w:top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auto"/>
                <w:sz w:val="21"/>
                <w:szCs w:val="21"/>
              </w:rPr>
            </w:pPr>
          </w:p>
        </w:tc>
        <w:tc>
          <w:tcPr>
            <w:tcW w:w="3289" w:type="dxa"/>
            <w:vMerge w:val="continue"/>
            <w:tcBorders>
              <w:top w:val="nil"/>
            </w:tcBorders>
            <w:vAlign w:val="top"/>
          </w:tcPr>
          <w:p>
            <w:pPr>
              <w:rPr>
                <w:rFonts w:hint="default" w:ascii="Times New Roman" w:hAnsi="Times New Roman" w:eastAsia="宋体" w:cs="Times New Roman"/>
                <w:color w:val="auto"/>
                <w:sz w:val="21"/>
                <w:szCs w:val="21"/>
              </w:rPr>
            </w:pPr>
          </w:p>
        </w:tc>
        <w:tc>
          <w:tcPr>
            <w:tcW w:w="1349" w:type="dxa"/>
            <w:vAlign w:val="top"/>
          </w:tcPr>
          <w:p>
            <w:pPr>
              <w:spacing w:before="73" w:line="274" w:lineRule="exact"/>
              <w:ind w:left="415"/>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position w:val="2"/>
                <w:sz w:val="21"/>
                <w:szCs w:val="21"/>
              </w:rPr>
              <w:t>LF</w:t>
            </w:r>
            <w:r>
              <w:rPr>
                <w:rFonts w:hint="default" w:ascii="Times New Roman" w:hAnsi="Times New Roman" w:eastAsia="宋体" w:cs="Times New Roman"/>
                <w:color w:val="auto"/>
                <w:spacing w:val="5"/>
                <w:position w:val="2"/>
                <w:sz w:val="21"/>
                <w:szCs w:val="21"/>
              </w:rPr>
              <w:t>-01</w:t>
            </w:r>
          </w:p>
        </w:tc>
        <w:tc>
          <w:tcPr>
            <w:tcW w:w="1301" w:type="dxa"/>
            <w:vAlign w:val="top"/>
          </w:tcPr>
          <w:p>
            <w:pPr>
              <w:spacing w:before="73" w:line="274" w:lineRule="exact"/>
              <w:ind w:left="278"/>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position w:val="1"/>
                <w:sz w:val="21"/>
                <w:szCs w:val="21"/>
              </w:rPr>
              <w:t>206/6/09</w:t>
            </w:r>
          </w:p>
        </w:tc>
      </w:tr>
    </w:tbl>
    <w:p>
      <w:pPr>
        <w:spacing w:line="24" w:lineRule="exact"/>
        <w:rPr>
          <w:rFonts w:hint="default" w:ascii="Times New Roman" w:hAnsi="Times New Roman" w:cs="Times New Roman"/>
          <w:color w:val="auto"/>
        </w:rPr>
      </w:pPr>
    </w:p>
    <w:p>
      <w:pPr>
        <w:spacing w:before="127" w:line="361" w:lineRule="exact"/>
        <w:ind w:left="616"/>
        <w:outlineLvl w:val="3"/>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3"/>
          <w:position w:val="2"/>
          <w:sz w:val="24"/>
          <w:szCs w:val="24"/>
        </w:rPr>
        <w:t>（</w:t>
      </w:r>
      <w:r>
        <w:rPr>
          <w:rFonts w:hint="default" w:ascii="Times New Roman" w:hAnsi="Times New Roman" w:eastAsia="Times New Roman" w:cs="Times New Roman"/>
          <w:color w:val="auto"/>
          <w:spacing w:val="-3"/>
          <w:position w:val="2"/>
          <w:sz w:val="24"/>
          <w:szCs w:val="24"/>
        </w:rPr>
        <w:t>4</w:t>
      </w:r>
      <w:r>
        <w:rPr>
          <w:rFonts w:hint="default" w:ascii="Times New Roman" w:hAnsi="Times New Roman" w:eastAsia="宋体" w:cs="Times New Roman"/>
          <w:color w:val="auto"/>
          <w:spacing w:val="-3"/>
          <w:position w:val="2"/>
          <w:sz w:val="24"/>
          <w:szCs w:val="24"/>
        </w:rPr>
        <w:t>）监测结果</w:t>
      </w:r>
    </w:p>
    <w:p>
      <w:pPr>
        <w:spacing w:before="135" w:line="220" w:lineRule="auto"/>
        <w:ind w:left="633"/>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3"/>
          <w:sz w:val="24"/>
          <w:szCs w:val="24"/>
        </w:rPr>
        <w:t>电磁环境质量现状监测结果见下表。</w:t>
      </w:r>
    </w:p>
    <w:p>
      <w:pPr>
        <w:spacing w:before="199" w:line="229" w:lineRule="auto"/>
        <w:ind w:left="3257"/>
        <w:rPr>
          <w:rFonts w:hint="default" w:ascii="Times New Roman" w:hAnsi="Times New Roman" w:eastAsia="宋体" w:cs="Times New Roman"/>
          <w:color w:val="auto"/>
          <w:sz w:val="20"/>
          <w:szCs w:val="20"/>
        </w:rPr>
      </w:pPr>
      <w:r>
        <w:rPr>
          <w:rFonts w:hint="default" w:ascii="Times New Roman" w:hAnsi="Times New Roman" w:eastAsia="宋体" w:cs="Times New Roman"/>
          <w:b/>
          <w:bCs/>
          <w:color w:val="auto"/>
          <w:spacing w:val="2"/>
          <w:sz w:val="20"/>
          <w:szCs w:val="20"/>
        </w:rPr>
        <w:t>表</w:t>
      </w:r>
      <w:r>
        <w:rPr>
          <w:rFonts w:hint="default" w:ascii="Times New Roman" w:hAnsi="Times New Roman" w:eastAsia="Times New Roman" w:cs="Times New Roman"/>
          <w:b/>
          <w:bCs/>
          <w:color w:val="auto"/>
          <w:spacing w:val="2"/>
          <w:sz w:val="20"/>
          <w:szCs w:val="20"/>
        </w:rPr>
        <w:t>1-</w:t>
      </w:r>
      <w:r>
        <w:rPr>
          <w:rFonts w:hint="eastAsia" w:ascii="Times New Roman" w:hAnsi="Times New Roman" w:eastAsia="宋体" w:cs="Times New Roman"/>
          <w:b/>
          <w:bCs/>
          <w:color w:val="auto"/>
          <w:spacing w:val="2"/>
          <w:sz w:val="20"/>
          <w:szCs w:val="20"/>
          <w:lang w:val="en-US" w:eastAsia="zh-CN"/>
        </w:rPr>
        <w:t>6</w:t>
      </w:r>
      <w:r>
        <w:rPr>
          <w:rFonts w:hint="default" w:ascii="Times New Roman" w:hAnsi="Times New Roman" w:eastAsia="宋体" w:cs="Times New Roman"/>
          <w:b/>
          <w:bCs/>
          <w:color w:val="auto"/>
          <w:spacing w:val="2"/>
          <w:sz w:val="20"/>
          <w:szCs w:val="20"/>
        </w:rPr>
        <w:t>电磁环境监测结果</w:t>
      </w:r>
    </w:p>
    <w:p>
      <w:pPr>
        <w:spacing w:line="24" w:lineRule="exact"/>
        <w:rPr>
          <w:rFonts w:hint="default" w:ascii="Times New Roman" w:hAnsi="Times New Roman" w:cs="Times New Roman"/>
          <w:color w:val="auto"/>
        </w:rPr>
      </w:pPr>
    </w:p>
    <w:tbl>
      <w:tblPr>
        <w:tblStyle w:val="31"/>
        <w:tblW w:w="9267" w:type="dxa"/>
        <w:tblInd w:w="39"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02"/>
        <w:gridCol w:w="2549"/>
        <w:gridCol w:w="1514"/>
        <w:gridCol w:w="1289"/>
        <w:gridCol w:w="291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002" w:type="dxa"/>
            <w:vAlign w:val="top"/>
          </w:tcPr>
          <w:p>
            <w:pPr>
              <w:pStyle w:val="38"/>
              <w:spacing w:before="171" w:line="230" w:lineRule="auto"/>
              <w:ind w:left="94"/>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点位序号</w:t>
            </w:r>
          </w:p>
        </w:tc>
        <w:tc>
          <w:tcPr>
            <w:tcW w:w="2549" w:type="dxa"/>
            <w:vAlign w:val="top"/>
          </w:tcPr>
          <w:p>
            <w:pPr>
              <w:pStyle w:val="38"/>
              <w:spacing w:before="171" w:line="230" w:lineRule="auto"/>
              <w:ind w:left="866"/>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点位名称</w:t>
            </w:r>
          </w:p>
        </w:tc>
        <w:tc>
          <w:tcPr>
            <w:tcW w:w="1514" w:type="dxa"/>
            <w:vAlign w:val="center"/>
          </w:tcPr>
          <w:p>
            <w:pPr>
              <w:pStyle w:val="38"/>
              <w:spacing w:before="34" w:line="235" w:lineRule="auto"/>
              <w:ind w:left="375" w:right="128" w:hanging="242"/>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工频电场强度</w:t>
            </w:r>
            <w:r>
              <w:rPr>
                <w:rFonts w:hint="default" w:ascii="Times New Roman" w:hAnsi="Times New Roman" w:eastAsia="宋体" w:cs="Times New Roman"/>
                <w:color w:val="auto"/>
                <w:spacing w:val="1"/>
                <w:sz w:val="21"/>
                <w:szCs w:val="21"/>
              </w:rPr>
              <w:t>（V/m）</w:t>
            </w:r>
          </w:p>
        </w:tc>
        <w:tc>
          <w:tcPr>
            <w:tcW w:w="1289" w:type="dxa"/>
            <w:vAlign w:val="center"/>
          </w:tcPr>
          <w:p>
            <w:pPr>
              <w:pStyle w:val="38"/>
              <w:spacing w:before="34" w:line="235" w:lineRule="auto"/>
              <w:ind w:left="428" w:right="116" w:hanging="302"/>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磁感应强度</w:t>
            </w:r>
            <w:r>
              <w:rPr>
                <w:rFonts w:hint="default" w:ascii="Times New Roman" w:hAnsi="Times New Roman" w:eastAsia="宋体" w:cs="Times New Roman"/>
                <w:color w:val="auto"/>
                <w:spacing w:val="8"/>
                <w:sz w:val="21"/>
                <w:szCs w:val="21"/>
                <w:lang w:eastAsia="zh-CN"/>
              </w:rPr>
              <w:t>（</w:t>
            </w:r>
            <w:r>
              <w:rPr>
                <w:rFonts w:hint="default" w:ascii="Times New Roman" w:hAnsi="Times New Roman" w:eastAsia="宋体" w:cs="Times New Roman"/>
                <w:color w:val="auto"/>
                <w:sz w:val="21"/>
                <w:szCs w:val="21"/>
              </w:rPr>
              <w:t>μT）</w:t>
            </w:r>
          </w:p>
        </w:tc>
        <w:tc>
          <w:tcPr>
            <w:tcW w:w="2913" w:type="dxa"/>
            <w:vAlign w:val="top"/>
          </w:tcPr>
          <w:p>
            <w:pPr>
              <w:pStyle w:val="38"/>
              <w:spacing w:before="171" w:line="230" w:lineRule="auto"/>
              <w:ind w:left="1254"/>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备注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002" w:type="dxa"/>
            <w:vAlign w:val="top"/>
          </w:tcPr>
          <w:p>
            <w:pPr>
              <w:spacing w:before="62" w:line="274" w:lineRule="exact"/>
              <w:ind w:left="47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position w:val="1"/>
                <w:sz w:val="21"/>
                <w:szCs w:val="21"/>
              </w:rPr>
              <w:t>1</w:t>
            </w:r>
          </w:p>
        </w:tc>
        <w:tc>
          <w:tcPr>
            <w:tcW w:w="2549" w:type="dxa"/>
            <w:vAlign w:val="top"/>
          </w:tcPr>
          <w:p>
            <w:pPr>
              <w:pStyle w:val="38"/>
              <w:spacing w:before="93" w:line="228" w:lineRule="auto"/>
              <w:ind w:left="175"/>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项目厂界北侧围墙外5m</w:t>
            </w:r>
          </w:p>
        </w:tc>
        <w:tc>
          <w:tcPr>
            <w:tcW w:w="1514" w:type="dxa"/>
            <w:vAlign w:val="center"/>
          </w:tcPr>
          <w:p>
            <w:pPr>
              <w:keepNext w:val="0"/>
              <w:keepLines w:val="0"/>
              <w:pageBreakBefore w:val="0"/>
              <w:widowControl w:val="0"/>
              <w:kinsoku/>
              <w:wordWrap/>
              <w:overflowPunct/>
              <w:topLinePunct w:val="0"/>
              <w:autoSpaceDE/>
              <w:autoSpaceDN/>
              <w:bidi w:val="0"/>
              <w:adjustRightInd/>
              <w:snapToGrid/>
              <w:spacing w:before="62" w:line="274" w:lineRule="exact"/>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position w:val="2"/>
                <w:sz w:val="21"/>
                <w:szCs w:val="21"/>
              </w:rPr>
              <w:t>0.32</w:t>
            </w:r>
          </w:p>
        </w:tc>
        <w:tc>
          <w:tcPr>
            <w:tcW w:w="1289" w:type="dxa"/>
            <w:vAlign w:val="center"/>
          </w:tcPr>
          <w:p>
            <w:pPr>
              <w:keepNext w:val="0"/>
              <w:keepLines w:val="0"/>
              <w:pageBreakBefore w:val="0"/>
              <w:widowControl w:val="0"/>
              <w:kinsoku/>
              <w:wordWrap/>
              <w:overflowPunct/>
              <w:topLinePunct w:val="0"/>
              <w:autoSpaceDE/>
              <w:autoSpaceDN/>
              <w:bidi w:val="0"/>
              <w:adjustRightInd/>
              <w:snapToGrid/>
              <w:spacing w:before="62" w:line="274" w:lineRule="exact"/>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position w:val="2"/>
                <w:sz w:val="21"/>
                <w:szCs w:val="21"/>
              </w:rPr>
              <w:t>0.0067</w:t>
            </w:r>
          </w:p>
        </w:tc>
        <w:tc>
          <w:tcPr>
            <w:tcW w:w="2913" w:type="dxa"/>
            <w:vMerge w:val="restart"/>
            <w:tcBorders>
              <w:bottom w:val="nil"/>
            </w:tcBorders>
            <w:vAlign w:val="top"/>
          </w:tcPr>
          <w:p>
            <w:pPr>
              <w:pStyle w:val="38"/>
              <w:keepNext w:val="0"/>
              <w:keepLines w:val="0"/>
              <w:pageBreakBefore w:val="0"/>
              <w:widowControl w:val="0"/>
              <w:kinsoku/>
              <w:wordWrap/>
              <w:overflowPunct/>
              <w:topLinePunct w:val="0"/>
              <w:autoSpaceDE/>
              <w:autoSpaceDN/>
              <w:bidi w:val="0"/>
              <w:adjustRightInd/>
              <w:snapToGrid/>
              <w:spacing w:line="240" w:lineRule="auto"/>
              <w:ind w:left="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9"/>
                <w:sz w:val="21"/>
                <w:szCs w:val="21"/>
              </w:rPr>
              <w:t>本项目升压站工作频率为</w:t>
            </w:r>
            <w:r>
              <w:rPr>
                <w:rFonts w:hint="default" w:ascii="Times New Roman" w:hAnsi="Times New Roman" w:eastAsia="宋体" w:cs="Times New Roman"/>
                <w:color w:val="auto"/>
                <w:spacing w:val="3"/>
                <w:position w:val="1"/>
                <w:sz w:val="21"/>
                <w:szCs w:val="21"/>
              </w:rPr>
              <w:t>50</w:t>
            </w:r>
            <w:r>
              <w:rPr>
                <w:rFonts w:hint="default" w:ascii="Times New Roman" w:hAnsi="Times New Roman" w:eastAsia="宋体" w:cs="Times New Roman"/>
                <w:color w:val="auto"/>
                <w:position w:val="1"/>
                <w:sz w:val="21"/>
                <w:szCs w:val="21"/>
              </w:rPr>
              <w:t>Hz</w:t>
            </w:r>
            <w:r>
              <w:rPr>
                <w:rFonts w:hint="default" w:ascii="Times New Roman" w:hAnsi="Times New Roman" w:eastAsia="宋体" w:cs="Times New Roman"/>
                <w:color w:val="auto"/>
                <w:spacing w:val="3"/>
                <w:position w:val="1"/>
                <w:sz w:val="21"/>
                <w:szCs w:val="21"/>
              </w:rPr>
              <w:t>，根据《</w:t>
            </w:r>
            <w:r>
              <w:rPr>
                <w:rFonts w:hint="default" w:ascii="Times New Roman" w:hAnsi="Times New Roman" w:eastAsia="宋体" w:cs="Times New Roman"/>
                <w:color w:val="auto"/>
                <w:spacing w:val="3"/>
                <w:position w:val="1"/>
                <w:sz w:val="21"/>
                <w:szCs w:val="21"/>
                <w:lang w:eastAsia="zh-CN"/>
              </w:rPr>
              <w:t>电磁环境控制限值</w:t>
            </w:r>
            <w:r>
              <w:rPr>
                <w:rFonts w:hint="default" w:ascii="Times New Roman" w:hAnsi="Times New Roman" w:eastAsia="宋体" w:cs="Times New Roman"/>
                <w:color w:val="auto"/>
                <w:spacing w:val="4"/>
                <w:position w:val="1"/>
                <w:sz w:val="21"/>
                <w:szCs w:val="21"/>
              </w:rPr>
              <w:t>》（</w:t>
            </w:r>
            <w:r>
              <w:rPr>
                <w:rFonts w:hint="default" w:ascii="Times New Roman" w:hAnsi="Times New Roman" w:eastAsia="宋体" w:cs="Times New Roman"/>
                <w:color w:val="auto"/>
                <w:position w:val="1"/>
                <w:sz w:val="21"/>
                <w:szCs w:val="21"/>
              </w:rPr>
              <w:t>GB</w:t>
            </w:r>
            <w:r>
              <w:rPr>
                <w:rFonts w:hint="default" w:ascii="Times New Roman" w:hAnsi="Times New Roman" w:eastAsia="宋体" w:cs="Times New Roman"/>
                <w:color w:val="auto"/>
                <w:spacing w:val="4"/>
                <w:position w:val="1"/>
                <w:sz w:val="21"/>
                <w:szCs w:val="21"/>
              </w:rPr>
              <w:t>8702-2014</w:t>
            </w:r>
            <w:r>
              <w:rPr>
                <w:rFonts w:hint="default" w:ascii="Times New Roman" w:hAnsi="Times New Roman" w:eastAsia="宋体" w:cs="Times New Roman"/>
                <w:color w:val="auto"/>
                <w:spacing w:val="29"/>
                <w:position w:val="1"/>
                <w:sz w:val="21"/>
                <w:szCs w:val="21"/>
              </w:rPr>
              <w:t>），</w:t>
            </w:r>
            <w:r>
              <w:rPr>
                <w:rFonts w:hint="default" w:ascii="Times New Roman" w:hAnsi="Times New Roman" w:eastAsia="宋体" w:cs="Times New Roman"/>
                <w:color w:val="auto"/>
                <w:spacing w:val="4"/>
                <w:position w:val="1"/>
                <w:sz w:val="21"/>
                <w:szCs w:val="21"/>
              </w:rPr>
              <w:t>电厂</w:t>
            </w:r>
            <w:r>
              <w:rPr>
                <w:rFonts w:hint="default" w:ascii="Times New Roman" w:hAnsi="Times New Roman" w:eastAsia="宋体" w:cs="Times New Roman"/>
                <w:color w:val="auto"/>
                <w:spacing w:val="5"/>
                <w:position w:val="1"/>
                <w:sz w:val="21"/>
                <w:szCs w:val="21"/>
              </w:rPr>
              <w:t>强度执行200/f（f为频率，下同</w:t>
            </w:r>
            <w:r>
              <w:rPr>
                <w:rFonts w:hint="default" w:ascii="Times New Roman" w:hAnsi="Times New Roman" w:eastAsia="宋体" w:cs="Times New Roman"/>
                <w:color w:val="auto"/>
                <w:spacing w:val="15"/>
                <w:position w:val="1"/>
                <w:sz w:val="21"/>
                <w:szCs w:val="21"/>
              </w:rPr>
              <w:t>），</w:t>
            </w:r>
            <w:r>
              <w:rPr>
                <w:rFonts w:hint="default" w:ascii="Times New Roman" w:hAnsi="Times New Roman" w:eastAsia="宋体" w:cs="Times New Roman"/>
                <w:color w:val="auto"/>
                <w:spacing w:val="5"/>
                <w:position w:val="1"/>
                <w:sz w:val="21"/>
                <w:szCs w:val="21"/>
              </w:rPr>
              <w:t>磁感应强度执行5/f标</w:t>
            </w:r>
            <w:r>
              <w:rPr>
                <w:rFonts w:hint="eastAsia" w:ascii="Times New Roman" w:hAnsi="Times New Roman" w:eastAsia="宋体" w:cs="Times New Roman"/>
                <w:color w:val="auto"/>
                <w:spacing w:val="5"/>
                <w:position w:val="1"/>
                <w:sz w:val="21"/>
                <w:szCs w:val="21"/>
                <w:lang w:val="en-US" w:eastAsia="zh-CN"/>
              </w:rPr>
              <w:t>准</w:t>
            </w:r>
            <w:r>
              <w:rPr>
                <w:rFonts w:hint="default" w:ascii="Times New Roman" w:hAnsi="Times New Roman" w:eastAsia="宋体" w:cs="Times New Roman"/>
                <w:color w:val="auto"/>
                <w:position w:val="1"/>
                <w:sz w:val="21"/>
                <w:szCs w:val="21"/>
              </w:rPr>
              <w:t>，因此本项目以4000V/m作</w:t>
            </w:r>
            <w:r>
              <w:rPr>
                <w:rFonts w:hint="default" w:ascii="Times New Roman" w:hAnsi="Times New Roman" w:eastAsia="宋体" w:cs="Times New Roman"/>
                <w:color w:val="auto"/>
                <w:position w:val="2"/>
                <w:sz w:val="21"/>
                <w:szCs w:val="21"/>
              </w:rPr>
              <w:t>为电厂强度限值，以100µT作</w:t>
            </w:r>
            <w:r>
              <w:rPr>
                <w:rFonts w:hint="default" w:ascii="Times New Roman" w:hAnsi="Times New Roman" w:eastAsia="宋体" w:cs="Times New Roman"/>
                <w:color w:val="auto"/>
                <w:spacing w:val="7"/>
                <w:sz w:val="21"/>
                <w:szCs w:val="21"/>
              </w:rPr>
              <w:t>为磁感应强度限值。</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002" w:type="dxa"/>
            <w:vAlign w:val="top"/>
          </w:tcPr>
          <w:p>
            <w:pPr>
              <w:spacing w:before="64" w:line="274" w:lineRule="exact"/>
              <w:ind w:left="45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position w:val="1"/>
                <w:sz w:val="21"/>
                <w:szCs w:val="21"/>
              </w:rPr>
              <w:t>2</w:t>
            </w:r>
          </w:p>
        </w:tc>
        <w:tc>
          <w:tcPr>
            <w:tcW w:w="2549" w:type="dxa"/>
            <w:vAlign w:val="top"/>
          </w:tcPr>
          <w:p>
            <w:pPr>
              <w:pStyle w:val="38"/>
              <w:spacing w:before="95" w:line="228" w:lineRule="auto"/>
              <w:ind w:left="175"/>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项目厂界西侧围墙外5m</w:t>
            </w:r>
          </w:p>
        </w:tc>
        <w:tc>
          <w:tcPr>
            <w:tcW w:w="1514" w:type="dxa"/>
            <w:vAlign w:val="center"/>
          </w:tcPr>
          <w:p>
            <w:pPr>
              <w:keepNext w:val="0"/>
              <w:keepLines w:val="0"/>
              <w:pageBreakBefore w:val="0"/>
              <w:widowControl w:val="0"/>
              <w:kinsoku/>
              <w:wordWrap/>
              <w:overflowPunct/>
              <w:topLinePunct w:val="0"/>
              <w:autoSpaceDE/>
              <w:autoSpaceDN/>
              <w:bidi w:val="0"/>
              <w:adjustRightInd/>
              <w:snapToGrid/>
              <w:spacing w:before="64" w:line="274" w:lineRule="exact"/>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position w:val="2"/>
                <w:sz w:val="21"/>
                <w:szCs w:val="21"/>
              </w:rPr>
              <w:t>0.35</w:t>
            </w:r>
          </w:p>
        </w:tc>
        <w:tc>
          <w:tcPr>
            <w:tcW w:w="1289" w:type="dxa"/>
            <w:vAlign w:val="center"/>
          </w:tcPr>
          <w:p>
            <w:pPr>
              <w:keepNext w:val="0"/>
              <w:keepLines w:val="0"/>
              <w:pageBreakBefore w:val="0"/>
              <w:widowControl w:val="0"/>
              <w:kinsoku/>
              <w:wordWrap/>
              <w:overflowPunct/>
              <w:topLinePunct w:val="0"/>
              <w:autoSpaceDE/>
              <w:autoSpaceDN/>
              <w:bidi w:val="0"/>
              <w:adjustRightInd/>
              <w:snapToGrid/>
              <w:spacing w:before="64" w:line="274" w:lineRule="exact"/>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position w:val="2"/>
                <w:sz w:val="21"/>
                <w:szCs w:val="21"/>
              </w:rPr>
              <w:t>0.0072</w:t>
            </w:r>
          </w:p>
        </w:tc>
        <w:tc>
          <w:tcPr>
            <w:tcW w:w="2913" w:type="dxa"/>
            <w:vMerge w:val="continue"/>
            <w:tcBorders>
              <w:top w:val="nil"/>
              <w:bottom w:val="nil"/>
            </w:tcBorders>
            <w:vAlign w:val="top"/>
          </w:tcPr>
          <w:p>
            <w:pPr>
              <w:rPr>
                <w:rFonts w:hint="default" w:ascii="Times New Roman" w:hAnsi="Times New Roman" w:eastAsia="宋体" w:cs="Times New Roman"/>
                <w:color w:val="auto"/>
                <w:sz w:val="21"/>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002" w:type="dxa"/>
            <w:vAlign w:val="top"/>
          </w:tcPr>
          <w:p>
            <w:pPr>
              <w:spacing w:before="63" w:line="275" w:lineRule="exact"/>
              <w:ind w:left="454"/>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position w:val="2"/>
                <w:sz w:val="21"/>
                <w:szCs w:val="21"/>
              </w:rPr>
              <w:t>3</w:t>
            </w:r>
          </w:p>
        </w:tc>
        <w:tc>
          <w:tcPr>
            <w:tcW w:w="2549" w:type="dxa"/>
            <w:vAlign w:val="top"/>
          </w:tcPr>
          <w:p>
            <w:pPr>
              <w:pStyle w:val="38"/>
              <w:spacing w:before="95" w:line="228" w:lineRule="auto"/>
              <w:ind w:left="175"/>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项目厂界南侧围墙外5m</w:t>
            </w:r>
          </w:p>
        </w:tc>
        <w:tc>
          <w:tcPr>
            <w:tcW w:w="1514" w:type="dxa"/>
            <w:vAlign w:val="center"/>
          </w:tcPr>
          <w:p>
            <w:pPr>
              <w:keepNext w:val="0"/>
              <w:keepLines w:val="0"/>
              <w:pageBreakBefore w:val="0"/>
              <w:widowControl w:val="0"/>
              <w:kinsoku/>
              <w:wordWrap/>
              <w:overflowPunct/>
              <w:topLinePunct w:val="0"/>
              <w:autoSpaceDE/>
              <w:autoSpaceDN/>
              <w:bidi w:val="0"/>
              <w:adjustRightInd/>
              <w:snapToGrid/>
              <w:spacing w:before="63" w:line="275" w:lineRule="exact"/>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position w:val="2"/>
                <w:sz w:val="21"/>
                <w:szCs w:val="21"/>
              </w:rPr>
              <w:t>0.63</w:t>
            </w:r>
          </w:p>
        </w:tc>
        <w:tc>
          <w:tcPr>
            <w:tcW w:w="1289" w:type="dxa"/>
            <w:vAlign w:val="center"/>
          </w:tcPr>
          <w:p>
            <w:pPr>
              <w:keepNext w:val="0"/>
              <w:keepLines w:val="0"/>
              <w:pageBreakBefore w:val="0"/>
              <w:widowControl w:val="0"/>
              <w:kinsoku/>
              <w:wordWrap/>
              <w:overflowPunct/>
              <w:topLinePunct w:val="0"/>
              <w:autoSpaceDE/>
              <w:autoSpaceDN/>
              <w:bidi w:val="0"/>
              <w:adjustRightInd/>
              <w:snapToGrid/>
              <w:spacing w:before="63" w:line="275" w:lineRule="exact"/>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position w:val="2"/>
                <w:sz w:val="21"/>
                <w:szCs w:val="21"/>
              </w:rPr>
              <w:t>0.0071</w:t>
            </w:r>
          </w:p>
        </w:tc>
        <w:tc>
          <w:tcPr>
            <w:tcW w:w="2913" w:type="dxa"/>
            <w:vMerge w:val="continue"/>
            <w:tcBorders>
              <w:top w:val="nil"/>
              <w:bottom w:val="nil"/>
            </w:tcBorders>
            <w:vAlign w:val="top"/>
          </w:tcPr>
          <w:p>
            <w:pPr>
              <w:rPr>
                <w:rFonts w:hint="default" w:ascii="Times New Roman" w:hAnsi="Times New Roman" w:eastAsia="宋体" w:cs="Times New Roman"/>
                <w:color w:val="auto"/>
                <w:sz w:val="21"/>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002" w:type="dxa"/>
            <w:vAlign w:val="top"/>
          </w:tcPr>
          <w:p>
            <w:pPr>
              <w:spacing w:before="65" w:line="275" w:lineRule="exact"/>
              <w:ind w:left="44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position w:val="1"/>
                <w:sz w:val="21"/>
                <w:szCs w:val="21"/>
              </w:rPr>
              <w:t>4</w:t>
            </w:r>
          </w:p>
        </w:tc>
        <w:tc>
          <w:tcPr>
            <w:tcW w:w="2549" w:type="dxa"/>
            <w:vAlign w:val="top"/>
          </w:tcPr>
          <w:p>
            <w:pPr>
              <w:pStyle w:val="38"/>
              <w:spacing w:before="97" w:line="228" w:lineRule="auto"/>
              <w:ind w:left="175"/>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项目厂界东侧围墙外5m</w:t>
            </w:r>
          </w:p>
        </w:tc>
        <w:tc>
          <w:tcPr>
            <w:tcW w:w="1514" w:type="dxa"/>
            <w:vAlign w:val="center"/>
          </w:tcPr>
          <w:p>
            <w:pPr>
              <w:keepNext w:val="0"/>
              <w:keepLines w:val="0"/>
              <w:pageBreakBefore w:val="0"/>
              <w:widowControl w:val="0"/>
              <w:kinsoku/>
              <w:wordWrap/>
              <w:overflowPunct/>
              <w:topLinePunct w:val="0"/>
              <w:autoSpaceDE/>
              <w:autoSpaceDN/>
              <w:bidi w:val="0"/>
              <w:adjustRightInd/>
              <w:snapToGrid/>
              <w:spacing w:before="65" w:line="275" w:lineRule="exact"/>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position w:val="2"/>
                <w:sz w:val="21"/>
                <w:szCs w:val="21"/>
              </w:rPr>
              <w:t>11.40</w:t>
            </w:r>
          </w:p>
        </w:tc>
        <w:tc>
          <w:tcPr>
            <w:tcW w:w="1289" w:type="dxa"/>
            <w:vAlign w:val="center"/>
          </w:tcPr>
          <w:p>
            <w:pPr>
              <w:keepNext w:val="0"/>
              <w:keepLines w:val="0"/>
              <w:pageBreakBefore w:val="0"/>
              <w:widowControl w:val="0"/>
              <w:kinsoku/>
              <w:wordWrap/>
              <w:overflowPunct/>
              <w:topLinePunct w:val="0"/>
              <w:autoSpaceDE/>
              <w:autoSpaceDN/>
              <w:bidi w:val="0"/>
              <w:adjustRightInd/>
              <w:snapToGrid/>
              <w:spacing w:before="65" w:line="275" w:lineRule="exact"/>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position w:val="2"/>
                <w:sz w:val="21"/>
                <w:szCs w:val="21"/>
              </w:rPr>
              <w:t>0.0072</w:t>
            </w:r>
          </w:p>
        </w:tc>
        <w:tc>
          <w:tcPr>
            <w:tcW w:w="2913" w:type="dxa"/>
            <w:vMerge w:val="continue"/>
            <w:tcBorders>
              <w:top w:val="nil"/>
              <w:bottom w:val="nil"/>
            </w:tcBorders>
            <w:vAlign w:val="top"/>
          </w:tcPr>
          <w:p>
            <w:pPr>
              <w:rPr>
                <w:rFonts w:hint="default" w:ascii="Times New Roman" w:hAnsi="Times New Roman" w:eastAsia="宋体" w:cs="Times New Roman"/>
                <w:color w:val="auto"/>
                <w:sz w:val="21"/>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002" w:type="dxa"/>
            <w:vAlign w:val="top"/>
          </w:tcPr>
          <w:p>
            <w:pPr>
              <w:spacing w:before="214" w:line="192" w:lineRule="auto"/>
              <w:ind w:left="456"/>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2549" w:type="dxa"/>
            <w:vAlign w:val="top"/>
          </w:tcPr>
          <w:p>
            <w:pPr>
              <w:pStyle w:val="38"/>
              <w:spacing w:before="173" w:line="228" w:lineRule="auto"/>
              <w:ind w:left="85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敏感点位</w:t>
            </w:r>
          </w:p>
        </w:tc>
        <w:tc>
          <w:tcPr>
            <w:tcW w:w="1514" w:type="dxa"/>
            <w:vAlign w:val="center"/>
          </w:tcPr>
          <w:p>
            <w:pPr>
              <w:keepNext w:val="0"/>
              <w:keepLines w:val="0"/>
              <w:pageBreakBefore w:val="0"/>
              <w:widowControl w:val="0"/>
              <w:kinsoku/>
              <w:wordWrap/>
              <w:overflowPunct/>
              <w:topLinePunct w:val="0"/>
              <w:autoSpaceDE/>
              <w:autoSpaceDN/>
              <w:bidi w:val="0"/>
              <w:adjustRightInd/>
              <w:snapToGrid/>
              <w:spacing w:before="144" w:line="274" w:lineRule="exact"/>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position w:val="2"/>
                <w:sz w:val="21"/>
                <w:szCs w:val="21"/>
              </w:rPr>
              <w:t>0.38</w:t>
            </w:r>
          </w:p>
        </w:tc>
        <w:tc>
          <w:tcPr>
            <w:tcW w:w="1289" w:type="dxa"/>
            <w:vAlign w:val="center"/>
          </w:tcPr>
          <w:p>
            <w:pPr>
              <w:keepNext w:val="0"/>
              <w:keepLines w:val="0"/>
              <w:pageBreakBefore w:val="0"/>
              <w:widowControl w:val="0"/>
              <w:kinsoku/>
              <w:wordWrap/>
              <w:overflowPunct/>
              <w:topLinePunct w:val="0"/>
              <w:autoSpaceDE/>
              <w:autoSpaceDN/>
              <w:bidi w:val="0"/>
              <w:adjustRightInd/>
              <w:snapToGrid/>
              <w:spacing w:before="144" w:line="274" w:lineRule="exact"/>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position w:val="2"/>
                <w:sz w:val="21"/>
                <w:szCs w:val="21"/>
              </w:rPr>
              <w:t>0.0092</w:t>
            </w:r>
          </w:p>
        </w:tc>
        <w:tc>
          <w:tcPr>
            <w:tcW w:w="2913" w:type="dxa"/>
            <w:vMerge w:val="continue"/>
            <w:tcBorders>
              <w:top w:val="nil"/>
            </w:tcBorders>
            <w:vAlign w:val="top"/>
          </w:tcPr>
          <w:p>
            <w:pPr>
              <w:rPr>
                <w:rFonts w:hint="default" w:ascii="Times New Roman" w:hAnsi="Times New Roman" w:eastAsia="宋体" w:cs="Times New Roman"/>
                <w:color w:val="auto"/>
                <w:sz w:val="21"/>
                <w:szCs w:val="21"/>
              </w:rPr>
            </w:pPr>
          </w:p>
        </w:tc>
      </w:tr>
    </w:tbl>
    <w:p>
      <w:pPr>
        <w:spacing w:before="128" w:line="339" w:lineRule="auto"/>
        <w:ind w:left="22" w:firstLine="612"/>
        <w:rPr>
          <w:rFonts w:ascii="宋体" w:hAnsi="宋体" w:eastAsia="宋体" w:cs="宋体"/>
          <w:color w:val="auto"/>
          <w:sz w:val="24"/>
          <w:szCs w:val="24"/>
        </w:rPr>
      </w:pPr>
      <w:r>
        <w:rPr>
          <w:rFonts w:ascii="宋体" w:hAnsi="宋体" w:eastAsia="宋体" w:cs="宋体"/>
          <w:color w:val="auto"/>
          <w:spacing w:val="-6"/>
          <w:sz w:val="24"/>
          <w:szCs w:val="24"/>
        </w:rPr>
        <w:t>由上表</w:t>
      </w:r>
      <w:r>
        <w:rPr>
          <w:rFonts w:ascii="宋体" w:hAnsi="宋体" w:eastAsia="宋体" w:cs="宋体"/>
          <w:color w:val="auto"/>
          <w:spacing w:val="-5"/>
          <w:sz w:val="24"/>
          <w:szCs w:val="24"/>
        </w:rPr>
        <w:t>可以看出，各监测点工频电场强度测量值为</w:t>
      </w:r>
      <w:r>
        <w:rPr>
          <w:rFonts w:ascii="Times New Roman" w:hAnsi="Times New Roman" w:eastAsia="Times New Roman" w:cs="Times New Roman"/>
          <w:color w:val="auto"/>
          <w:spacing w:val="-5"/>
          <w:sz w:val="24"/>
          <w:szCs w:val="24"/>
        </w:rPr>
        <w:t>0.32V/m~11.40V/m</w:t>
      </w:r>
      <w:r>
        <w:rPr>
          <w:rFonts w:ascii="宋体" w:hAnsi="宋体" w:eastAsia="宋体" w:cs="宋体"/>
          <w:color w:val="auto"/>
          <w:spacing w:val="-5"/>
          <w:sz w:val="24"/>
          <w:szCs w:val="24"/>
        </w:rPr>
        <w:t>，小于</w:t>
      </w:r>
      <w:r>
        <w:rPr>
          <w:rFonts w:ascii="Times New Roman" w:hAnsi="Times New Roman" w:eastAsia="Times New Roman" w:cs="Times New Roman"/>
          <w:color w:val="auto"/>
          <w:spacing w:val="-5"/>
          <w:sz w:val="24"/>
          <w:szCs w:val="24"/>
        </w:rPr>
        <w:t>4000V/</w:t>
      </w:r>
      <w:r>
        <w:rPr>
          <w:rFonts w:ascii="Times New Roman" w:hAnsi="Times New Roman" w:eastAsia="Times New Roman" w:cs="Times New Roman"/>
          <w:color w:val="auto"/>
          <w:spacing w:val="-2"/>
          <w:sz w:val="24"/>
          <w:szCs w:val="24"/>
        </w:rPr>
        <w:t>m</w:t>
      </w:r>
      <w:r>
        <w:rPr>
          <w:rFonts w:ascii="宋体" w:hAnsi="宋体" w:eastAsia="宋体" w:cs="宋体"/>
          <w:color w:val="auto"/>
          <w:spacing w:val="-2"/>
          <w:sz w:val="24"/>
          <w:szCs w:val="24"/>
        </w:rPr>
        <w:t>限值要求；工频磁感应强度测量值为</w:t>
      </w:r>
      <w:r>
        <w:rPr>
          <w:rFonts w:ascii="Times New Roman" w:hAnsi="Times New Roman" w:eastAsia="Times New Roman" w:cs="Times New Roman"/>
          <w:color w:val="auto"/>
          <w:spacing w:val="-2"/>
          <w:sz w:val="24"/>
          <w:szCs w:val="24"/>
        </w:rPr>
        <w:t>0.006</w:t>
      </w:r>
      <w:r>
        <w:rPr>
          <w:rFonts w:ascii="Times New Roman" w:hAnsi="Times New Roman" w:eastAsia="Times New Roman" w:cs="Times New Roman"/>
          <w:color w:val="auto"/>
          <w:spacing w:val="-3"/>
          <w:sz w:val="24"/>
          <w:szCs w:val="24"/>
        </w:rPr>
        <w:t>7µT~0.0092µT</w:t>
      </w:r>
      <w:r>
        <w:rPr>
          <w:rFonts w:ascii="宋体" w:hAnsi="宋体" w:eastAsia="宋体" w:cs="宋体"/>
          <w:color w:val="auto"/>
          <w:spacing w:val="-3"/>
          <w:sz w:val="24"/>
          <w:szCs w:val="24"/>
        </w:rPr>
        <w:t>，小于</w:t>
      </w:r>
      <w:r>
        <w:rPr>
          <w:rFonts w:ascii="Times New Roman" w:hAnsi="Times New Roman" w:eastAsia="Times New Roman" w:cs="Times New Roman"/>
          <w:color w:val="auto"/>
          <w:spacing w:val="-3"/>
          <w:sz w:val="24"/>
          <w:szCs w:val="24"/>
        </w:rPr>
        <w:t>100µT</w:t>
      </w:r>
      <w:r>
        <w:rPr>
          <w:rFonts w:ascii="宋体" w:hAnsi="宋体" w:eastAsia="宋体" w:cs="宋体"/>
          <w:color w:val="auto"/>
          <w:spacing w:val="-3"/>
          <w:sz w:val="24"/>
          <w:szCs w:val="24"/>
        </w:rPr>
        <w:t>限值要求。</w:t>
      </w:r>
    </w:p>
    <w:p>
      <w:pPr>
        <w:spacing w:line="339" w:lineRule="auto"/>
        <w:rPr>
          <w:rFonts w:ascii="宋体" w:hAnsi="宋体" w:eastAsia="宋体" w:cs="宋体"/>
          <w:color w:val="auto"/>
          <w:sz w:val="24"/>
          <w:szCs w:val="24"/>
        </w:rPr>
        <w:sectPr>
          <w:footerReference r:id="rId14" w:type="default"/>
          <w:pgSz w:w="11907" w:h="16840"/>
          <w:pgMar w:top="1423" w:right="1133" w:bottom="1213" w:left="1422" w:header="975" w:footer="977" w:gutter="0"/>
          <w:pgBorders>
            <w:top w:val="none" w:sz="0" w:space="0"/>
            <w:left w:val="none" w:sz="0" w:space="0"/>
            <w:bottom w:val="none" w:sz="0" w:space="0"/>
            <w:right w:val="none" w:sz="0" w:space="0"/>
          </w:pgBorders>
          <w:pgNumType w:fmt="decimal" w:start="1"/>
          <w:cols w:space="720" w:num="1"/>
        </w:sectPr>
      </w:pPr>
    </w:p>
    <w:p>
      <w:pPr>
        <w:spacing w:before="78" w:line="219" w:lineRule="auto"/>
        <w:outlineLvl w:val="1"/>
        <w:rPr>
          <w:rFonts w:ascii="宋体" w:hAnsi="宋体" w:eastAsia="宋体" w:cs="宋体"/>
          <w:color w:val="auto"/>
          <w:sz w:val="24"/>
          <w:szCs w:val="24"/>
        </w:rPr>
      </w:pPr>
      <w:r>
        <w:rPr>
          <w:rFonts w:ascii="Times New Roman" w:hAnsi="Times New Roman" w:eastAsia="Times New Roman" w:cs="Times New Roman"/>
          <w:b/>
          <w:bCs/>
          <w:color w:val="auto"/>
          <w:spacing w:val="-2"/>
          <w:sz w:val="24"/>
          <w:szCs w:val="24"/>
        </w:rPr>
        <w:t>2</w:t>
      </w:r>
      <w:r>
        <w:rPr>
          <w:rFonts w:ascii="宋体" w:hAnsi="宋体" w:eastAsia="宋体" w:cs="宋体"/>
          <w:b/>
          <w:bCs/>
          <w:color w:val="auto"/>
          <w:spacing w:val="-2"/>
          <w:sz w:val="24"/>
          <w:szCs w:val="24"/>
        </w:rPr>
        <w:t>电磁环境影响预测与评价</w:t>
      </w:r>
    </w:p>
    <w:p>
      <w:pPr>
        <w:pStyle w:val="30"/>
        <w:ind w:firstLine="480"/>
        <w:rPr>
          <w:rFonts w:cs="Times New Roman" w:eastAsiaTheme="minorEastAsia"/>
          <w:color w:val="auto"/>
          <w:lang w:eastAsia="zh-CN"/>
        </w:rPr>
      </w:pPr>
      <w:r>
        <w:rPr>
          <w:rFonts w:cs="Times New Roman" w:eastAsiaTheme="minorEastAsia"/>
          <w:color w:val="auto"/>
          <w:lang w:eastAsia="zh-CN"/>
        </w:rPr>
        <w:t>本工程线路电磁环境影响预测采用《环境影响评价技术导则输变电》（HJ24-2020）的模型预测计算及类比预测方法进行预测。</w:t>
      </w:r>
    </w:p>
    <w:p>
      <w:pPr>
        <w:pStyle w:val="30"/>
        <w:ind w:firstLine="480"/>
        <w:rPr>
          <w:rFonts w:cs="Times New Roman" w:eastAsiaTheme="minorEastAsia"/>
          <w:b/>
          <w:bCs/>
          <w:color w:val="auto"/>
          <w:lang w:val="en-US" w:eastAsia="zh-CN"/>
        </w:rPr>
      </w:pPr>
      <w:bookmarkStart w:id="51" w:name="_Toc173484756"/>
      <w:r>
        <w:rPr>
          <w:rFonts w:hint="eastAsia" w:cs="Times New Roman" w:eastAsiaTheme="minorEastAsia"/>
          <w:b/>
          <w:bCs/>
          <w:color w:val="auto"/>
          <w:lang w:val="en-US" w:eastAsia="zh-CN"/>
        </w:rPr>
        <w:t>2.1</w:t>
      </w:r>
      <w:r>
        <w:rPr>
          <w:rFonts w:cs="Times New Roman" w:eastAsiaTheme="minorEastAsia"/>
          <w:b/>
          <w:bCs/>
          <w:color w:val="auto"/>
          <w:lang w:val="en-US" w:eastAsia="zh-CN"/>
        </w:rPr>
        <w:t>架空输电线路电磁环境影响预测</w:t>
      </w:r>
      <w:bookmarkEnd w:id="51"/>
      <w:bookmarkStart w:id="52" w:name="_Toc31846"/>
      <w:bookmarkStart w:id="53" w:name="_Toc164632601"/>
      <w:bookmarkStart w:id="54" w:name="_Toc173484757"/>
      <w:bookmarkStart w:id="55" w:name="_Toc173401891"/>
      <w:r>
        <w:rPr>
          <w:rFonts w:cs="Times New Roman" w:eastAsiaTheme="minorEastAsia"/>
          <w:b/>
          <w:bCs/>
          <w:color w:val="auto"/>
          <w:lang w:val="en-US" w:eastAsia="zh-CN"/>
        </w:rPr>
        <w:t>计算模式</w:t>
      </w:r>
      <w:bookmarkEnd w:id="52"/>
      <w:bookmarkEnd w:id="53"/>
      <w:bookmarkEnd w:id="54"/>
      <w:bookmarkEnd w:id="55"/>
    </w:p>
    <w:p>
      <w:pPr>
        <w:pStyle w:val="30"/>
        <w:ind w:firstLine="480"/>
        <w:rPr>
          <w:rFonts w:cs="Times New Roman" w:eastAsiaTheme="minorEastAsia"/>
          <w:color w:val="auto"/>
          <w:lang w:eastAsia="zh-CN"/>
        </w:rPr>
      </w:pPr>
      <w:r>
        <w:rPr>
          <w:rFonts w:cs="Times New Roman" w:eastAsiaTheme="minorEastAsia"/>
          <w:color w:val="auto"/>
          <w:lang w:eastAsia="zh-CN"/>
        </w:rPr>
        <w:t>输电线路的工频电场强度、工频磁感应强度的预测参照《环境影响评价技术导则输变电》（HJ24-2020）附录中的推荐模式。具体模式如</w:t>
      </w:r>
      <w:r>
        <w:rPr>
          <w:rFonts w:cs="Times New Roman" w:eastAsiaTheme="minorEastAsia"/>
          <w:color w:val="auto"/>
          <w:spacing w:val="-3"/>
          <w:lang w:eastAsia="zh-CN"/>
        </w:rPr>
        <w:t>下：</w:t>
      </w:r>
    </w:p>
    <w:p>
      <w:pPr>
        <w:pStyle w:val="30"/>
        <w:ind w:firstLine="480"/>
        <w:rPr>
          <w:rFonts w:cs="Times New Roman" w:eastAsiaTheme="minorEastAsia"/>
          <w:color w:val="auto"/>
          <w:lang w:eastAsia="zh-CN"/>
        </w:rPr>
      </w:pPr>
      <w:r>
        <w:rPr>
          <w:rFonts w:cs="Times New Roman" w:eastAsiaTheme="minorEastAsia"/>
          <w:color w:val="auto"/>
          <w:lang w:eastAsia="zh-CN"/>
        </w:rPr>
        <w:t>高压交流架空输电线下空间工频电场强度分布的理论计算</w:t>
      </w:r>
      <w:r>
        <w:rPr>
          <w:rFonts w:hint="eastAsia" w:ascii="宋体" w:hAnsi="宋体" w:cs="宋体"/>
          <w:color w:val="auto"/>
          <w:lang w:eastAsia="zh-CN"/>
        </w:rPr>
        <w:t>①</w:t>
      </w:r>
      <w:r>
        <w:rPr>
          <w:rFonts w:cs="Times New Roman" w:eastAsiaTheme="minorEastAsia"/>
          <w:color w:val="auto"/>
          <w:lang w:eastAsia="zh-CN"/>
        </w:rPr>
        <w:t>单位长度导线下等效电荷的计算高压输电线上的等效电荷是线电荷，由于高压输电线半径r远远小于架设高度h，所以</w:t>
      </w:r>
      <w:r>
        <w:rPr>
          <w:rFonts w:cs="Times New Roman" w:eastAsiaTheme="minorEastAsia"/>
          <w:color w:val="auto"/>
          <w:spacing w:val="-2"/>
          <w:lang w:eastAsia="zh-CN"/>
        </w:rPr>
        <w:t>等效电荷的位置可以认为是在输电导线的几何中心。</w:t>
      </w:r>
    </w:p>
    <w:p>
      <w:pPr>
        <w:pStyle w:val="30"/>
        <w:ind w:firstLine="480"/>
        <w:rPr>
          <w:rFonts w:cs="Times New Roman" w:eastAsiaTheme="minorEastAsia"/>
          <w:color w:val="auto"/>
          <w:lang w:eastAsia="zh-CN"/>
        </w:rPr>
      </w:pPr>
      <w:r>
        <w:rPr>
          <w:rFonts w:cs="Times New Roman" w:eastAsiaTheme="minorEastAsia"/>
          <w:color w:val="auto"/>
          <w:lang w:eastAsia="zh-CN"/>
        </w:rPr>
        <w:t>（1）等效电荷的计算</w:t>
      </w:r>
    </w:p>
    <w:p>
      <w:pPr>
        <w:pStyle w:val="30"/>
        <w:ind w:firstLine="480"/>
        <w:rPr>
          <w:rFonts w:cs="Times New Roman" w:eastAsiaTheme="minorEastAsia"/>
          <w:color w:val="auto"/>
          <w:lang w:eastAsia="zh-CN"/>
        </w:rPr>
      </w:pPr>
      <w:r>
        <w:rPr>
          <w:rFonts w:cs="Times New Roman" w:eastAsiaTheme="minorEastAsia"/>
          <w:color w:val="auto"/>
          <w:lang w:eastAsia="zh-CN"/>
        </w:rPr>
        <w:t>设输电线路为无限长并且平行于地面，地面可视为良导体，利用镜像法计算输电线上</w:t>
      </w:r>
      <w:r>
        <w:rPr>
          <w:rFonts w:cs="Times New Roman" w:eastAsiaTheme="minorEastAsia"/>
          <w:color w:val="auto"/>
          <w:spacing w:val="-3"/>
          <w:lang w:eastAsia="zh-CN"/>
        </w:rPr>
        <w:t>的等效电荷。多导线线路中导线上的等效电荷由下列矩阵方程计算：</w:t>
      </w:r>
    </w:p>
    <w:p>
      <w:pPr>
        <w:pStyle w:val="30"/>
        <w:ind w:firstLine="0" w:firstLineChars="0"/>
        <w:jc w:val="center"/>
        <w:rPr>
          <w:rFonts w:cs="Times New Roman" w:eastAsiaTheme="minorEastAsia"/>
          <w:color w:val="auto"/>
          <w:sz w:val="21"/>
          <w:szCs w:val="21"/>
          <w:lang w:eastAsia="zh-CN"/>
        </w:rPr>
      </w:pPr>
      <w:r>
        <w:rPr>
          <w:rFonts w:cs="Times New Roman" w:eastAsiaTheme="minorEastAsia"/>
          <w:snapToGrid/>
          <w:color w:val="auto"/>
        </w:rPr>
        <w:drawing>
          <wp:inline distT="0" distB="0" distL="0" distR="0">
            <wp:extent cx="2238375" cy="971550"/>
            <wp:effectExtent l="0" t="0" r="9525" b="0"/>
            <wp:docPr id="172099488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994887" name="图片 21"/>
                    <pic:cNvPicPr>
                      <a:picLocks noChangeAspect="1"/>
                    </pic:cNvPicPr>
                  </pic:nvPicPr>
                  <pic:blipFill>
                    <a:blip r:embed="rId45"/>
                    <a:stretch>
                      <a:fillRect/>
                    </a:stretch>
                  </pic:blipFill>
                  <pic:spPr>
                    <a:xfrm>
                      <a:off x="0" y="0"/>
                      <a:ext cx="2238375" cy="971550"/>
                    </a:xfrm>
                    <a:prstGeom prst="rect">
                      <a:avLst/>
                    </a:prstGeom>
                  </pic:spPr>
                </pic:pic>
              </a:graphicData>
            </a:graphic>
          </wp:inline>
        </w:drawing>
      </w:r>
      <w:r>
        <w:rPr>
          <w:rFonts w:hint="eastAsia" w:cs="Times New Roman" w:eastAsiaTheme="minorEastAsia"/>
          <w:snapToGrid/>
          <w:color w:val="auto"/>
          <w:lang w:eastAsia="zh-CN"/>
        </w:rPr>
        <w:t>……(</w:t>
      </w:r>
      <w:r>
        <w:rPr>
          <w:rFonts w:cs="Times New Roman" w:eastAsiaTheme="minorEastAsia"/>
          <w:color w:val="auto"/>
          <w:sz w:val="21"/>
          <w:szCs w:val="21"/>
          <w:lang w:eastAsia="zh-CN"/>
        </w:rPr>
        <w:t>1）</w:t>
      </w:r>
    </w:p>
    <w:p>
      <w:pPr>
        <w:pStyle w:val="30"/>
        <w:ind w:firstLine="480"/>
        <w:rPr>
          <w:rFonts w:cs="Times New Roman" w:eastAsiaTheme="minorEastAsia"/>
          <w:snapToGrid/>
          <w:color w:val="auto"/>
          <w:sz w:val="21"/>
          <w:szCs w:val="21"/>
          <w:lang w:eastAsia="zh-CN"/>
        </w:rPr>
      </w:pPr>
      <w:r>
        <w:rPr>
          <w:rFonts w:cs="Times New Roman" w:eastAsiaTheme="minorEastAsia"/>
          <w:color w:val="auto"/>
          <w:lang w:eastAsia="zh-CN"/>
        </w:rPr>
        <w:t>式中：</w:t>
      </w:r>
    </w:p>
    <w:p>
      <w:pPr>
        <w:pStyle w:val="30"/>
        <w:ind w:firstLine="480"/>
        <w:rPr>
          <w:rFonts w:cs="Times New Roman" w:eastAsiaTheme="minorEastAsia"/>
          <w:color w:val="auto"/>
          <w:lang w:eastAsia="zh-CN"/>
        </w:rPr>
      </w:pPr>
      <w:r>
        <w:rPr>
          <w:rFonts w:cs="Times New Roman" w:eastAsiaTheme="minorEastAsia"/>
          <w:color w:val="auto"/>
          <w:lang w:eastAsia="zh-CN"/>
        </w:rPr>
        <w:t>U－各导线对地电压的单</w:t>
      </w:r>
      <w:r>
        <w:rPr>
          <w:rFonts w:hint="eastAsia" w:cs="Times New Roman" w:eastAsiaTheme="minorEastAsia"/>
          <w:color w:val="auto"/>
          <w:lang w:val="en-US" w:eastAsia="zh-CN"/>
        </w:rPr>
        <w:t>列</w:t>
      </w:r>
      <w:r>
        <w:rPr>
          <w:rFonts w:cs="Times New Roman" w:eastAsiaTheme="minorEastAsia"/>
          <w:color w:val="auto"/>
          <w:lang w:eastAsia="zh-CN"/>
        </w:rPr>
        <w:t>矩阵；</w:t>
      </w:r>
    </w:p>
    <w:p>
      <w:pPr>
        <w:pStyle w:val="30"/>
        <w:ind w:firstLine="480"/>
        <w:rPr>
          <w:rFonts w:cs="Times New Roman" w:eastAsiaTheme="minorEastAsia"/>
          <w:color w:val="auto"/>
          <w:lang w:eastAsia="zh-CN"/>
        </w:rPr>
      </w:pPr>
      <w:r>
        <w:rPr>
          <w:rFonts w:cs="Times New Roman" w:eastAsiaTheme="minorEastAsia"/>
          <w:color w:val="auto"/>
          <w:lang w:eastAsia="zh-CN"/>
        </w:rPr>
        <w:t>Q－各导线上的等效电荷的单列矩阵；</w:t>
      </w:r>
    </w:p>
    <w:p>
      <w:pPr>
        <w:pStyle w:val="30"/>
        <w:ind w:firstLine="480"/>
        <w:rPr>
          <w:rFonts w:cs="Times New Roman" w:eastAsiaTheme="minorEastAsia"/>
          <w:color w:val="auto"/>
          <w:lang w:eastAsia="zh-CN"/>
        </w:rPr>
      </w:pPr>
      <w:r>
        <w:rPr>
          <w:rFonts w:cs="Times New Roman" w:eastAsiaTheme="minorEastAsia"/>
          <w:color w:val="auto"/>
        </w:rPr>
        <w:t>λ</w:t>
      </w:r>
      <w:r>
        <w:rPr>
          <w:rFonts w:cs="Times New Roman" w:eastAsiaTheme="minorEastAsia"/>
          <w:color w:val="auto"/>
          <w:lang w:eastAsia="zh-CN"/>
        </w:rPr>
        <w:t>—各导线的电位系数组成的m阶方阵（m为导线数目）。</w:t>
      </w:r>
    </w:p>
    <w:p>
      <w:pPr>
        <w:pStyle w:val="30"/>
        <w:ind w:firstLine="480"/>
        <w:rPr>
          <w:rFonts w:cs="Times New Roman" w:eastAsiaTheme="minorEastAsia"/>
          <w:color w:val="auto"/>
          <w:lang w:eastAsia="zh-CN"/>
        </w:rPr>
      </w:pPr>
      <w:r>
        <w:rPr>
          <w:rFonts w:cs="Times New Roman" w:eastAsiaTheme="minorEastAsia"/>
          <w:color w:val="auto"/>
          <w:lang w:eastAsia="zh-CN"/>
        </w:rPr>
        <w:t>[U]矩阵可由送电线的电压和相位确定，从</w:t>
      </w:r>
      <w:r>
        <w:rPr>
          <w:rFonts w:cs="Times New Roman" w:eastAsiaTheme="minorEastAsia"/>
          <w:color w:val="auto"/>
          <w:spacing w:val="-1"/>
          <w:lang w:eastAsia="zh-CN"/>
        </w:rPr>
        <w:t>环境保护考虑以额定电压的1.05倍作为计</w:t>
      </w:r>
      <w:r>
        <w:rPr>
          <w:rFonts w:cs="Times New Roman" w:eastAsiaTheme="minorEastAsia"/>
          <w:color w:val="auto"/>
          <w:spacing w:val="-9"/>
          <w:lang w:eastAsia="zh-CN"/>
        </w:rPr>
        <w:t>算电压。</w:t>
      </w:r>
    </w:p>
    <w:p>
      <w:pPr>
        <w:pStyle w:val="30"/>
        <w:ind w:firstLine="480"/>
        <w:rPr>
          <w:rFonts w:cs="Times New Roman" w:eastAsiaTheme="minorEastAsia"/>
          <w:color w:val="auto"/>
          <w:lang w:eastAsia="zh-CN"/>
        </w:rPr>
      </w:pPr>
      <w:r>
        <w:rPr>
          <w:rFonts w:cs="Times New Roman" w:eastAsiaTheme="minorEastAsia"/>
          <w:color w:val="auto"/>
          <w:lang w:eastAsia="zh-CN"/>
        </w:rPr>
        <w:t>[</w:t>
      </w:r>
      <w:r>
        <w:rPr>
          <w:rFonts w:cs="Times New Roman" w:eastAsiaTheme="minorEastAsia"/>
          <w:color w:val="auto"/>
        </w:rPr>
        <w:t>λ</w:t>
      </w:r>
      <w:r>
        <w:rPr>
          <w:rFonts w:cs="Times New Roman" w:eastAsiaTheme="minorEastAsia"/>
          <w:color w:val="auto"/>
          <w:lang w:eastAsia="zh-CN"/>
        </w:rPr>
        <w:t>]矩阵由镜像原理求得。地面为电位等于零的平面，地面的感应电荷可由对应地面导线的镜像电荷代替，用i，j</w:t>
      </w:r>
      <w:r>
        <w:rPr>
          <w:rFonts w:hint="eastAsia" w:cs="Times New Roman" w:eastAsiaTheme="minorEastAsia"/>
          <w:color w:val="auto"/>
          <w:lang w:eastAsia="zh-CN"/>
        </w:rPr>
        <w:t>，</w:t>
      </w:r>
      <w:r>
        <w:rPr>
          <w:rFonts w:cs="Times New Roman" w:eastAsiaTheme="minorEastAsia"/>
          <w:color w:val="auto"/>
          <w:lang w:eastAsia="zh-CN"/>
        </w:rPr>
        <w:t>表示相互平行的实际导线，用i′，j′</w:t>
      </w:r>
      <w:r>
        <w:rPr>
          <w:rFonts w:hint="eastAsia" w:cs="Times New Roman" w:eastAsiaTheme="minorEastAsia"/>
          <w:color w:val="auto"/>
          <w:lang w:eastAsia="zh-CN"/>
        </w:rPr>
        <w:t>，</w:t>
      </w:r>
      <w:r>
        <w:rPr>
          <w:rFonts w:cs="Times New Roman" w:eastAsiaTheme="minorEastAsia"/>
          <w:color w:val="auto"/>
          <w:lang w:eastAsia="zh-CN"/>
        </w:rPr>
        <w:t>表示它们的镜像，电位系数可写为：</w:t>
      </w:r>
    </w:p>
    <w:p>
      <w:pPr>
        <w:pStyle w:val="30"/>
        <w:ind w:firstLine="0" w:firstLineChars="0"/>
        <w:jc w:val="center"/>
        <w:rPr>
          <w:rFonts w:cs="Times New Roman" w:eastAsiaTheme="minorEastAsia"/>
          <w:color w:val="auto"/>
          <w:sz w:val="21"/>
          <w:szCs w:val="21"/>
          <w:lang w:eastAsia="zh-CN"/>
        </w:rPr>
      </w:pPr>
      <w:r>
        <w:rPr>
          <w:rFonts w:cs="Times New Roman" w:eastAsiaTheme="minorEastAsia"/>
          <w:snapToGrid/>
          <w:color w:val="auto"/>
        </w:rPr>
        <w:drawing>
          <wp:inline distT="0" distB="0" distL="0" distR="0">
            <wp:extent cx="1114425" cy="447675"/>
            <wp:effectExtent l="0" t="0" r="9525" b="9525"/>
            <wp:docPr id="158916361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163610" name="图片 22"/>
                    <pic:cNvPicPr>
                      <a:picLocks noChangeAspect="1"/>
                    </pic:cNvPicPr>
                  </pic:nvPicPr>
                  <pic:blipFill>
                    <a:blip r:embed="rId46"/>
                    <a:stretch>
                      <a:fillRect/>
                    </a:stretch>
                  </pic:blipFill>
                  <pic:spPr>
                    <a:xfrm>
                      <a:off x="0" y="0"/>
                      <a:ext cx="1114425" cy="447675"/>
                    </a:xfrm>
                    <a:prstGeom prst="rect">
                      <a:avLst/>
                    </a:prstGeom>
                  </pic:spPr>
                </pic:pic>
              </a:graphicData>
            </a:graphic>
          </wp:inline>
        </w:drawing>
      </w:r>
      <w:r>
        <w:rPr>
          <w:rFonts w:hint="eastAsia" w:cs="Times New Roman" w:eastAsiaTheme="minorEastAsia"/>
          <w:snapToGrid/>
          <w:color w:val="auto"/>
          <w:lang w:eastAsia="zh-CN"/>
        </w:rPr>
        <w:t>……(</w:t>
      </w:r>
      <w:r>
        <w:rPr>
          <w:rFonts w:cs="Times New Roman" w:eastAsiaTheme="minorEastAsia"/>
          <w:color w:val="auto"/>
          <w:sz w:val="21"/>
          <w:szCs w:val="21"/>
          <w:lang w:eastAsia="zh-CN"/>
        </w:rPr>
        <w:t>2）</w:t>
      </w:r>
    </w:p>
    <w:p>
      <w:pPr>
        <w:pStyle w:val="30"/>
        <w:ind w:firstLine="0" w:firstLineChars="0"/>
        <w:jc w:val="center"/>
        <w:rPr>
          <w:rFonts w:cs="Times New Roman" w:eastAsiaTheme="minorEastAsia"/>
          <w:color w:val="auto"/>
          <w:sz w:val="21"/>
          <w:szCs w:val="21"/>
          <w:lang w:eastAsia="zh-CN"/>
        </w:rPr>
      </w:pPr>
      <w:r>
        <w:rPr>
          <w:rFonts w:cs="Times New Roman" w:eastAsiaTheme="minorEastAsia"/>
          <w:snapToGrid/>
          <w:color w:val="auto"/>
        </w:rPr>
        <w:drawing>
          <wp:inline distT="0" distB="0" distL="0" distR="0">
            <wp:extent cx="1038225" cy="466725"/>
            <wp:effectExtent l="0" t="0" r="9525" b="9525"/>
            <wp:docPr id="120909300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093000" name="图片 23"/>
                    <pic:cNvPicPr>
                      <a:picLocks noChangeAspect="1"/>
                    </pic:cNvPicPr>
                  </pic:nvPicPr>
                  <pic:blipFill>
                    <a:blip r:embed="rId47"/>
                    <a:stretch>
                      <a:fillRect/>
                    </a:stretch>
                  </pic:blipFill>
                  <pic:spPr>
                    <a:xfrm>
                      <a:off x="0" y="0"/>
                      <a:ext cx="1038225" cy="466725"/>
                    </a:xfrm>
                    <a:prstGeom prst="rect">
                      <a:avLst/>
                    </a:prstGeom>
                  </pic:spPr>
                </pic:pic>
              </a:graphicData>
            </a:graphic>
          </wp:inline>
        </w:drawing>
      </w:r>
      <w:r>
        <w:rPr>
          <w:rFonts w:hint="eastAsia" w:cs="Times New Roman" w:eastAsiaTheme="minorEastAsia"/>
          <w:snapToGrid/>
          <w:color w:val="auto"/>
          <w:lang w:eastAsia="zh-CN"/>
        </w:rPr>
        <w:t>……(</w:t>
      </w:r>
      <w:r>
        <w:rPr>
          <w:rFonts w:cs="Times New Roman" w:eastAsiaTheme="minorEastAsia"/>
          <w:color w:val="auto"/>
          <w:sz w:val="21"/>
          <w:szCs w:val="21"/>
          <w:lang w:eastAsia="zh-CN"/>
        </w:rPr>
        <w:t>3）</w:t>
      </w:r>
    </w:p>
    <w:p>
      <w:pPr>
        <w:pStyle w:val="30"/>
        <w:ind w:firstLine="0" w:firstLineChars="0"/>
        <w:jc w:val="center"/>
        <w:rPr>
          <w:rFonts w:cs="Times New Roman" w:eastAsiaTheme="minorEastAsia"/>
          <w:color w:val="auto"/>
          <w:sz w:val="21"/>
          <w:szCs w:val="21"/>
          <w:lang w:eastAsia="zh-CN"/>
        </w:rPr>
      </w:pPr>
      <w:r>
        <w:rPr>
          <w:rFonts w:cs="Times New Roman" w:eastAsiaTheme="minorEastAsia"/>
          <w:snapToGrid/>
          <w:color w:val="auto"/>
        </w:rPr>
        <w:drawing>
          <wp:inline distT="0" distB="0" distL="0" distR="0">
            <wp:extent cx="552450" cy="238125"/>
            <wp:effectExtent l="0" t="0" r="0" b="9525"/>
            <wp:docPr id="81332364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323647" name="图片 24"/>
                    <pic:cNvPicPr>
                      <a:picLocks noChangeAspect="1"/>
                    </pic:cNvPicPr>
                  </pic:nvPicPr>
                  <pic:blipFill>
                    <a:blip r:embed="rId48"/>
                    <a:stretch>
                      <a:fillRect/>
                    </a:stretch>
                  </pic:blipFill>
                  <pic:spPr>
                    <a:xfrm>
                      <a:off x="0" y="0"/>
                      <a:ext cx="552450" cy="238125"/>
                    </a:xfrm>
                    <a:prstGeom prst="rect">
                      <a:avLst/>
                    </a:prstGeom>
                  </pic:spPr>
                </pic:pic>
              </a:graphicData>
            </a:graphic>
          </wp:inline>
        </w:drawing>
      </w:r>
      <w:r>
        <w:rPr>
          <w:rFonts w:hint="eastAsia" w:cs="Times New Roman" w:eastAsiaTheme="minorEastAsia"/>
          <w:snapToGrid/>
          <w:color w:val="auto"/>
          <w:lang w:eastAsia="zh-CN"/>
        </w:rPr>
        <w:t>……(</w:t>
      </w:r>
      <w:r>
        <w:rPr>
          <w:rFonts w:cs="Times New Roman" w:eastAsiaTheme="minorEastAsia"/>
          <w:color w:val="auto"/>
          <w:sz w:val="21"/>
          <w:szCs w:val="21"/>
          <w:lang w:eastAsia="zh-CN"/>
        </w:rPr>
        <w:t>4）</w:t>
      </w:r>
    </w:p>
    <w:p>
      <w:pPr>
        <w:pStyle w:val="30"/>
        <w:ind w:firstLine="480"/>
        <w:rPr>
          <w:rFonts w:cs="Times New Roman" w:eastAsiaTheme="minorEastAsia"/>
          <w:color w:val="auto"/>
          <w:lang w:eastAsia="zh-CN"/>
        </w:rPr>
      </w:pPr>
      <w:r>
        <w:rPr>
          <w:rFonts w:cs="Times New Roman" w:eastAsiaTheme="minorEastAsia"/>
          <w:color w:val="auto"/>
        </w:rPr>
        <w:t>ε</w:t>
      </w:r>
      <w:r>
        <w:rPr>
          <w:rFonts w:cs="Times New Roman" w:eastAsiaTheme="minorEastAsia"/>
          <w:color w:val="auto"/>
          <w:lang w:eastAsia="zh-CN"/>
        </w:rPr>
        <w:t>0——真空介电常数：</w:t>
      </w:r>
      <w:r>
        <w:rPr>
          <w:rFonts w:cs="Times New Roman" w:eastAsiaTheme="minorEastAsia"/>
          <w:color w:val="auto"/>
        </w:rPr>
        <w:drawing>
          <wp:inline distT="0" distB="0" distL="0" distR="0">
            <wp:extent cx="1171575" cy="276225"/>
            <wp:effectExtent l="0" t="0" r="9525" b="9525"/>
            <wp:docPr id="81946770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67705" name="图片 25"/>
                    <pic:cNvPicPr>
                      <a:picLocks noChangeAspect="1"/>
                    </pic:cNvPicPr>
                  </pic:nvPicPr>
                  <pic:blipFill>
                    <a:blip r:embed="rId49"/>
                    <a:stretch>
                      <a:fillRect/>
                    </a:stretch>
                  </pic:blipFill>
                  <pic:spPr>
                    <a:xfrm>
                      <a:off x="0" y="0"/>
                      <a:ext cx="1171575" cy="276225"/>
                    </a:xfrm>
                    <a:prstGeom prst="rect">
                      <a:avLst/>
                    </a:prstGeom>
                  </pic:spPr>
                </pic:pic>
              </a:graphicData>
            </a:graphic>
          </wp:inline>
        </w:drawing>
      </w:r>
    </w:p>
    <w:p>
      <w:pPr>
        <w:pStyle w:val="30"/>
        <w:ind w:firstLine="480"/>
        <w:rPr>
          <w:rFonts w:cs="Times New Roman" w:eastAsiaTheme="minorEastAsia"/>
          <w:color w:val="auto"/>
          <w:sz w:val="21"/>
          <w:szCs w:val="21"/>
          <w:lang w:eastAsia="zh-CN"/>
        </w:rPr>
      </w:pPr>
      <w:r>
        <w:rPr>
          <w:rFonts w:cs="Times New Roman" w:eastAsiaTheme="minorEastAsia"/>
          <w:color w:val="auto"/>
          <w:lang w:eastAsia="zh-CN"/>
        </w:rPr>
        <w:t>Ri——输电导线半径，对于分裂导线可用等效单根导线半径代入，Ri的计算式为：</w:t>
      </w:r>
    </w:p>
    <w:p>
      <w:pPr>
        <w:pStyle w:val="30"/>
        <w:ind w:firstLine="0" w:firstLineChars="0"/>
        <w:jc w:val="center"/>
        <w:rPr>
          <w:rFonts w:cs="Times New Roman" w:eastAsiaTheme="minorEastAsia"/>
          <w:color w:val="auto"/>
          <w:sz w:val="21"/>
          <w:szCs w:val="21"/>
          <w:lang w:eastAsia="zh-CN"/>
        </w:rPr>
      </w:pPr>
      <w:r>
        <w:rPr>
          <w:rFonts w:cs="Times New Roman" w:eastAsiaTheme="minorEastAsia"/>
          <w:snapToGrid/>
          <w:color w:val="auto"/>
        </w:rPr>
        <w:drawing>
          <wp:inline distT="0" distB="0" distL="0" distR="0">
            <wp:extent cx="809625" cy="390525"/>
            <wp:effectExtent l="0" t="0" r="9525" b="9525"/>
            <wp:docPr id="63853584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535840" name="图片 26"/>
                    <pic:cNvPicPr>
                      <a:picLocks noChangeAspect="1"/>
                    </pic:cNvPicPr>
                  </pic:nvPicPr>
                  <pic:blipFill>
                    <a:blip r:embed="rId50"/>
                    <a:stretch>
                      <a:fillRect/>
                    </a:stretch>
                  </pic:blipFill>
                  <pic:spPr>
                    <a:xfrm>
                      <a:off x="0" y="0"/>
                      <a:ext cx="809625" cy="390525"/>
                    </a:xfrm>
                    <a:prstGeom prst="rect">
                      <a:avLst/>
                    </a:prstGeom>
                  </pic:spPr>
                </pic:pic>
              </a:graphicData>
            </a:graphic>
          </wp:inline>
        </w:drawing>
      </w:r>
      <w:r>
        <w:rPr>
          <w:rFonts w:hint="eastAsia" w:cs="Times New Roman" w:eastAsiaTheme="minorEastAsia"/>
          <w:snapToGrid/>
          <w:color w:val="auto"/>
          <w:lang w:eastAsia="zh-CN"/>
        </w:rPr>
        <w:t>……(</w:t>
      </w:r>
      <w:r>
        <w:rPr>
          <w:rFonts w:cs="Times New Roman" w:eastAsiaTheme="minorEastAsia"/>
          <w:color w:val="auto"/>
          <w:sz w:val="21"/>
          <w:szCs w:val="21"/>
          <w:lang w:eastAsia="zh-CN"/>
        </w:rPr>
        <w:t>5）</w:t>
      </w:r>
    </w:p>
    <w:p>
      <w:pPr>
        <w:pStyle w:val="30"/>
        <w:ind w:firstLine="480"/>
        <w:rPr>
          <w:rFonts w:cs="Times New Roman" w:eastAsiaTheme="minorEastAsia"/>
          <w:color w:val="auto"/>
          <w:lang w:eastAsia="zh-CN"/>
        </w:rPr>
      </w:pPr>
      <w:r>
        <w:rPr>
          <w:rFonts w:cs="Times New Roman" w:eastAsiaTheme="minorEastAsia"/>
          <w:color w:val="auto"/>
          <w:lang w:eastAsia="zh-CN"/>
        </w:rPr>
        <w:t>式中：</w:t>
      </w:r>
    </w:p>
    <w:p>
      <w:pPr>
        <w:pStyle w:val="30"/>
        <w:ind w:firstLine="480"/>
        <w:rPr>
          <w:rFonts w:cs="Times New Roman" w:eastAsiaTheme="minorEastAsia"/>
          <w:color w:val="auto"/>
          <w:lang w:eastAsia="zh-CN"/>
        </w:rPr>
      </w:pPr>
      <w:r>
        <w:rPr>
          <w:rFonts w:cs="Times New Roman" w:eastAsiaTheme="minorEastAsia"/>
          <w:color w:val="auto"/>
          <w:lang w:eastAsia="zh-CN"/>
        </w:rPr>
        <w:t>R——分裂导线半径，m；</w:t>
      </w:r>
    </w:p>
    <w:p>
      <w:pPr>
        <w:pStyle w:val="30"/>
        <w:ind w:firstLine="480"/>
        <w:rPr>
          <w:rFonts w:cs="Times New Roman" w:eastAsiaTheme="minorEastAsia"/>
          <w:color w:val="auto"/>
          <w:lang w:eastAsia="zh-CN"/>
        </w:rPr>
      </w:pPr>
      <w:r>
        <w:rPr>
          <w:rFonts w:cs="Times New Roman" w:eastAsiaTheme="minorEastAsia"/>
          <w:color w:val="auto"/>
          <w:lang w:eastAsia="zh-CN"/>
        </w:rPr>
        <w:t>n——次导线根数；</w:t>
      </w:r>
    </w:p>
    <w:p>
      <w:pPr>
        <w:pStyle w:val="30"/>
        <w:ind w:firstLine="480"/>
        <w:rPr>
          <w:rFonts w:cs="Times New Roman" w:eastAsiaTheme="minorEastAsia"/>
          <w:color w:val="auto"/>
          <w:lang w:eastAsia="zh-CN"/>
        </w:rPr>
      </w:pPr>
      <w:r>
        <w:rPr>
          <w:rFonts w:cs="Times New Roman" w:eastAsiaTheme="minorEastAsia"/>
          <w:color w:val="auto"/>
          <w:lang w:eastAsia="zh-CN"/>
        </w:rPr>
        <w:t>r——次导线半径，m。</w:t>
      </w:r>
    </w:p>
    <w:p>
      <w:pPr>
        <w:pStyle w:val="30"/>
        <w:ind w:firstLine="480"/>
        <w:rPr>
          <w:rFonts w:cs="Times New Roman" w:eastAsiaTheme="minorEastAsia"/>
          <w:color w:val="auto"/>
          <w:lang w:eastAsia="zh-CN"/>
        </w:rPr>
      </w:pPr>
      <w:r>
        <w:rPr>
          <w:rFonts w:cs="Times New Roman" w:eastAsiaTheme="minorEastAsia"/>
          <w:color w:val="auto"/>
          <w:lang w:eastAsia="zh-CN"/>
        </w:rPr>
        <w:t>由[U]矩阵和[</w:t>
      </w:r>
      <w:r>
        <w:rPr>
          <w:rFonts w:cs="Times New Roman" w:eastAsiaTheme="minorEastAsia"/>
          <w:color w:val="auto"/>
        </w:rPr>
        <w:t>λ</w:t>
      </w:r>
      <w:r>
        <w:rPr>
          <w:rFonts w:cs="Times New Roman" w:eastAsiaTheme="minorEastAsia"/>
          <w:color w:val="auto"/>
          <w:lang w:eastAsia="zh-CN"/>
        </w:rPr>
        <w:t>]矩阵，即可解出[Q]矩阵。</w:t>
      </w:r>
    </w:p>
    <w:p>
      <w:pPr>
        <w:pStyle w:val="30"/>
        <w:ind w:firstLine="480"/>
        <w:rPr>
          <w:rFonts w:cs="Times New Roman" w:eastAsiaTheme="minorEastAsia"/>
          <w:color w:val="auto"/>
          <w:sz w:val="21"/>
          <w:lang w:eastAsia="zh-CN"/>
        </w:rPr>
      </w:pPr>
      <w:r>
        <w:rPr>
          <w:rFonts w:cs="Times New Roman" w:eastAsiaTheme="minorEastAsia"/>
          <w:color w:val="auto"/>
          <w:lang w:eastAsia="zh-CN"/>
        </w:rPr>
        <w:t>（2）等效电荷产生的电场</w:t>
      </w:r>
    </w:p>
    <w:p>
      <w:pPr>
        <w:pStyle w:val="30"/>
        <w:ind w:firstLine="480"/>
        <w:rPr>
          <w:rFonts w:cs="Times New Roman" w:eastAsiaTheme="minorEastAsia"/>
          <w:snapToGrid/>
          <w:color w:val="auto"/>
          <w:lang w:eastAsia="zh-CN"/>
        </w:rPr>
      </w:pPr>
      <w:r>
        <w:rPr>
          <w:rFonts w:cs="Times New Roman" w:eastAsiaTheme="minorEastAsia"/>
          <w:color w:val="auto"/>
          <w:lang w:eastAsia="zh-CN"/>
        </w:rPr>
        <w:t>为计算地面电场强度的最大值，通常取设计最大</w:t>
      </w:r>
      <w:r>
        <w:rPr>
          <w:rFonts w:cs="Times New Roman" w:eastAsiaTheme="minorEastAsia"/>
          <w:color w:val="auto"/>
          <w:spacing w:val="-2"/>
          <w:lang w:eastAsia="zh-CN"/>
        </w:rPr>
        <w:t>弧垂时导线的最小对地高度。</w:t>
      </w:r>
    </w:p>
    <w:p>
      <w:pPr>
        <w:pStyle w:val="30"/>
        <w:ind w:firstLine="480"/>
        <w:rPr>
          <w:rFonts w:cs="Times New Roman" w:eastAsiaTheme="minorEastAsia"/>
          <w:color w:val="auto"/>
          <w:spacing w:val="-2"/>
          <w:lang w:eastAsia="zh-CN"/>
        </w:rPr>
      </w:pPr>
      <w:r>
        <w:rPr>
          <w:rFonts w:cs="Times New Roman" w:eastAsiaTheme="minorEastAsia"/>
          <w:color w:val="auto"/>
          <w:lang w:eastAsia="zh-CN"/>
        </w:rPr>
        <w:t>当各导线单位长度的等效电荷最大值求出后，空间任意一点的电场强度可根据叠加原</w:t>
      </w:r>
      <w:r>
        <w:rPr>
          <w:rFonts w:cs="Times New Roman" w:eastAsiaTheme="minorEastAsia"/>
          <w:color w:val="auto"/>
          <w:spacing w:val="-2"/>
          <w:lang w:eastAsia="zh-CN"/>
        </w:rPr>
        <w:t>理计算得出，在（x，y）点的电场强度分量Ex和Ey可表示为：</w:t>
      </w:r>
    </w:p>
    <w:p>
      <w:pPr>
        <w:pStyle w:val="30"/>
        <w:ind w:firstLine="0" w:firstLineChars="0"/>
        <w:jc w:val="center"/>
        <w:rPr>
          <w:rFonts w:cs="Times New Roman" w:eastAsiaTheme="minorEastAsia"/>
          <w:color w:val="auto"/>
          <w:spacing w:val="-2"/>
          <w:lang w:eastAsia="zh-CN"/>
        </w:rPr>
      </w:pPr>
      <w:r>
        <w:rPr>
          <w:rFonts w:cs="Times New Roman" w:eastAsiaTheme="minorEastAsia"/>
          <w:snapToGrid/>
          <w:color w:val="auto"/>
        </w:rPr>
        <w:drawing>
          <wp:inline distT="0" distB="0" distL="0" distR="0">
            <wp:extent cx="2143125" cy="495300"/>
            <wp:effectExtent l="0" t="0" r="9525" b="0"/>
            <wp:docPr id="3667002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70022" name="图片 27"/>
                    <pic:cNvPicPr>
                      <a:picLocks noChangeAspect="1"/>
                    </pic:cNvPicPr>
                  </pic:nvPicPr>
                  <pic:blipFill>
                    <a:blip r:embed="rId51"/>
                    <a:stretch>
                      <a:fillRect/>
                    </a:stretch>
                  </pic:blipFill>
                  <pic:spPr>
                    <a:xfrm>
                      <a:off x="0" y="0"/>
                      <a:ext cx="2143125" cy="495300"/>
                    </a:xfrm>
                    <a:prstGeom prst="rect">
                      <a:avLst/>
                    </a:prstGeom>
                  </pic:spPr>
                </pic:pic>
              </a:graphicData>
            </a:graphic>
          </wp:inline>
        </w:drawing>
      </w:r>
      <w:r>
        <w:rPr>
          <w:rFonts w:hint="eastAsia" w:cs="Times New Roman" w:eastAsiaTheme="minorEastAsia"/>
          <w:snapToGrid/>
          <w:color w:val="auto"/>
          <w:lang w:eastAsia="zh-CN"/>
        </w:rPr>
        <w:t>……</w:t>
      </w:r>
      <w:r>
        <w:rPr>
          <w:rFonts w:hint="eastAsia" w:cs="Times New Roman" w:eastAsiaTheme="minorEastAsia"/>
          <w:color w:val="auto"/>
          <w:sz w:val="21"/>
          <w:szCs w:val="21"/>
          <w:lang w:eastAsia="zh-CN"/>
        </w:rPr>
        <w:t>(</w:t>
      </w:r>
      <w:r>
        <w:rPr>
          <w:rFonts w:cs="Times New Roman" w:eastAsiaTheme="minorEastAsia"/>
          <w:color w:val="auto"/>
          <w:sz w:val="21"/>
          <w:szCs w:val="21"/>
          <w:lang w:eastAsia="zh-CN"/>
        </w:rPr>
        <w:t>6）</w:t>
      </w:r>
    </w:p>
    <w:p>
      <w:pPr>
        <w:pStyle w:val="30"/>
        <w:ind w:firstLine="0" w:firstLineChars="0"/>
        <w:jc w:val="center"/>
        <w:rPr>
          <w:rFonts w:cs="Times New Roman" w:eastAsiaTheme="minorEastAsia"/>
          <w:color w:val="auto"/>
          <w:spacing w:val="-2"/>
          <w:lang w:eastAsia="zh-CN"/>
        </w:rPr>
      </w:pPr>
      <w:r>
        <w:rPr>
          <w:rFonts w:cs="Times New Roman" w:eastAsiaTheme="minorEastAsia"/>
          <w:snapToGrid/>
          <w:color w:val="auto"/>
        </w:rPr>
        <w:drawing>
          <wp:inline distT="0" distB="0" distL="0" distR="0">
            <wp:extent cx="2181225" cy="447675"/>
            <wp:effectExtent l="0" t="0" r="9525" b="9525"/>
            <wp:docPr id="180328566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285662" name="图片 28"/>
                    <pic:cNvPicPr>
                      <a:picLocks noChangeAspect="1"/>
                    </pic:cNvPicPr>
                  </pic:nvPicPr>
                  <pic:blipFill>
                    <a:blip r:embed="rId52"/>
                    <a:stretch>
                      <a:fillRect/>
                    </a:stretch>
                  </pic:blipFill>
                  <pic:spPr>
                    <a:xfrm>
                      <a:off x="0" y="0"/>
                      <a:ext cx="2181225" cy="447675"/>
                    </a:xfrm>
                    <a:prstGeom prst="rect">
                      <a:avLst/>
                    </a:prstGeom>
                  </pic:spPr>
                </pic:pic>
              </a:graphicData>
            </a:graphic>
          </wp:inline>
        </w:drawing>
      </w:r>
      <w:r>
        <w:rPr>
          <w:rFonts w:hint="eastAsia" w:cs="Times New Roman" w:eastAsiaTheme="minorEastAsia"/>
          <w:snapToGrid/>
          <w:color w:val="auto"/>
          <w:lang w:eastAsia="zh-CN"/>
        </w:rPr>
        <w:t>……(</w:t>
      </w:r>
      <w:r>
        <w:rPr>
          <w:rFonts w:cs="Times New Roman" w:eastAsiaTheme="minorEastAsia"/>
          <w:color w:val="auto"/>
          <w:sz w:val="21"/>
          <w:szCs w:val="21"/>
          <w:lang w:eastAsia="zh-CN"/>
        </w:rPr>
        <w:t>7）</w:t>
      </w:r>
    </w:p>
    <w:p>
      <w:pPr>
        <w:pStyle w:val="30"/>
        <w:ind w:firstLine="480"/>
        <w:rPr>
          <w:rFonts w:cs="Times New Roman" w:eastAsiaTheme="minorEastAsia"/>
          <w:color w:val="auto"/>
          <w:lang w:eastAsia="zh-CN"/>
        </w:rPr>
      </w:pPr>
      <w:r>
        <w:rPr>
          <w:rFonts w:cs="Times New Roman" w:eastAsiaTheme="minorEastAsia"/>
          <w:color w:val="auto"/>
          <w:lang w:eastAsia="zh-CN"/>
        </w:rPr>
        <w:t>式中：</w:t>
      </w:r>
    </w:p>
    <w:p>
      <w:pPr>
        <w:pStyle w:val="30"/>
        <w:ind w:firstLine="480"/>
        <w:rPr>
          <w:rFonts w:cs="Times New Roman" w:eastAsiaTheme="minorEastAsia"/>
          <w:color w:val="auto"/>
          <w:lang w:eastAsia="zh-CN"/>
        </w:rPr>
      </w:pPr>
      <w:r>
        <w:rPr>
          <w:rFonts w:cs="Times New Roman" w:eastAsiaTheme="minorEastAsia"/>
          <w:color w:val="auto"/>
          <w:lang w:eastAsia="zh-CN"/>
        </w:rPr>
        <w:t>xi，yi——导线i的坐标（i=1、2、…m）；</w:t>
      </w:r>
    </w:p>
    <w:p>
      <w:pPr>
        <w:pStyle w:val="30"/>
        <w:ind w:firstLine="480"/>
        <w:rPr>
          <w:rFonts w:cs="Times New Roman" w:eastAsiaTheme="minorEastAsia"/>
          <w:color w:val="auto"/>
          <w:lang w:eastAsia="zh-CN"/>
        </w:rPr>
      </w:pPr>
      <w:r>
        <w:rPr>
          <w:rFonts w:cs="Times New Roman" w:eastAsiaTheme="minorEastAsia"/>
          <w:color w:val="auto"/>
          <w:lang w:eastAsia="zh-CN"/>
        </w:rPr>
        <w:t>m——导线数目；</w:t>
      </w:r>
    </w:p>
    <w:p>
      <w:pPr>
        <w:pStyle w:val="30"/>
        <w:ind w:firstLine="480"/>
        <w:rPr>
          <w:rFonts w:cs="Times New Roman" w:eastAsiaTheme="minorEastAsia"/>
          <w:color w:val="auto"/>
          <w:lang w:eastAsia="zh-CN"/>
        </w:rPr>
      </w:pPr>
      <w:r>
        <w:rPr>
          <w:rFonts w:cs="Times New Roman" w:eastAsiaTheme="minorEastAsia"/>
          <w:color w:val="auto"/>
          <w:lang w:eastAsia="zh-CN"/>
        </w:rPr>
        <w:t>Li，L'i——分别为导线i及其镜像至计算点的距离，m。</w:t>
      </w:r>
    </w:p>
    <w:p>
      <w:pPr>
        <w:pStyle w:val="30"/>
        <w:ind w:firstLine="480"/>
        <w:rPr>
          <w:rFonts w:cs="Times New Roman" w:eastAsiaTheme="minorEastAsia"/>
          <w:color w:val="auto"/>
          <w:lang w:eastAsia="zh-CN"/>
        </w:rPr>
      </w:pPr>
      <w:r>
        <w:rPr>
          <w:rFonts w:cs="Times New Roman" w:eastAsiaTheme="minorEastAsia"/>
          <w:color w:val="auto"/>
          <w:lang w:eastAsia="zh-CN"/>
        </w:rPr>
        <w:t>（3）高压交流架空输电线路下空间工频磁场强度的计算</w:t>
      </w:r>
    </w:p>
    <w:p>
      <w:pPr>
        <w:pStyle w:val="30"/>
        <w:ind w:firstLine="480"/>
        <w:rPr>
          <w:rFonts w:cs="Times New Roman" w:eastAsiaTheme="minorEastAsia"/>
          <w:color w:val="auto"/>
          <w:lang w:eastAsia="zh-CN"/>
        </w:rPr>
      </w:pPr>
      <w:r>
        <w:rPr>
          <w:rFonts w:cs="Times New Roman" w:eastAsiaTheme="minorEastAsia"/>
          <w:color w:val="auto"/>
          <w:lang w:eastAsia="zh-CN"/>
        </w:rPr>
        <w:t>只考虑处于空间的实际导线，忽略它的镜像，计算其产生的磁场强度：</w:t>
      </w:r>
    </w:p>
    <w:p>
      <w:pPr>
        <w:pStyle w:val="30"/>
        <w:ind w:firstLine="0" w:firstLineChars="0"/>
        <w:jc w:val="center"/>
        <w:rPr>
          <w:rFonts w:cs="Times New Roman" w:eastAsiaTheme="minorEastAsia"/>
          <w:color w:val="auto"/>
          <w:spacing w:val="-2"/>
          <w:lang w:eastAsia="zh-CN"/>
        </w:rPr>
      </w:pPr>
      <w:r>
        <w:rPr>
          <w:rFonts w:cs="Times New Roman" w:eastAsiaTheme="minorEastAsia"/>
          <w:snapToGrid/>
          <w:color w:val="auto"/>
        </w:rPr>
        <w:drawing>
          <wp:inline distT="0" distB="0" distL="0" distR="0">
            <wp:extent cx="1647825" cy="409575"/>
            <wp:effectExtent l="0" t="0" r="9525" b="9525"/>
            <wp:docPr id="65632035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320357" name="图片 29"/>
                    <pic:cNvPicPr>
                      <a:picLocks noChangeAspect="1"/>
                    </pic:cNvPicPr>
                  </pic:nvPicPr>
                  <pic:blipFill>
                    <a:blip r:embed="rId53"/>
                    <a:stretch>
                      <a:fillRect/>
                    </a:stretch>
                  </pic:blipFill>
                  <pic:spPr>
                    <a:xfrm>
                      <a:off x="0" y="0"/>
                      <a:ext cx="1647825" cy="409575"/>
                    </a:xfrm>
                    <a:prstGeom prst="rect">
                      <a:avLst/>
                    </a:prstGeom>
                  </pic:spPr>
                </pic:pic>
              </a:graphicData>
            </a:graphic>
          </wp:inline>
        </w:drawing>
      </w:r>
      <w:r>
        <w:rPr>
          <w:rFonts w:hint="eastAsia" w:cs="Times New Roman" w:eastAsiaTheme="minorEastAsia"/>
          <w:snapToGrid/>
          <w:color w:val="auto"/>
          <w:lang w:eastAsia="zh-CN"/>
        </w:rPr>
        <w:t>……</w:t>
      </w:r>
      <w:r>
        <w:rPr>
          <w:rFonts w:hint="eastAsia" w:cs="Times New Roman" w:eastAsiaTheme="minorEastAsia"/>
          <w:color w:val="auto"/>
          <w:sz w:val="21"/>
          <w:szCs w:val="21"/>
          <w:lang w:eastAsia="zh-CN"/>
        </w:rPr>
        <w:t>(</w:t>
      </w:r>
      <w:r>
        <w:rPr>
          <w:rFonts w:cs="Times New Roman" w:eastAsiaTheme="minorEastAsia"/>
          <w:color w:val="auto"/>
          <w:sz w:val="21"/>
          <w:szCs w:val="21"/>
          <w:lang w:eastAsia="zh-CN"/>
        </w:rPr>
        <w:t>8）</w:t>
      </w:r>
    </w:p>
    <w:p>
      <w:pPr>
        <w:pStyle w:val="30"/>
        <w:ind w:firstLine="480"/>
        <w:rPr>
          <w:rFonts w:cs="Times New Roman" w:eastAsiaTheme="minorEastAsia"/>
          <w:color w:val="auto"/>
          <w:lang w:eastAsia="zh-CN"/>
        </w:rPr>
      </w:pPr>
      <w:r>
        <w:rPr>
          <w:rFonts w:cs="Times New Roman" w:eastAsiaTheme="minorEastAsia"/>
          <w:color w:val="auto"/>
          <w:lang w:eastAsia="zh-CN"/>
        </w:rPr>
        <w:t>式中：I——导线i中的电流值，A；</w:t>
      </w:r>
    </w:p>
    <w:p>
      <w:pPr>
        <w:pStyle w:val="30"/>
        <w:ind w:firstLine="480"/>
        <w:rPr>
          <w:rFonts w:cs="Times New Roman" w:eastAsiaTheme="minorEastAsia"/>
          <w:color w:val="auto"/>
          <w:lang w:eastAsia="zh-CN"/>
        </w:rPr>
      </w:pPr>
      <w:r>
        <w:rPr>
          <w:rFonts w:cs="Times New Roman" w:eastAsiaTheme="minorEastAsia"/>
          <w:color w:val="auto"/>
          <w:lang w:eastAsia="zh-CN"/>
        </w:rPr>
        <w:t>h——导线与预测点的高差，m；</w:t>
      </w:r>
    </w:p>
    <w:p>
      <w:pPr>
        <w:pStyle w:val="30"/>
        <w:ind w:firstLine="480"/>
        <w:rPr>
          <w:rFonts w:cs="Times New Roman" w:eastAsiaTheme="minorEastAsia"/>
          <w:color w:val="auto"/>
          <w:lang w:eastAsia="zh-CN"/>
        </w:rPr>
      </w:pPr>
      <w:r>
        <w:rPr>
          <w:rFonts w:cs="Times New Roman" w:eastAsiaTheme="minorEastAsia"/>
          <w:color w:val="auto"/>
          <w:lang w:eastAsia="zh-CN"/>
        </w:rPr>
        <w:t>L——导线与预测点水平距离，m。</w:t>
      </w:r>
    </w:p>
    <w:p>
      <w:pPr>
        <w:pStyle w:val="30"/>
        <w:ind w:firstLine="480"/>
        <w:rPr>
          <w:rFonts w:cs="Times New Roman" w:eastAsiaTheme="minorEastAsia"/>
          <w:snapToGrid/>
          <w:color w:val="auto"/>
          <w:szCs w:val="24"/>
          <w:lang w:eastAsia="zh-CN"/>
        </w:rPr>
      </w:pPr>
      <w:r>
        <w:rPr>
          <w:rFonts w:cs="Times New Roman" w:eastAsiaTheme="minorEastAsia"/>
          <w:snapToGrid/>
          <w:color w:val="auto"/>
          <w:szCs w:val="24"/>
          <w:lang w:eastAsia="zh-CN"/>
        </w:rPr>
        <w:t>（4）场强合成</w:t>
      </w:r>
    </w:p>
    <w:p>
      <w:pPr>
        <w:pStyle w:val="30"/>
        <w:ind w:firstLine="480"/>
        <w:rPr>
          <w:rFonts w:cs="Times New Roman" w:eastAsiaTheme="minorEastAsia"/>
          <w:color w:val="auto"/>
          <w:spacing w:val="-2"/>
          <w:lang w:eastAsia="zh-CN"/>
        </w:rPr>
      </w:pPr>
      <w:r>
        <w:rPr>
          <w:rFonts w:cs="Times New Roman" w:eastAsiaTheme="minorEastAsia"/>
          <w:snapToGrid/>
          <w:color w:val="auto"/>
          <w:kern w:val="0"/>
          <w:szCs w:val="24"/>
          <w:lang w:eastAsia="zh-CN"/>
        </w:rPr>
        <w:t>在某点产生的磁感应强度计算公式如下：</w:t>
      </w:r>
    </w:p>
    <w:p>
      <w:pPr>
        <w:pStyle w:val="30"/>
        <w:ind w:firstLine="0" w:firstLineChars="0"/>
        <w:jc w:val="center"/>
        <w:rPr>
          <w:rFonts w:cs="Times New Roman" w:eastAsiaTheme="minorEastAsia"/>
          <w:color w:val="auto"/>
          <w:spacing w:val="-2"/>
          <w:lang w:eastAsia="zh-CN"/>
        </w:rPr>
      </w:pPr>
      <w:r>
        <w:rPr>
          <w:rFonts w:cs="Times New Roman" w:eastAsiaTheme="minorEastAsia"/>
          <w:snapToGrid/>
          <w:color w:val="auto"/>
        </w:rPr>
        <w:drawing>
          <wp:inline distT="0" distB="0" distL="0" distR="0">
            <wp:extent cx="923925" cy="409575"/>
            <wp:effectExtent l="0" t="0" r="9525" b="9525"/>
            <wp:docPr id="96022976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229761" name="图片 30"/>
                    <pic:cNvPicPr>
                      <a:picLocks noChangeAspect="1"/>
                    </pic:cNvPicPr>
                  </pic:nvPicPr>
                  <pic:blipFill>
                    <a:blip r:embed="rId54"/>
                    <a:stretch>
                      <a:fillRect/>
                    </a:stretch>
                  </pic:blipFill>
                  <pic:spPr>
                    <a:xfrm>
                      <a:off x="0" y="0"/>
                      <a:ext cx="923925" cy="409575"/>
                    </a:xfrm>
                    <a:prstGeom prst="rect">
                      <a:avLst/>
                    </a:prstGeom>
                  </pic:spPr>
                </pic:pic>
              </a:graphicData>
            </a:graphic>
          </wp:inline>
        </w:drawing>
      </w:r>
      <w:r>
        <w:rPr>
          <w:rFonts w:hint="eastAsia" w:cs="Times New Roman" w:eastAsiaTheme="minorEastAsia"/>
          <w:snapToGrid/>
          <w:color w:val="auto"/>
          <w:lang w:eastAsia="zh-CN"/>
        </w:rPr>
        <w:t>……(</w:t>
      </w:r>
      <w:r>
        <w:rPr>
          <w:rFonts w:cs="Times New Roman" w:eastAsiaTheme="minorEastAsia"/>
          <w:color w:val="auto"/>
          <w:sz w:val="21"/>
          <w:szCs w:val="21"/>
          <w:lang w:eastAsia="zh-CN"/>
        </w:rPr>
        <w:t>9）</w:t>
      </w:r>
    </w:p>
    <w:p>
      <w:pPr>
        <w:pStyle w:val="30"/>
        <w:ind w:firstLine="480"/>
        <w:rPr>
          <w:rFonts w:cs="Times New Roman" w:eastAsiaTheme="minorEastAsia"/>
          <w:snapToGrid/>
          <w:color w:val="auto"/>
          <w:szCs w:val="24"/>
          <w:lang w:eastAsia="zh-CN"/>
        </w:rPr>
      </w:pPr>
      <w:r>
        <w:rPr>
          <w:rFonts w:cs="Times New Roman" w:eastAsiaTheme="minorEastAsia"/>
          <w:snapToGrid/>
          <w:color w:val="auto"/>
          <w:szCs w:val="24"/>
          <w:lang w:eastAsia="zh-CN"/>
        </w:rPr>
        <w:t>式中：</w:t>
      </w:r>
    </w:p>
    <w:p>
      <w:pPr>
        <w:pStyle w:val="30"/>
        <w:ind w:firstLine="480"/>
        <w:rPr>
          <w:rFonts w:cs="Times New Roman" w:eastAsiaTheme="minorEastAsia"/>
          <w:snapToGrid/>
          <w:color w:val="auto"/>
          <w:szCs w:val="24"/>
          <w:lang w:eastAsia="zh-CN"/>
        </w:rPr>
      </w:pPr>
      <w:r>
        <w:rPr>
          <w:rFonts w:cs="Times New Roman" w:eastAsiaTheme="minorEastAsia"/>
          <w:snapToGrid/>
          <w:color w:val="auto"/>
          <w:szCs w:val="24"/>
          <w:lang w:eastAsia="zh-CN"/>
        </w:rPr>
        <w:t>B－磁感应强度</w:t>
      </w:r>
      <w:r>
        <w:rPr>
          <w:rFonts w:hint="eastAsia" w:cs="Times New Roman" w:eastAsiaTheme="minorEastAsia"/>
          <w:snapToGrid/>
          <w:color w:val="auto"/>
          <w:szCs w:val="24"/>
          <w:lang w:eastAsia="zh-CN"/>
        </w:rPr>
        <w:t>（</w:t>
      </w:r>
      <w:r>
        <w:rPr>
          <w:rFonts w:cs="Times New Roman" w:eastAsiaTheme="minorEastAsia"/>
          <w:snapToGrid/>
          <w:color w:val="auto"/>
          <w:szCs w:val="24"/>
          <w:lang w:eastAsia="zh-CN"/>
        </w:rPr>
        <w:t>T</w:t>
      </w:r>
      <w:r>
        <w:rPr>
          <w:rFonts w:hint="eastAsia" w:cs="Times New Roman" w:eastAsiaTheme="minorEastAsia"/>
          <w:snapToGrid/>
          <w:color w:val="auto"/>
          <w:szCs w:val="24"/>
          <w:lang w:eastAsia="zh-CN"/>
        </w:rPr>
        <w:t>）</w:t>
      </w:r>
      <w:r>
        <w:rPr>
          <w:rFonts w:cs="Times New Roman" w:eastAsiaTheme="minorEastAsia"/>
          <w:snapToGrid/>
          <w:color w:val="auto"/>
          <w:szCs w:val="24"/>
          <w:lang w:eastAsia="zh-CN"/>
        </w:rPr>
        <w:t>；</w:t>
      </w:r>
    </w:p>
    <w:p>
      <w:pPr>
        <w:pStyle w:val="30"/>
        <w:ind w:firstLine="480"/>
        <w:rPr>
          <w:rFonts w:cs="Times New Roman" w:eastAsiaTheme="minorEastAsia"/>
          <w:snapToGrid/>
          <w:color w:val="auto"/>
          <w:szCs w:val="24"/>
          <w:lang w:eastAsia="zh-CN"/>
        </w:rPr>
      </w:pPr>
      <w:r>
        <w:rPr>
          <w:rFonts w:cs="Times New Roman" w:eastAsiaTheme="minorEastAsia"/>
          <w:snapToGrid/>
          <w:color w:val="auto"/>
          <w:szCs w:val="24"/>
          <w:lang w:eastAsia="zh-CN"/>
        </w:rPr>
        <w:t>H－磁感应强度</w:t>
      </w:r>
      <w:r>
        <w:rPr>
          <w:rFonts w:hint="eastAsia" w:cs="Times New Roman" w:eastAsiaTheme="minorEastAsia"/>
          <w:snapToGrid/>
          <w:color w:val="auto"/>
          <w:szCs w:val="24"/>
          <w:lang w:eastAsia="zh-CN"/>
        </w:rPr>
        <w:t>（</w:t>
      </w:r>
      <w:r>
        <w:rPr>
          <w:rFonts w:cs="Times New Roman" w:eastAsiaTheme="minorEastAsia"/>
          <w:snapToGrid/>
          <w:color w:val="auto"/>
          <w:szCs w:val="24"/>
          <w:lang w:eastAsia="zh-CN"/>
        </w:rPr>
        <w:t>A/m</w:t>
      </w:r>
      <w:r>
        <w:rPr>
          <w:rFonts w:hint="eastAsia" w:cs="Times New Roman" w:eastAsiaTheme="minorEastAsia"/>
          <w:snapToGrid/>
          <w:color w:val="auto"/>
          <w:szCs w:val="24"/>
          <w:lang w:eastAsia="zh-CN"/>
        </w:rPr>
        <w:t>）</w:t>
      </w:r>
      <w:r>
        <w:rPr>
          <w:rFonts w:cs="Times New Roman" w:eastAsiaTheme="minorEastAsia"/>
          <w:snapToGrid/>
          <w:color w:val="auto"/>
          <w:szCs w:val="24"/>
          <w:lang w:eastAsia="zh-CN"/>
        </w:rPr>
        <w:t>；</w:t>
      </w:r>
    </w:p>
    <w:p>
      <w:pPr>
        <w:pStyle w:val="30"/>
        <w:ind w:firstLine="480"/>
        <w:rPr>
          <w:rFonts w:cs="Times New Roman" w:eastAsiaTheme="minorEastAsia"/>
          <w:snapToGrid/>
          <w:color w:val="auto"/>
          <w:szCs w:val="24"/>
          <w:lang w:eastAsia="zh-CN"/>
        </w:rPr>
      </w:pPr>
      <w:r>
        <w:rPr>
          <w:rFonts w:cs="Times New Roman" w:eastAsiaTheme="minorEastAsia"/>
          <w:snapToGrid/>
          <w:color w:val="auto"/>
          <w:szCs w:val="24"/>
          <w:lang w:eastAsia="zh-CN"/>
        </w:rPr>
        <w:t>μ0－常数，真空中相对磁导率</w:t>
      </w:r>
      <w:r>
        <w:rPr>
          <w:rFonts w:hint="eastAsia" w:cs="Times New Roman" w:eastAsiaTheme="minorEastAsia"/>
          <w:snapToGrid/>
          <w:color w:val="auto"/>
          <w:szCs w:val="24"/>
          <w:lang w:eastAsia="zh-CN"/>
        </w:rPr>
        <w:t>（</w:t>
      </w:r>
      <w:r>
        <w:rPr>
          <w:rFonts w:cs="Times New Roman" w:eastAsiaTheme="minorEastAsia"/>
          <w:snapToGrid/>
          <w:color w:val="auto"/>
          <w:szCs w:val="24"/>
          <w:lang w:eastAsia="zh-CN"/>
        </w:rPr>
        <w:t>μ0=4π×10</w:t>
      </w:r>
      <w:r>
        <w:rPr>
          <w:rFonts w:cs="Times New Roman" w:eastAsiaTheme="minorEastAsia"/>
          <w:snapToGrid/>
          <w:color w:val="auto"/>
          <w:szCs w:val="24"/>
          <w:vertAlign w:val="superscript"/>
          <w:lang w:eastAsia="zh-CN"/>
        </w:rPr>
        <w:t>-7</w:t>
      </w:r>
      <w:r>
        <w:rPr>
          <w:rFonts w:cs="Times New Roman" w:eastAsiaTheme="minorEastAsia"/>
          <w:snapToGrid/>
          <w:color w:val="auto"/>
          <w:szCs w:val="24"/>
          <w:lang w:eastAsia="zh-CN"/>
        </w:rPr>
        <w:t>H/m</w:t>
      </w:r>
      <w:r>
        <w:rPr>
          <w:rFonts w:hint="eastAsia" w:cs="Times New Roman" w:eastAsiaTheme="minorEastAsia"/>
          <w:snapToGrid/>
          <w:color w:val="auto"/>
          <w:szCs w:val="24"/>
          <w:lang w:eastAsia="zh-CN"/>
        </w:rPr>
        <w:t>）</w:t>
      </w:r>
      <w:r>
        <w:rPr>
          <w:rFonts w:cs="Times New Roman" w:eastAsiaTheme="minorEastAsia"/>
          <w:snapToGrid/>
          <w:color w:val="auto"/>
          <w:szCs w:val="24"/>
          <w:lang w:eastAsia="zh-CN"/>
        </w:rPr>
        <w:t>；</w:t>
      </w:r>
    </w:p>
    <w:p>
      <w:pPr>
        <w:pStyle w:val="30"/>
        <w:ind w:firstLine="480"/>
        <w:rPr>
          <w:rFonts w:cs="Times New Roman" w:eastAsiaTheme="minorEastAsia"/>
          <w:snapToGrid/>
          <w:color w:val="auto"/>
          <w:szCs w:val="24"/>
          <w:lang w:eastAsia="zh-CN"/>
        </w:rPr>
      </w:pPr>
      <w:r>
        <w:rPr>
          <w:rFonts w:cs="Times New Roman" w:eastAsiaTheme="minorEastAsia"/>
          <w:snapToGrid/>
          <w:color w:val="auto"/>
          <w:szCs w:val="24"/>
          <w:lang w:eastAsia="zh-CN"/>
        </w:rPr>
        <w:t>I－导线i中的电流值，A；</w:t>
      </w:r>
    </w:p>
    <w:p>
      <w:pPr>
        <w:pStyle w:val="30"/>
        <w:ind w:firstLine="480"/>
        <w:rPr>
          <w:rFonts w:cs="Times New Roman" w:eastAsiaTheme="minorEastAsia"/>
          <w:color w:val="auto"/>
          <w:spacing w:val="-2"/>
          <w:lang w:eastAsia="zh-CN"/>
        </w:rPr>
      </w:pPr>
      <w:r>
        <w:rPr>
          <w:rFonts w:cs="Times New Roman" w:eastAsiaTheme="minorEastAsia"/>
          <w:snapToGrid/>
          <w:color w:val="auto"/>
          <w:kern w:val="0"/>
          <w:szCs w:val="24"/>
          <w:lang w:eastAsia="zh-CN"/>
        </w:rPr>
        <w:t>r－第i相导线至计算点处的直线距离，m。</w:t>
      </w:r>
    </w:p>
    <w:p>
      <w:pPr>
        <w:pStyle w:val="30"/>
        <w:ind w:firstLine="480"/>
        <w:rPr>
          <w:rFonts w:cs="Times New Roman" w:eastAsiaTheme="minorEastAsia"/>
          <w:snapToGrid/>
          <w:color w:val="auto"/>
          <w:szCs w:val="24"/>
          <w:lang w:eastAsia="zh-CN"/>
        </w:rPr>
      </w:pPr>
      <w:r>
        <w:rPr>
          <w:rFonts w:cs="Times New Roman" w:eastAsiaTheme="minorEastAsia"/>
          <w:snapToGrid/>
          <w:color w:val="auto"/>
          <w:szCs w:val="24"/>
          <w:lang w:eastAsia="zh-CN"/>
        </w:rPr>
        <w:t>对于三相线路，由相位不同形成的磁感应强度水平和垂直分量都必须分别考虑电流间</w:t>
      </w:r>
      <w:r>
        <w:rPr>
          <w:rFonts w:cs="Times New Roman" w:eastAsiaTheme="minorEastAsia"/>
          <w:snapToGrid/>
          <w:color w:val="auto"/>
          <w:kern w:val="0"/>
          <w:szCs w:val="24"/>
          <w:lang w:eastAsia="zh-CN"/>
        </w:rPr>
        <w:t>的相角，三相导线中电流分量为：</w:t>
      </w:r>
    </w:p>
    <w:p>
      <w:pPr>
        <w:pStyle w:val="30"/>
        <w:ind w:firstLine="0" w:firstLineChars="0"/>
        <w:jc w:val="center"/>
        <w:rPr>
          <w:rFonts w:cs="Times New Roman" w:eastAsiaTheme="minorEastAsia"/>
          <w:color w:val="auto"/>
          <w:spacing w:val="-2"/>
          <w:lang w:eastAsia="zh-CN"/>
        </w:rPr>
      </w:pPr>
      <w:r>
        <w:rPr>
          <w:rFonts w:cs="Times New Roman" w:eastAsiaTheme="minorEastAsia"/>
          <w:snapToGrid/>
          <w:color w:val="auto"/>
        </w:rPr>
        <w:drawing>
          <wp:inline distT="0" distB="0" distL="0" distR="0">
            <wp:extent cx="1590675" cy="1019175"/>
            <wp:effectExtent l="0" t="0" r="9525" b="9525"/>
            <wp:docPr id="199261902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619020" name="图片 31"/>
                    <pic:cNvPicPr>
                      <a:picLocks noChangeAspect="1"/>
                    </pic:cNvPicPr>
                  </pic:nvPicPr>
                  <pic:blipFill>
                    <a:blip r:embed="rId55"/>
                    <a:stretch>
                      <a:fillRect/>
                    </a:stretch>
                  </pic:blipFill>
                  <pic:spPr>
                    <a:xfrm>
                      <a:off x="0" y="0"/>
                      <a:ext cx="1590675" cy="1019175"/>
                    </a:xfrm>
                    <a:prstGeom prst="rect">
                      <a:avLst/>
                    </a:prstGeom>
                  </pic:spPr>
                </pic:pic>
              </a:graphicData>
            </a:graphic>
          </wp:inline>
        </w:drawing>
      </w:r>
      <w:r>
        <w:rPr>
          <w:rFonts w:hint="eastAsia" w:cs="Times New Roman" w:eastAsiaTheme="minorEastAsia"/>
          <w:snapToGrid/>
          <w:color w:val="auto"/>
          <w:lang w:eastAsia="zh-CN"/>
        </w:rPr>
        <w:t>……(</w:t>
      </w:r>
      <w:r>
        <w:rPr>
          <w:rFonts w:cs="Times New Roman" w:eastAsiaTheme="minorEastAsia"/>
          <w:color w:val="auto"/>
          <w:sz w:val="21"/>
          <w:szCs w:val="21"/>
          <w:lang w:eastAsia="zh-CN"/>
        </w:rPr>
        <w:t>10）</w:t>
      </w:r>
    </w:p>
    <w:p>
      <w:pPr>
        <w:pStyle w:val="30"/>
        <w:ind w:firstLine="480"/>
        <w:rPr>
          <w:rFonts w:cs="Times New Roman" w:eastAsiaTheme="minorEastAsia"/>
          <w:snapToGrid/>
          <w:color w:val="auto"/>
          <w:szCs w:val="24"/>
          <w:lang w:eastAsia="zh-CN"/>
        </w:rPr>
      </w:pPr>
      <w:r>
        <w:rPr>
          <w:rFonts w:cs="Times New Roman" w:eastAsiaTheme="minorEastAsia"/>
          <w:snapToGrid/>
          <w:color w:val="auto"/>
          <w:szCs w:val="24"/>
          <w:lang w:eastAsia="zh-CN"/>
        </w:rPr>
        <w:t>空间任意一点的磁感应强度与电场强度计算方法一样，可根据叠加原理计算得出。由</w:t>
      </w:r>
      <w:r>
        <w:rPr>
          <w:rFonts w:cs="Times New Roman" w:eastAsiaTheme="minorEastAsia"/>
          <w:snapToGrid/>
          <w:color w:val="auto"/>
          <w:kern w:val="0"/>
          <w:szCs w:val="24"/>
          <w:lang w:eastAsia="zh-CN"/>
        </w:rPr>
        <w:t>此计算空间任意一点磁感应强度的水平和垂直分量为：</w:t>
      </w:r>
    </w:p>
    <w:p>
      <w:pPr>
        <w:pStyle w:val="30"/>
        <w:ind w:firstLine="0" w:firstLineChars="0"/>
        <w:jc w:val="center"/>
        <w:rPr>
          <w:rFonts w:cs="Times New Roman" w:eastAsiaTheme="minorEastAsia"/>
          <w:color w:val="auto"/>
          <w:spacing w:val="-2"/>
          <w:lang w:eastAsia="zh-CN"/>
        </w:rPr>
      </w:pPr>
      <w:r>
        <w:rPr>
          <w:rFonts w:cs="Times New Roman" w:eastAsiaTheme="minorEastAsia"/>
          <w:snapToGrid/>
          <w:color w:val="auto"/>
        </w:rPr>
        <w:drawing>
          <wp:inline distT="0" distB="0" distL="0" distR="0">
            <wp:extent cx="2314575" cy="1076325"/>
            <wp:effectExtent l="0" t="0" r="9525" b="9525"/>
            <wp:docPr id="2624300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43001" name="图片 32"/>
                    <pic:cNvPicPr>
                      <a:picLocks noChangeAspect="1"/>
                    </pic:cNvPicPr>
                  </pic:nvPicPr>
                  <pic:blipFill>
                    <a:blip r:embed="rId56"/>
                    <a:stretch>
                      <a:fillRect/>
                    </a:stretch>
                  </pic:blipFill>
                  <pic:spPr>
                    <a:xfrm>
                      <a:off x="0" y="0"/>
                      <a:ext cx="2314575" cy="1076325"/>
                    </a:xfrm>
                    <a:prstGeom prst="rect">
                      <a:avLst/>
                    </a:prstGeom>
                  </pic:spPr>
                </pic:pic>
              </a:graphicData>
            </a:graphic>
          </wp:inline>
        </w:drawing>
      </w:r>
      <w:r>
        <w:rPr>
          <w:rFonts w:hint="eastAsia" w:cs="Times New Roman" w:eastAsiaTheme="minorEastAsia"/>
          <w:snapToGrid/>
          <w:color w:val="auto"/>
          <w:lang w:eastAsia="zh-CN"/>
        </w:rPr>
        <w:t>……(</w:t>
      </w:r>
      <w:r>
        <w:rPr>
          <w:rFonts w:cs="Times New Roman" w:eastAsiaTheme="minorEastAsia"/>
          <w:color w:val="auto"/>
          <w:sz w:val="21"/>
          <w:szCs w:val="21"/>
          <w:lang w:eastAsia="zh-CN"/>
        </w:rPr>
        <w:t>11）</w:t>
      </w:r>
    </w:p>
    <w:p>
      <w:pPr>
        <w:pStyle w:val="30"/>
        <w:ind w:firstLine="480"/>
        <w:rPr>
          <w:rFonts w:cs="Times New Roman" w:eastAsiaTheme="minorEastAsia"/>
          <w:snapToGrid/>
          <w:color w:val="auto"/>
          <w:szCs w:val="24"/>
          <w:lang w:eastAsia="zh-CN"/>
        </w:rPr>
      </w:pPr>
      <w:r>
        <w:rPr>
          <w:rFonts w:cs="Times New Roman" w:eastAsiaTheme="minorEastAsia"/>
          <w:snapToGrid/>
          <w:color w:val="auto"/>
          <w:szCs w:val="24"/>
          <w:lang w:eastAsia="zh-CN"/>
        </w:rPr>
        <w:t>式中：</w:t>
      </w:r>
    </w:p>
    <w:p>
      <w:pPr>
        <w:pStyle w:val="30"/>
        <w:ind w:firstLine="480"/>
        <w:rPr>
          <w:rFonts w:cs="Times New Roman" w:eastAsiaTheme="minorEastAsia"/>
          <w:snapToGrid/>
          <w:color w:val="auto"/>
          <w:szCs w:val="24"/>
          <w:lang w:eastAsia="zh-CN"/>
        </w:rPr>
      </w:pPr>
      <w:r>
        <w:rPr>
          <w:rFonts w:cs="Times New Roman" w:eastAsiaTheme="minorEastAsia"/>
          <w:snapToGrid/>
          <w:color w:val="auto"/>
          <w:szCs w:val="24"/>
          <w:lang w:eastAsia="zh-CN"/>
        </w:rPr>
        <w:t>BxR－由各相导线的实部电流在该点产生场强的水平分量；</w:t>
      </w:r>
    </w:p>
    <w:p>
      <w:pPr>
        <w:pStyle w:val="30"/>
        <w:ind w:firstLine="480"/>
        <w:rPr>
          <w:rFonts w:cs="Times New Roman" w:eastAsiaTheme="minorEastAsia"/>
          <w:snapToGrid/>
          <w:color w:val="auto"/>
          <w:szCs w:val="24"/>
          <w:lang w:eastAsia="zh-CN"/>
        </w:rPr>
      </w:pPr>
      <w:r>
        <w:rPr>
          <w:rFonts w:cs="Times New Roman" w:eastAsiaTheme="minorEastAsia"/>
          <w:snapToGrid/>
          <w:color w:val="auto"/>
          <w:szCs w:val="24"/>
          <w:lang w:eastAsia="zh-CN"/>
        </w:rPr>
        <w:t>BxI－由各相导线的虚部电流在该点产生场强的水平分量；</w:t>
      </w:r>
    </w:p>
    <w:p>
      <w:pPr>
        <w:pStyle w:val="30"/>
        <w:ind w:firstLine="480"/>
        <w:rPr>
          <w:rFonts w:cs="Times New Roman" w:eastAsiaTheme="minorEastAsia"/>
          <w:snapToGrid/>
          <w:color w:val="auto"/>
          <w:szCs w:val="24"/>
          <w:lang w:eastAsia="zh-CN"/>
        </w:rPr>
      </w:pPr>
      <w:r>
        <w:rPr>
          <w:rFonts w:cs="Times New Roman" w:eastAsiaTheme="minorEastAsia"/>
          <w:snapToGrid/>
          <w:color w:val="auto"/>
          <w:szCs w:val="24"/>
          <w:lang w:eastAsia="zh-CN"/>
        </w:rPr>
        <w:t>ByR－由各相导线的实部电流在该点产生场强的垂直分量；</w:t>
      </w:r>
    </w:p>
    <w:p>
      <w:pPr>
        <w:pStyle w:val="30"/>
        <w:ind w:firstLine="480"/>
        <w:rPr>
          <w:rFonts w:cs="Times New Roman" w:eastAsiaTheme="minorEastAsia"/>
          <w:snapToGrid/>
          <w:color w:val="auto"/>
          <w:szCs w:val="24"/>
          <w:lang w:eastAsia="zh-CN"/>
        </w:rPr>
      </w:pPr>
      <w:r>
        <w:rPr>
          <w:rFonts w:cs="Times New Roman" w:eastAsiaTheme="minorEastAsia"/>
          <w:snapToGrid/>
          <w:color w:val="auto"/>
          <w:szCs w:val="24"/>
          <w:lang w:eastAsia="zh-CN"/>
        </w:rPr>
        <w:t>ByI－由各相导线的虚部电流在该点产生场强的垂直分量。</w:t>
      </w:r>
    </w:p>
    <w:p>
      <w:pPr>
        <w:pStyle w:val="30"/>
        <w:ind w:firstLine="480"/>
        <w:rPr>
          <w:rFonts w:cs="Times New Roman" w:eastAsiaTheme="minorEastAsia"/>
          <w:color w:val="auto"/>
          <w:spacing w:val="-2"/>
          <w:lang w:eastAsia="zh-CN"/>
        </w:rPr>
      </w:pPr>
      <w:r>
        <w:rPr>
          <w:rFonts w:cs="Times New Roman" w:eastAsiaTheme="minorEastAsia"/>
          <w:snapToGrid/>
          <w:color w:val="auto"/>
          <w:kern w:val="0"/>
          <w:szCs w:val="24"/>
          <w:lang w:eastAsia="zh-CN"/>
        </w:rPr>
        <w:t>计算点的合成场强为：</w:t>
      </w:r>
    </w:p>
    <w:p>
      <w:pPr>
        <w:pStyle w:val="30"/>
        <w:ind w:firstLine="0" w:firstLineChars="0"/>
        <w:jc w:val="center"/>
        <w:rPr>
          <w:rFonts w:cs="Times New Roman" w:eastAsiaTheme="minorEastAsia"/>
          <w:color w:val="auto"/>
          <w:spacing w:val="-2"/>
          <w:lang w:eastAsia="zh-CN"/>
        </w:rPr>
      </w:pPr>
      <w:r>
        <w:rPr>
          <w:rFonts w:cs="Times New Roman" w:eastAsiaTheme="minorEastAsia"/>
          <w:snapToGrid/>
          <w:color w:val="auto"/>
        </w:rPr>
        <w:drawing>
          <wp:inline distT="0" distB="0" distL="0" distR="0">
            <wp:extent cx="2162175" cy="381000"/>
            <wp:effectExtent l="0" t="0" r="9525" b="0"/>
            <wp:docPr id="8305830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58305" name="图片 33"/>
                    <pic:cNvPicPr>
                      <a:picLocks noChangeAspect="1"/>
                    </pic:cNvPicPr>
                  </pic:nvPicPr>
                  <pic:blipFill>
                    <a:blip r:embed="rId57"/>
                    <a:stretch>
                      <a:fillRect/>
                    </a:stretch>
                  </pic:blipFill>
                  <pic:spPr>
                    <a:xfrm>
                      <a:off x="0" y="0"/>
                      <a:ext cx="2162175" cy="381000"/>
                    </a:xfrm>
                    <a:prstGeom prst="rect">
                      <a:avLst/>
                    </a:prstGeom>
                  </pic:spPr>
                </pic:pic>
              </a:graphicData>
            </a:graphic>
          </wp:inline>
        </w:drawing>
      </w:r>
      <w:r>
        <w:rPr>
          <w:rFonts w:hint="eastAsia" w:cs="Times New Roman" w:eastAsiaTheme="minorEastAsia"/>
          <w:snapToGrid/>
          <w:color w:val="auto"/>
          <w:lang w:eastAsia="zh-CN"/>
        </w:rPr>
        <w:t>……(</w:t>
      </w:r>
      <w:r>
        <w:rPr>
          <w:rFonts w:cs="Times New Roman" w:eastAsiaTheme="minorEastAsia"/>
          <w:color w:val="auto"/>
          <w:sz w:val="21"/>
          <w:szCs w:val="21"/>
          <w:lang w:eastAsia="zh-CN"/>
        </w:rPr>
        <w:t>12）</w:t>
      </w:r>
    </w:p>
    <w:p>
      <w:pPr>
        <w:pStyle w:val="30"/>
        <w:ind w:firstLine="480"/>
        <w:rPr>
          <w:rFonts w:cs="Times New Roman" w:eastAsiaTheme="minorEastAsia"/>
          <w:snapToGrid/>
          <w:color w:val="auto"/>
          <w:szCs w:val="24"/>
          <w:lang w:eastAsia="zh-CN"/>
        </w:rPr>
      </w:pPr>
      <w:r>
        <w:rPr>
          <w:rFonts w:cs="Times New Roman" w:eastAsiaTheme="minorEastAsia"/>
          <w:snapToGrid/>
          <w:color w:val="auto"/>
          <w:szCs w:val="24"/>
          <w:lang w:eastAsia="zh-CN"/>
        </w:rPr>
        <w:t>按相位矢量来合成，其合成矢量对时间的轨迹是一个椭圆，其椭圆的两个轴模中较大</w:t>
      </w:r>
      <w:r>
        <w:rPr>
          <w:rFonts w:cs="Times New Roman" w:eastAsiaTheme="minorEastAsia"/>
          <w:snapToGrid/>
          <w:color w:val="auto"/>
          <w:kern w:val="0"/>
          <w:szCs w:val="24"/>
          <w:lang w:eastAsia="zh-CN"/>
        </w:rPr>
        <w:t>者即为该点的合成场强最大值。</w:t>
      </w:r>
    </w:p>
    <w:p>
      <w:pPr>
        <w:pStyle w:val="30"/>
        <w:ind w:firstLine="480"/>
        <w:rPr>
          <w:rFonts w:cs="Times New Roman" w:eastAsiaTheme="minorEastAsia"/>
          <w:b/>
          <w:bCs/>
          <w:color w:val="auto"/>
          <w:lang w:eastAsia="zh-CN"/>
        </w:rPr>
      </w:pPr>
      <w:bookmarkStart w:id="56" w:name="_Toc173484758"/>
      <w:bookmarkStart w:id="57" w:name="_Toc164632602"/>
      <w:bookmarkStart w:id="58" w:name="_Toc28711"/>
      <w:bookmarkStart w:id="59" w:name="_Toc173401892"/>
      <w:r>
        <w:rPr>
          <w:rFonts w:hint="eastAsia" w:cs="Times New Roman" w:eastAsiaTheme="minorEastAsia"/>
          <w:b/>
          <w:bCs/>
          <w:color w:val="auto"/>
          <w:lang w:val="en-US" w:eastAsia="zh-CN"/>
        </w:rPr>
        <w:t>2.2</w:t>
      </w:r>
      <w:r>
        <w:rPr>
          <w:rFonts w:cs="Times New Roman" w:eastAsiaTheme="minorEastAsia"/>
          <w:b/>
          <w:bCs/>
          <w:color w:val="auto"/>
          <w:lang w:eastAsia="zh-CN"/>
        </w:rPr>
        <w:t>预测内容</w:t>
      </w:r>
      <w:bookmarkEnd w:id="56"/>
      <w:bookmarkEnd w:id="57"/>
      <w:bookmarkEnd w:id="58"/>
      <w:bookmarkEnd w:id="59"/>
    </w:p>
    <w:p>
      <w:pPr>
        <w:pStyle w:val="30"/>
        <w:ind w:firstLine="480"/>
        <w:rPr>
          <w:rFonts w:cs="Times New Roman" w:eastAsiaTheme="minorEastAsia"/>
          <w:color w:val="auto"/>
          <w:lang w:eastAsia="zh-CN"/>
        </w:rPr>
      </w:pPr>
      <w:r>
        <w:rPr>
          <w:rFonts w:cs="Times New Roman" w:eastAsiaTheme="minorEastAsia"/>
          <w:color w:val="auto"/>
          <w:lang w:eastAsia="zh-CN"/>
        </w:rPr>
        <w:t>本项目选取塔基最多的2K1-ZMC3型号中铁塔呼高较低的塔进行预测。导线对地距离为15m。导线下方无看护房。</w:t>
      </w:r>
    </w:p>
    <w:p>
      <w:pPr>
        <w:pStyle w:val="30"/>
        <w:ind w:firstLine="480"/>
        <w:rPr>
          <w:rFonts w:cs="Times New Roman" w:eastAsiaTheme="minorEastAsia"/>
          <w:color w:val="auto"/>
          <w:lang w:eastAsia="zh-CN"/>
        </w:rPr>
      </w:pPr>
      <w:r>
        <w:rPr>
          <w:rFonts w:cs="Times New Roman" w:eastAsiaTheme="minorEastAsia"/>
          <w:color w:val="auto"/>
          <w:lang w:eastAsia="zh-CN"/>
        </w:rPr>
        <w:t>按《110kV～750kV架空输电线路设计规范》（GB50545-2010），导线在最大弧垂时，对地及对交叉跨越物的最小垂直距离，或导线在最大计算风偏情况下，与交叉跨越物间的最小净空距离，应满足下表要求。</w:t>
      </w:r>
    </w:p>
    <w:p>
      <w:pPr>
        <w:pStyle w:val="29"/>
        <w:ind w:firstLine="422"/>
        <w:rPr>
          <w:rFonts w:hint="default" w:ascii="Times New Roman" w:hAnsi="Times New Roman" w:cs="Times New Roman" w:eastAsiaTheme="minorEastAsia"/>
          <w:color w:val="auto"/>
        </w:rPr>
      </w:pPr>
      <w:r>
        <w:rPr>
          <w:rFonts w:eastAsiaTheme="minorEastAsia"/>
          <w:color w:val="auto"/>
        </w:rPr>
        <w:t>表</w:t>
      </w:r>
      <w:r>
        <w:rPr>
          <w:rFonts w:hint="default" w:ascii="Times New Roman" w:hAnsi="Times New Roman" w:cs="Times New Roman"/>
          <w:color w:val="auto"/>
          <w:lang w:val="en-US" w:eastAsia="zh-CN"/>
        </w:rPr>
        <w:t>2-1</w:t>
      </w:r>
      <w:r>
        <w:rPr>
          <w:rFonts w:hint="default" w:ascii="Times New Roman" w:hAnsi="Times New Roman" w:cs="Times New Roman" w:eastAsiaTheme="minorEastAsia"/>
          <w:color w:val="auto"/>
        </w:rPr>
        <w:t xml:space="preserve">     导线对地距离</w:t>
      </w:r>
    </w:p>
    <w:tbl>
      <w:tblPr>
        <w:tblStyle w:val="20"/>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73"/>
        <w:gridCol w:w="1055"/>
        <w:gridCol w:w="1432"/>
        <w:gridCol w:w="1961"/>
        <w:gridCol w:w="21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373" w:type="dxa"/>
            <w:tcBorders>
              <w:top w:val="single" w:color="auto" w:sz="4" w:space="0"/>
              <w:left w:val="single" w:color="auto" w:sz="4" w:space="0"/>
              <w:bottom w:val="single" w:color="auto" w:sz="4" w:space="0"/>
              <w:right w:val="single" w:color="auto" w:sz="4" w:space="0"/>
            </w:tcBorders>
            <w:noWrap/>
            <w:vAlign w:val="center"/>
          </w:tcPr>
          <w:p>
            <w:pPr>
              <w:pStyle w:val="28"/>
              <w:rPr>
                <w:rFonts w:hint="default" w:ascii="Times New Roman" w:hAnsi="Times New Roman" w:cs="Times New Roman"/>
                <w:b w:val="0"/>
                <w:bCs w:val="0"/>
                <w:color w:val="auto"/>
                <w:lang w:eastAsia="zh-CN"/>
              </w:rPr>
            </w:pPr>
            <w:r>
              <w:rPr>
                <w:rFonts w:hint="default" w:ascii="Times New Roman" w:hAnsi="Times New Roman" w:cs="Times New Roman"/>
                <w:b w:val="0"/>
                <w:bCs w:val="0"/>
                <w:color w:val="auto"/>
                <w:lang w:eastAsia="zh-CN"/>
              </w:rPr>
              <w:t>线路经过地区</w:t>
            </w:r>
          </w:p>
          <w:p>
            <w:pPr>
              <w:pStyle w:val="28"/>
              <w:rPr>
                <w:rFonts w:hint="default" w:ascii="Times New Roman" w:hAnsi="Times New Roman" w:cs="Times New Roman"/>
                <w:b w:val="0"/>
                <w:bCs w:val="0"/>
                <w:color w:val="auto"/>
                <w:lang w:eastAsia="zh-CN"/>
              </w:rPr>
            </w:pPr>
            <w:r>
              <w:rPr>
                <w:rFonts w:hint="default" w:ascii="Times New Roman" w:hAnsi="Times New Roman" w:cs="Times New Roman"/>
                <w:b w:val="0"/>
                <w:bCs w:val="0"/>
                <w:color w:val="auto"/>
                <w:lang w:eastAsia="zh-CN"/>
              </w:rPr>
              <w:t>220kV电压</w:t>
            </w:r>
          </w:p>
        </w:tc>
        <w:tc>
          <w:tcPr>
            <w:tcW w:w="1055" w:type="dxa"/>
            <w:tcBorders>
              <w:top w:val="single" w:color="auto" w:sz="4" w:space="0"/>
              <w:left w:val="single" w:color="auto" w:sz="4" w:space="0"/>
              <w:bottom w:val="single" w:color="auto" w:sz="4" w:space="0"/>
              <w:right w:val="single" w:color="auto" w:sz="4" w:space="0"/>
            </w:tcBorders>
            <w:noWrap/>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居民区</w:t>
            </w:r>
          </w:p>
        </w:tc>
        <w:tc>
          <w:tcPr>
            <w:tcW w:w="1432" w:type="dxa"/>
            <w:tcBorders>
              <w:top w:val="single" w:color="auto" w:sz="4" w:space="0"/>
              <w:left w:val="single" w:color="auto" w:sz="4" w:space="0"/>
              <w:bottom w:val="single" w:color="auto" w:sz="4" w:space="0"/>
              <w:right w:val="single" w:color="auto" w:sz="4" w:space="0"/>
            </w:tcBorders>
            <w:noWrap/>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非居民区</w:t>
            </w:r>
          </w:p>
        </w:tc>
        <w:tc>
          <w:tcPr>
            <w:tcW w:w="1961" w:type="dxa"/>
            <w:tcBorders>
              <w:top w:val="single" w:color="auto" w:sz="4" w:space="0"/>
              <w:left w:val="single" w:color="auto" w:sz="4" w:space="0"/>
              <w:bottom w:val="single" w:color="auto" w:sz="4" w:space="0"/>
              <w:right w:val="single" w:color="auto" w:sz="4" w:space="0"/>
            </w:tcBorders>
            <w:noWrap/>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步行可到达的山坡</w:t>
            </w:r>
          </w:p>
        </w:tc>
        <w:tc>
          <w:tcPr>
            <w:tcW w:w="2160" w:type="dxa"/>
            <w:tcBorders>
              <w:top w:val="single" w:color="auto" w:sz="4" w:space="0"/>
              <w:left w:val="single" w:color="auto" w:sz="4" w:space="0"/>
              <w:bottom w:val="single" w:color="auto" w:sz="4" w:space="0"/>
              <w:right w:val="single" w:color="auto" w:sz="4" w:space="0"/>
            </w:tcBorders>
            <w:noWrap/>
            <w:vAlign w:val="center"/>
          </w:tcPr>
          <w:p>
            <w:pPr>
              <w:pStyle w:val="28"/>
              <w:rPr>
                <w:rFonts w:hint="default" w:ascii="Times New Roman" w:hAnsi="Times New Roman" w:cs="Times New Roman"/>
                <w:b w:val="0"/>
                <w:bCs w:val="0"/>
                <w:color w:val="auto"/>
                <w:lang w:eastAsia="zh-CN"/>
              </w:rPr>
            </w:pPr>
            <w:r>
              <w:rPr>
                <w:rFonts w:hint="default" w:ascii="Times New Roman" w:hAnsi="Times New Roman" w:cs="Times New Roman"/>
                <w:b w:val="0"/>
                <w:bCs w:val="0"/>
                <w:color w:val="auto"/>
                <w:lang w:eastAsia="zh-CN"/>
              </w:rPr>
              <w:t>步行不能到达的山坡、峭壁和岩石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373" w:type="dxa"/>
            <w:tcBorders>
              <w:top w:val="single" w:color="auto" w:sz="4" w:space="0"/>
              <w:left w:val="single" w:color="auto" w:sz="4" w:space="0"/>
              <w:bottom w:val="single" w:color="auto" w:sz="4" w:space="0"/>
              <w:right w:val="single" w:color="auto" w:sz="4" w:space="0"/>
            </w:tcBorders>
            <w:noWrap/>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导线对地距离</w:t>
            </w:r>
            <w:r>
              <w:rPr>
                <w:rFonts w:hint="eastAsia" w:ascii="Times New Roman" w:hAnsi="Times New Roman" w:cs="Times New Roman"/>
                <w:b w:val="0"/>
                <w:bCs w:val="0"/>
                <w:color w:val="auto"/>
                <w:lang w:eastAsia="zh-CN"/>
              </w:rPr>
              <w:t>（</w:t>
            </w:r>
            <w:r>
              <w:rPr>
                <w:rFonts w:hint="default" w:ascii="Times New Roman" w:hAnsi="Times New Roman" w:cs="Times New Roman"/>
                <w:b w:val="0"/>
                <w:bCs w:val="0"/>
                <w:color w:val="auto"/>
              </w:rPr>
              <w:t>m</w:t>
            </w:r>
            <w:r>
              <w:rPr>
                <w:rFonts w:hint="eastAsia" w:ascii="Times New Roman" w:hAnsi="Times New Roman" w:cs="Times New Roman"/>
                <w:b w:val="0"/>
                <w:bCs w:val="0"/>
                <w:color w:val="auto"/>
                <w:lang w:eastAsia="zh-CN"/>
              </w:rPr>
              <w:t>）</w:t>
            </w:r>
          </w:p>
        </w:tc>
        <w:tc>
          <w:tcPr>
            <w:tcW w:w="1055" w:type="dxa"/>
            <w:tcBorders>
              <w:top w:val="single" w:color="auto" w:sz="4" w:space="0"/>
              <w:left w:val="single" w:color="auto" w:sz="4" w:space="0"/>
              <w:bottom w:val="single" w:color="auto" w:sz="4" w:space="0"/>
              <w:right w:val="single" w:color="auto" w:sz="4" w:space="0"/>
            </w:tcBorders>
            <w:noWrap/>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7.5</w:t>
            </w:r>
          </w:p>
        </w:tc>
        <w:tc>
          <w:tcPr>
            <w:tcW w:w="1432" w:type="dxa"/>
            <w:tcBorders>
              <w:top w:val="single" w:color="auto" w:sz="4" w:space="0"/>
              <w:left w:val="single" w:color="auto" w:sz="4" w:space="0"/>
              <w:bottom w:val="single" w:color="auto" w:sz="4" w:space="0"/>
              <w:right w:val="single" w:color="auto" w:sz="4" w:space="0"/>
            </w:tcBorders>
            <w:noWrap/>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6.5</w:t>
            </w:r>
          </w:p>
        </w:tc>
        <w:tc>
          <w:tcPr>
            <w:tcW w:w="1961" w:type="dxa"/>
            <w:tcBorders>
              <w:top w:val="single" w:color="auto" w:sz="4" w:space="0"/>
              <w:left w:val="single" w:color="auto" w:sz="4" w:space="0"/>
              <w:bottom w:val="single" w:color="auto" w:sz="4" w:space="0"/>
              <w:right w:val="single" w:color="auto" w:sz="4" w:space="0"/>
            </w:tcBorders>
            <w:noWrap/>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5.5</w:t>
            </w:r>
          </w:p>
        </w:tc>
        <w:tc>
          <w:tcPr>
            <w:tcW w:w="2160" w:type="dxa"/>
            <w:tcBorders>
              <w:top w:val="single" w:color="auto" w:sz="4" w:space="0"/>
              <w:left w:val="single" w:color="auto" w:sz="4" w:space="0"/>
              <w:bottom w:val="single" w:color="auto" w:sz="4" w:space="0"/>
              <w:right w:val="single" w:color="auto" w:sz="4" w:space="0"/>
            </w:tcBorders>
            <w:noWrap/>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4.0</w:t>
            </w:r>
          </w:p>
        </w:tc>
      </w:tr>
    </w:tbl>
    <w:p>
      <w:pPr>
        <w:pStyle w:val="30"/>
        <w:ind w:firstLine="480"/>
        <w:rPr>
          <w:rFonts w:hint="eastAsia" w:cs="Times New Roman" w:eastAsiaTheme="minorEastAsia"/>
          <w:b/>
          <w:bCs/>
          <w:color w:val="auto"/>
          <w:lang w:val="en-US" w:eastAsia="zh-CN"/>
        </w:rPr>
      </w:pPr>
      <w:bookmarkStart w:id="60" w:name="_Toc164632603"/>
      <w:bookmarkStart w:id="61" w:name="_Toc8246"/>
      <w:bookmarkStart w:id="62" w:name="_Toc173401893"/>
      <w:bookmarkStart w:id="63" w:name="_Toc173484759"/>
      <w:r>
        <w:rPr>
          <w:rFonts w:hint="eastAsia" w:cs="Times New Roman" w:eastAsiaTheme="minorEastAsia"/>
          <w:b/>
          <w:bCs/>
          <w:color w:val="auto"/>
          <w:lang w:val="en-US" w:eastAsia="zh-CN"/>
        </w:rPr>
        <w:t>2.3预测参数</w:t>
      </w:r>
      <w:bookmarkEnd w:id="60"/>
      <w:bookmarkEnd w:id="61"/>
      <w:bookmarkEnd w:id="62"/>
      <w:bookmarkEnd w:id="63"/>
    </w:p>
    <w:p>
      <w:pPr>
        <w:pStyle w:val="30"/>
        <w:ind w:firstLine="480"/>
        <w:rPr>
          <w:rFonts w:cs="Times New Roman" w:eastAsiaTheme="minorEastAsia"/>
          <w:color w:val="auto"/>
          <w:kern w:val="0"/>
          <w:lang w:eastAsia="zh-CN"/>
        </w:rPr>
      </w:pPr>
      <w:r>
        <w:rPr>
          <w:rFonts w:cs="Times New Roman" w:eastAsiaTheme="minorEastAsia"/>
          <w:color w:val="auto"/>
          <w:lang w:eastAsia="zh-CN"/>
        </w:rPr>
        <w:t>本次评价参考建设单位提供的资料选择主要计算参数见下表。</w:t>
      </w:r>
    </w:p>
    <w:p>
      <w:pPr>
        <w:pStyle w:val="29"/>
        <w:ind w:firstLine="422"/>
        <w:rPr>
          <w:rFonts w:eastAsiaTheme="minorEastAsia"/>
          <w:color w:val="auto"/>
          <w:lang w:eastAsia="zh-CN"/>
        </w:rPr>
      </w:pPr>
      <w:r>
        <w:rPr>
          <w:rFonts w:eastAsiaTheme="minorEastAsia"/>
          <w:color w:val="auto"/>
          <w:lang w:eastAsia="zh-CN"/>
        </w:rPr>
        <w:t>表</w:t>
      </w:r>
      <w:r>
        <w:rPr>
          <w:rFonts w:hint="default" w:ascii="Times New Roman" w:hAnsi="Times New Roman" w:cs="Times New Roman" w:eastAsiaTheme="minorEastAsia"/>
          <w:color w:val="auto"/>
          <w:lang w:val="en-US" w:eastAsia="zh-CN"/>
        </w:rPr>
        <w:t>2</w:t>
      </w:r>
      <w:r>
        <w:rPr>
          <w:rFonts w:hint="default" w:ascii="Times New Roman" w:hAnsi="Times New Roman" w:cs="Times New Roman" w:eastAsiaTheme="minorEastAsia"/>
          <w:color w:val="auto"/>
          <w:lang w:eastAsia="zh-CN"/>
        </w:rPr>
        <w:t>-2</w:t>
      </w:r>
      <w:r>
        <w:rPr>
          <w:rFonts w:eastAsiaTheme="minorEastAsia"/>
          <w:color w:val="auto"/>
          <w:lang w:eastAsia="zh-CN"/>
        </w:rPr>
        <w:t xml:space="preserve">    主要计算参数一览表</w:t>
      </w:r>
    </w:p>
    <w:tbl>
      <w:tblPr>
        <w:tblStyle w:val="20"/>
        <w:tblW w:w="495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3604"/>
        <w:gridCol w:w="517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69" w:hRule="atLeast"/>
          <w:jc w:val="center"/>
        </w:trPr>
        <w:tc>
          <w:tcPr>
            <w:tcW w:w="2053" w:type="pct"/>
            <w:tcBorders>
              <w:top w:val="single" w:color="000000" w:sz="4" w:space="0"/>
              <w:left w:val="single" w:color="000000" w:sz="4" w:space="0"/>
              <w:bottom w:val="single" w:color="000000" w:sz="4" w:space="0"/>
              <w:right w:val="single" w:color="000000" w:sz="4" w:space="0"/>
            </w:tcBorders>
            <w:vAlign w:val="center"/>
          </w:tcPr>
          <w:p>
            <w:pPr>
              <w:pStyle w:val="33"/>
              <w:autoSpaceDE w:val="0"/>
              <w:autoSpaceDN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内容</w:t>
            </w:r>
          </w:p>
        </w:tc>
        <w:tc>
          <w:tcPr>
            <w:tcW w:w="2947" w:type="pct"/>
            <w:tcBorders>
              <w:top w:val="single" w:color="000000" w:sz="4" w:space="0"/>
              <w:left w:val="single" w:color="000000" w:sz="4" w:space="0"/>
              <w:bottom w:val="single" w:color="000000" w:sz="4" w:space="0"/>
              <w:right w:val="single" w:color="000000" w:sz="4" w:space="0"/>
            </w:tcBorders>
            <w:vAlign w:val="center"/>
          </w:tcPr>
          <w:p>
            <w:pPr>
              <w:pStyle w:val="33"/>
              <w:autoSpaceDE w:val="0"/>
              <w:autoSpaceDN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参数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2053" w:type="pct"/>
            <w:tcBorders>
              <w:top w:val="single" w:color="000000" w:sz="4" w:space="0"/>
              <w:left w:val="single" w:color="000000" w:sz="4" w:space="0"/>
              <w:bottom w:val="single" w:color="000000" w:sz="4" w:space="0"/>
              <w:right w:val="single" w:color="000000" w:sz="4" w:space="0"/>
            </w:tcBorders>
            <w:vAlign w:val="center"/>
          </w:tcPr>
          <w:p>
            <w:pPr>
              <w:pStyle w:val="33"/>
              <w:autoSpaceDE w:val="0"/>
              <w:autoSpaceDN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架设形式</w:t>
            </w:r>
          </w:p>
        </w:tc>
        <w:tc>
          <w:tcPr>
            <w:tcW w:w="2947" w:type="pct"/>
            <w:tcBorders>
              <w:top w:val="single" w:color="000000" w:sz="4" w:space="0"/>
              <w:left w:val="single" w:color="000000" w:sz="4" w:space="0"/>
              <w:bottom w:val="single" w:color="000000" w:sz="4" w:space="0"/>
              <w:right w:val="single" w:color="000000" w:sz="4" w:space="0"/>
            </w:tcBorders>
            <w:vAlign w:val="center"/>
          </w:tcPr>
          <w:p>
            <w:pPr>
              <w:pStyle w:val="33"/>
              <w:autoSpaceDE w:val="0"/>
              <w:autoSpaceDN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单回路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2053" w:type="pct"/>
            <w:tcBorders>
              <w:top w:val="single" w:color="000000" w:sz="4" w:space="0"/>
              <w:left w:val="single" w:color="000000" w:sz="4" w:space="0"/>
              <w:bottom w:val="single" w:color="000000" w:sz="4" w:space="0"/>
              <w:right w:val="single" w:color="000000" w:sz="4" w:space="0"/>
            </w:tcBorders>
            <w:vAlign w:val="center"/>
          </w:tcPr>
          <w:p>
            <w:pPr>
              <w:pStyle w:val="33"/>
              <w:autoSpaceDE w:val="0"/>
              <w:autoSpaceDN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导线型号</w:t>
            </w:r>
          </w:p>
        </w:tc>
        <w:tc>
          <w:tcPr>
            <w:tcW w:w="2947" w:type="pct"/>
            <w:tcBorders>
              <w:top w:val="single" w:color="000000" w:sz="4" w:space="0"/>
              <w:left w:val="single" w:color="000000" w:sz="4" w:space="0"/>
              <w:bottom w:val="single" w:color="000000" w:sz="4" w:space="0"/>
              <w:right w:val="single" w:color="000000" w:sz="4" w:space="0"/>
            </w:tcBorders>
            <w:vAlign w:val="center"/>
          </w:tcPr>
          <w:p>
            <w:pPr>
              <w:pStyle w:val="33"/>
              <w:autoSpaceDE w:val="0"/>
              <w:autoSpaceDN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JL3/G1A-300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2053" w:type="pct"/>
            <w:tcBorders>
              <w:top w:val="single" w:color="000000" w:sz="4" w:space="0"/>
              <w:left w:val="single" w:color="000000" w:sz="4" w:space="0"/>
              <w:bottom w:val="single" w:color="000000" w:sz="4" w:space="0"/>
              <w:right w:val="single" w:color="000000" w:sz="4" w:space="0"/>
            </w:tcBorders>
            <w:vAlign w:val="center"/>
          </w:tcPr>
          <w:p>
            <w:pPr>
              <w:pStyle w:val="33"/>
              <w:autoSpaceDE w:val="0"/>
              <w:autoSpaceDN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计算电压</w:t>
            </w:r>
          </w:p>
        </w:tc>
        <w:tc>
          <w:tcPr>
            <w:tcW w:w="2947" w:type="pct"/>
            <w:tcBorders>
              <w:top w:val="single" w:color="000000" w:sz="4" w:space="0"/>
              <w:left w:val="single" w:color="000000" w:sz="4" w:space="0"/>
              <w:bottom w:val="single" w:color="000000" w:sz="4" w:space="0"/>
              <w:right w:val="single" w:color="000000" w:sz="4" w:space="0"/>
            </w:tcBorders>
            <w:vAlign w:val="center"/>
          </w:tcPr>
          <w:p>
            <w:pPr>
              <w:pStyle w:val="33"/>
              <w:autoSpaceDE w:val="0"/>
              <w:autoSpaceDN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220kV</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2053" w:type="pct"/>
            <w:tcBorders>
              <w:top w:val="single" w:color="000000" w:sz="4" w:space="0"/>
              <w:left w:val="single" w:color="000000" w:sz="4" w:space="0"/>
              <w:bottom w:val="single" w:color="000000" w:sz="4" w:space="0"/>
              <w:right w:val="single" w:color="000000" w:sz="4" w:space="0"/>
            </w:tcBorders>
            <w:vAlign w:val="center"/>
          </w:tcPr>
          <w:p>
            <w:pPr>
              <w:pStyle w:val="33"/>
              <w:autoSpaceDE w:val="0"/>
              <w:autoSpaceDN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计算电流</w:t>
            </w:r>
          </w:p>
        </w:tc>
        <w:tc>
          <w:tcPr>
            <w:tcW w:w="2947" w:type="pct"/>
            <w:tcBorders>
              <w:top w:val="single" w:color="000000" w:sz="4" w:space="0"/>
              <w:left w:val="single" w:color="000000" w:sz="4" w:space="0"/>
              <w:bottom w:val="single" w:color="000000" w:sz="4" w:space="0"/>
              <w:right w:val="single" w:color="000000" w:sz="4" w:space="0"/>
            </w:tcBorders>
            <w:vAlign w:val="center"/>
          </w:tcPr>
          <w:p>
            <w:pPr>
              <w:pStyle w:val="33"/>
              <w:autoSpaceDE w:val="0"/>
              <w:autoSpaceDN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361.82A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69" w:hRule="atLeast"/>
          <w:jc w:val="center"/>
        </w:trPr>
        <w:tc>
          <w:tcPr>
            <w:tcW w:w="2053" w:type="pct"/>
            <w:tcBorders>
              <w:top w:val="single" w:color="000000" w:sz="4" w:space="0"/>
              <w:left w:val="single" w:color="000000" w:sz="4" w:space="0"/>
              <w:bottom w:val="single" w:color="000000" w:sz="4" w:space="0"/>
              <w:right w:val="single" w:color="000000" w:sz="4" w:space="0"/>
            </w:tcBorders>
            <w:vAlign w:val="center"/>
          </w:tcPr>
          <w:p>
            <w:pPr>
              <w:pStyle w:val="33"/>
              <w:autoSpaceDE w:val="0"/>
              <w:autoSpaceDN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导线分裂数</w:t>
            </w:r>
          </w:p>
        </w:tc>
        <w:tc>
          <w:tcPr>
            <w:tcW w:w="2947" w:type="pct"/>
            <w:tcBorders>
              <w:top w:val="single" w:color="000000" w:sz="4" w:space="0"/>
              <w:left w:val="single" w:color="000000" w:sz="4" w:space="0"/>
              <w:bottom w:val="single" w:color="000000" w:sz="4" w:space="0"/>
              <w:right w:val="single" w:color="000000" w:sz="4" w:space="0"/>
            </w:tcBorders>
            <w:vAlign w:val="center"/>
          </w:tcPr>
          <w:p>
            <w:pPr>
              <w:pStyle w:val="33"/>
              <w:autoSpaceDE w:val="0"/>
              <w:autoSpaceDN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2053" w:type="pct"/>
            <w:tcBorders>
              <w:top w:val="single" w:color="000000" w:sz="4" w:space="0"/>
              <w:left w:val="single" w:color="000000" w:sz="4" w:space="0"/>
              <w:bottom w:val="single" w:color="000000" w:sz="4" w:space="0"/>
              <w:right w:val="single" w:color="000000" w:sz="4" w:space="0"/>
            </w:tcBorders>
            <w:vAlign w:val="center"/>
          </w:tcPr>
          <w:p>
            <w:pPr>
              <w:pStyle w:val="33"/>
              <w:autoSpaceDE w:val="0"/>
              <w:autoSpaceDN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总计算横截面积</w:t>
            </w:r>
          </w:p>
        </w:tc>
        <w:tc>
          <w:tcPr>
            <w:tcW w:w="2947" w:type="pct"/>
            <w:tcBorders>
              <w:top w:val="single" w:color="000000" w:sz="4" w:space="0"/>
              <w:left w:val="single" w:color="000000" w:sz="4" w:space="0"/>
              <w:bottom w:val="single" w:color="000000" w:sz="4" w:space="0"/>
              <w:right w:val="single" w:color="000000" w:sz="4" w:space="0"/>
            </w:tcBorders>
            <w:vAlign w:val="center"/>
          </w:tcPr>
          <w:p>
            <w:pPr>
              <w:pStyle w:val="33"/>
              <w:autoSpaceDE w:val="0"/>
              <w:autoSpaceDN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339mm</w:t>
            </w:r>
            <w:r>
              <w:rPr>
                <w:rFonts w:hint="default" w:ascii="Times New Roman" w:hAnsi="Times New Roman" w:cs="Times New Roman" w:eastAsiaTheme="minorEastAsia"/>
                <w:color w:val="auto"/>
                <w:vertAlign w:val="superscript"/>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2053" w:type="pct"/>
            <w:tcBorders>
              <w:top w:val="single" w:color="000000" w:sz="4" w:space="0"/>
              <w:left w:val="single" w:color="000000" w:sz="4" w:space="0"/>
              <w:bottom w:val="single" w:color="000000" w:sz="4" w:space="0"/>
              <w:right w:val="single" w:color="000000" w:sz="4" w:space="0"/>
            </w:tcBorders>
            <w:vAlign w:val="center"/>
          </w:tcPr>
          <w:p>
            <w:pPr>
              <w:pStyle w:val="33"/>
              <w:autoSpaceDE w:val="0"/>
              <w:autoSpaceDN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导线等效半径</w:t>
            </w:r>
          </w:p>
        </w:tc>
        <w:tc>
          <w:tcPr>
            <w:tcW w:w="2947" w:type="pct"/>
            <w:tcBorders>
              <w:top w:val="single" w:color="000000" w:sz="4" w:space="0"/>
              <w:left w:val="single" w:color="000000" w:sz="4" w:space="0"/>
              <w:bottom w:val="single" w:color="000000" w:sz="4" w:space="0"/>
              <w:right w:val="single" w:color="000000" w:sz="4" w:space="0"/>
            </w:tcBorders>
            <w:vAlign w:val="center"/>
          </w:tcPr>
          <w:p>
            <w:pPr>
              <w:pStyle w:val="33"/>
              <w:autoSpaceDE w:val="0"/>
              <w:autoSpaceDN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23.9mm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2053" w:type="pct"/>
            <w:tcBorders>
              <w:top w:val="single" w:color="000000" w:sz="4" w:space="0"/>
              <w:left w:val="single" w:color="000000" w:sz="4" w:space="0"/>
              <w:bottom w:val="single" w:color="000000" w:sz="4" w:space="0"/>
              <w:right w:val="single" w:color="000000" w:sz="4" w:space="0"/>
            </w:tcBorders>
            <w:vAlign w:val="center"/>
          </w:tcPr>
          <w:p>
            <w:pPr>
              <w:pStyle w:val="33"/>
              <w:autoSpaceDE w:val="0"/>
              <w:autoSpaceDN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计算塔型</w:t>
            </w:r>
          </w:p>
        </w:tc>
        <w:tc>
          <w:tcPr>
            <w:tcW w:w="2947" w:type="pct"/>
            <w:tcBorders>
              <w:top w:val="single" w:color="000000" w:sz="4" w:space="0"/>
              <w:left w:val="single" w:color="000000" w:sz="4" w:space="0"/>
              <w:bottom w:val="single" w:color="000000" w:sz="4" w:space="0"/>
              <w:right w:val="single" w:color="000000" w:sz="4" w:space="0"/>
            </w:tcBorders>
            <w:vAlign w:val="center"/>
          </w:tcPr>
          <w:p>
            <w:pPr>
              <w:pStyle w:val="33"/>
              <w:autoSpaceDE w:val="0"/>
              <w:autoSpaceDN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2K1-ZMC3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69" w:hRule="atLeast"/>
          <w:jc w:val="center"/>
        </w:trPr>
        <w:tc>
          <w:tcPr>
            <w:tcW w:w="2053" w:type="pct"/>
            <w:tcBorders>
              <w:top w:val="single" w:color="000000" w:sz="4" w:space="0"/>
              <w:left w:val="single" w:color="000000" w:sz="4" w:space="0"/>
              <w:bottom w:val="single" w:color="000000" w:sz="4" w:space="0"/>
              <w:right w:val="single" w:color="000000" w:sz="4" w:space="0"/>
            </w:tcBorders>
            <w:vAlign w:val="center"/>
          </w:tcPr>
          <w:p>
            <w:pPr>
              <w:pStyle w:val="33"/>
              <w:autoSpaceDE w:val="0"/>
              <w:autoSpaceDN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导线排布方式</w:t>
            </w:r>
          </w:p>
        </w:tc>
        <w:tc>
          <w:tcPr>
            <w:tcW w:w="2947" w:type="pct"/>
            <w:tcBorders>
              <w:top w:val="single" w:color="000000" w:sz="4" w:space="0"/>
              <w:left w:val="single" w:color="000000" w:sz="4" w:space="0"/>
              <w:bottom w:val="single" w:color="000000" w:sz="4" w:space="0"/>
              <w:right w:val="single" w:color="000000" w:sz="4" w:space="0"/>
            </w:tcBorders>
            <w:vAlign w:val="center"/>
          </w:tcPr>
          <w:p>
            <w:pPr>
              <w:pStyle w:val="33"/>
              <w:autoSpaceDE w:val="0"/>
              <w:autoSpaceDN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直线排列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2053" w:type="pct"/>
            <w:tcBorders>
              <w:top w:val="single" w:color="000000" w:sz="4" w:space="0"/>
              <w:left w:val="single" w:color="000000" w:sz="4" w:space="0"/>
              <w:bottom w:val="single" w:color="000000" w:sz="4" w:space="0"/>
              <w:right w:val="single" w:color="000000" w:sz="4" w:space="0"/>
            </w:tcBorders>
            <w:vAlign w:val="center"/>
          </w:tcPr>
          <w:p>
            <w:pPr>
              <w:pStyle w:val="33"/>
              <w:autoSpaceDE w:val="0"/>
              <w:autoSpaceDN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水平相距</w:t>
            </w:r>
          </w:p>
        </w:tc>
        <w:tc>
          <w:tcPr>
            <w:tcW w:w="2947" w:type="pct"/>
            <w:tcBorders>
              <w:top w:val="single" w:color="000000" w:sz="4" w:space="0"/>
              <w:left w:val="single" w:color="000000" w:sz="4" w:space="0"/>
              <w:bottom w:val="single" w:color="000000" w:sz="4" w:space="0"/>
              <w:right w:val="single" w:color="000000" w:sz="4" w:space="0"/>
            </w:tcBorders>
            <w:vAlign w:val="center"/>
          </w:tcPr>
          <w:p>
            <w:pPr>
              <w:pStyle w:val="33"/>
              <w:autoSpaceDE w:val="0"/>
              <w:autoSpaceDN w:val="0"/>
              <w:jc w:val="center"/>
              <w:rPr>
                <w:rFonts w:hint="default" w:ascii="Times New Roman" w:hAnsi="Times New Roman" w:cs="Times New Roman" w:eastAsiaTheme="minorEastAsia"/>
                <w:color w:val="auto"/>
                <w:highlight w:val="red"/>
              </w:rPr>
            </w:pPr>
            <w:r>
              <w:rPr>
                <w:rFonts w:hint="default" w:ascii="Times New Roman" w:hAnsi="Times New Roman" w:cs="Times New Roman" w:eastAsiaTheme="minorEastAsia"/>
                <w:color w:val="auto"/>
              </w:rPr>
              <w:t>5.5米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2053" w:type="pct"/>
            <w:tcBorders>
              <w:top w:val="single" w:color="000000" w:sz="4" w:space="0"/>
              <w:left w:val="single" w:color="000000" w:sz="4" w:space="0"/>
              <w:bottom w:val="single" w:color="000000" w:sz="4" w:space="0"/>
              <w:right w:val="single" w:color="000000" w:sz="4" w:space="0"/>
            </w:tcBorders>
            <w:vAlign w:val="center"/>
          </w:tcPr>
          <w:p>
            <w:pPr>
              <w:pStyle w:val="33"/>
              <w:autoSpaceDE w:val="0"/>
              <w:autoSpaceDN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垂直相距</w:t>
            </w:r>
          </w:p>
        </w:tc>
        <w:tc>
          <w:tcPr>
            <w:tcW w:w="2947" w:type="pct"/>
            <w:tcBorders>
              <w:top w:val="single" w:color="000000" w:sz="4" w:space="0"/>
              <w:left w:val="single" w:color="000000" w:sz="4" w:space="0"/>
              <w:bottom w:val="single" w:color="000000" w:sz="4" w:space="0"/>
              <w:right w:val="single" w:color="000000" w:sz="4" w:space="0"/>
            </w:tcBorders>
            <w:vAlign w:val="center"/>
          </w:tcPr>
          <w:p>
            <w:pPr>
              <w:pStyle w:val="33"/>
              <w:autoSpaceDE w:val="0"/>
              <w:autoSpaceDN w:val="0"/>
              <w:jc w:val="center"/>
              <w:rPr>
                <w:rFonts w:hint="default" w:ascii="Times New Roman" w:hAnsi="Times New Roman" w:cs="Times New Roman" w:eastAsiaTheme="minorEastAsia"/>
                <w:color w:val="auto"/>
                <w:highlight w:val="red"/>
              </w:rPr>
            </w:pPr>
            <w:r>
              <w:rPr>
                <w:rFonts w:hint="default" w:ascii="Times New Roman" w:hAnsi="Times New Roman" w:cs="Times New Roman" w:eastAsiaTheme="minorEastAsia"/>
                <w:color w:val="auto"/>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2053" w:type="pct"/>
            <w:tcBorders>
              <w:top w:val="single" w:color="000000" w:sz="4" w:space="0"/>
              <w:left w:val="single" w:color="000000" w:sz="4" w:space="0"/>
              <w:bottom w:val="single" w:color="000000" w:sz="4" w:space="0"/>
              <w:right w:val="single" w:color="000000" w:sz="4" w:space="0"/>
            </w:tcBorders>
            <w:vAlign w:val="center"/>
          </w:tcPr>
          <w:p>
            <w:pPr>
              <w:pStyle w:val="33"/>
              <w:autoSpaceDE w:val="0"/>
              <w:autoSpaceDN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铁塔呼高</w:t>
            </w:r>
          </w:p>
        </w:tc>
        <w:tc>
          <w:tcPr>
            <w:tcW w:w="2947" w:type="pct"/>
            <w:tcBorders>
              <w:top w:val="single" w:color="000000" w:sz="4" w:space="0"/>
              <w:left w:val="single" w:color="000000" w:sz="4" w:space="0"/>
              <w:bottom w:val="single" w:color="000000" w:sz="4" w:space="0"/>
              <w:right w:val="single" w:color="000000" w:sz="4" w:space="0"/>
            </w:tcBorders>
            <w:vAlign w:val="center"/>
          </w:tcPr>
          <w:p>
            <w:pPr>
              <w:pStyle w:val="33"/>
              <w:autoSpaceDE w:val="0"/>
              <w:autoSpaceDN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36米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2053" w:type="pct"/>
            <w:tcBorders>
              <w:top w:val="single" w:color="000000" w:sz="4" w:space="0"/>
              <w:left w:val="single" w:color="000000" w:sz="4" w:space="0"/>
              <w:bottom w:val="single" w:color="000000" w:sz="4" w:space="0"/>
              <w:right w:val="single" w:color="000000" w:sz="4" w:space="0"/>
            </w:tcBorders>
            <w:vAlign w:val="center"/>
          </w:tcPr>
          <w:p>
            <w:pPr>
              <w:pStyle w:val="33"/>
              <w:autoSpaceDE w:val="0"/>
              <w:autoSpaceDN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导线对地距离</w:t>
            </w:r>
          </w:p>
        </w:tc>
        <w:tc>
          <w:tcPr>
            <w:tcW w:w="2947" w:type="pct"/>
            <w:tcBorders>
              <w:top w:val="single" w:color="000000" w:sz="4" w:space="0"/>
              <w:left w:val="single" w:color="000000" w:sz="4" w:space="0"/>
              <w:bottom w:val="single" w:color="000000" w:sz="4" w:space="0"/>
              <w:right w:val="single" w:color="000000" w:sz="4" w:space="0"/>
            </w:tcBorders>
            <w:vAlign w:val="center"/>
          </w:tcPr>
          <w:p>
            <w:pPr>
              <w:pStyle w:val="33"/>
              <w:autoSpaceDE w:val="0"/>
              <w:autoSpaceDN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6.5/7.5米（按照最低允许距离计算）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2053" w:type="pct"/>
            <w:tcBorders>
              <w:top w:val="single" w:color="000000" w:sz="4" w:space="0"/>
              <w:left w:val="single" w:color="000000" w:sz="4" w:space="0"/>
              <w:bottom w:val="single" w:color="000000" w:sz="4" w:space="0"/>
              <w:right w:val="single" w:color="000000" w:sz="4" w:space="0"/>
            </w:tcBorders>
            <w:vAlign w:val="center"/>
          </w:tcPr>
          <w:p>
            <w:pPr>
              <w:pStyle w:val="33"/>
              <w:autoSpaceDE w:val="0"/>
              <w:autoSpaceDN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计算点位置</w:t>
            </w:r>
          </w:p>
        </w:tc>
        <w:tc>
          <w:tcPr>
            <w:tcW w:w="2947" w:type="pct"/>
            <w:tcBorders>
              <w:top w:val="single" w:color="000000" w:sz="4" w:space="0"/>
              <w:left w:val="single" w:color="000000" w:sz="4" w:space="0"/>
              <w:bottom w:val="single" w:color="000000" w:sz="4" w:space="0"/>
              <w:right w:val="single" w:color="000000" w:sz="4" w:space="0"/>
            </w:tcBorders>
            <w:vAlign w:val="center"/>
          </w:tcPr>
          <w:p>
            <w:pPr>
              <w:pStyle w:val="33"/>
              <w:autoSpaceDE w:val="0"/>
              <w:autoSpaceDN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距边相导线地面投影0～40m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2053" w:type="pct"/>
            <w:tcBorders>
              <w:top w:val="single" w:color="000000" w:sz="4" w:space="0"/>
              <w:left w:val="single" w:color="000000" w:sz="4" w:space="0"/>
              <w:bottom w:val="single" w:color="000000" w:sz="4" w:space="0"/>
              <w:right w:val="single" w:color="000000" w:sz="4" w:space="0"/>
            </w:tcBorders>
            <w:vAlign w:val="center"/>
          </w:tcPr>
          <w:p>
            <w:pPr>
              <w:pStyle w:val="33"/>
              <w:autoSpaceDE w:val="0"/>
              <w:autoSpaceDN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计算点高度</w:t>
            </w:r>
          </w:p>
        </w:tc>
        <w:tc>
          <w:tcPr>
            <w:tcW w:w="2947" w:type="pct"/>
            <w:tcBorders>
              <w:top w:val="single" w:color="000000" w:sz="4" w:space="0"/>
              <w:left w:val="single" w:color="000000" w:sz="4" w:space="0"/>
              <w:bottom w:val="single" w:color="000000" w:sz="4" w:space="0"/>
              <w:right w:val="single" w:color="000000" w:sz="4" w:space="0"/>
            </w:tcBorders>
            <w:vAlign w:val="center"/>
          </w:tcPr>
          <w:p>
            <w:pPr>
              <w:pStyle w:val="33"/>
              <w:autoSpaceDE w:val="0"/>
              <w:autoSpaceDN w:val="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距离地面1.5m</w:t>
            </w:r>
          </w:p>
        </w:tc>
      </w:tr>
    </w:tbl>
    <w:p>
      <w:pPr>
        <w:pStyle w:val="30"/>
        <w:ind w:firstLine="480"/>
        <w:rPr>
          <w:rFonts w:hint="eastAsia" w:cs="Times New Roman" w:eastAsiaTheme="minorEastAsia"/>
          <w:b/>
          <w:bCs/>
          <w:color w:val="auto"/>
          <w:lang w:val="en-US" w:eastAsia="zh-CN"/>
        </w:rPr>
      </w:pPr>
      <w:bookmarkStart w:id="64" w:name="_Toc173484760"/>
      <w:bookmarkStart w:id="65" w:name="_Toc4483"/>
      <w:bookmarkStart w:id="66" w:name="_Toc173401894"/>
      <w:bookmarkStart w:id="67" w:name="_Toc164632604"/>
      <w:r>
        <w:rPr>
          <w:rFonts w:hint="eastAsia" w:cs="Times New Roman" w:eastAsiaTheme="minorEastAsia"/>
          <w:b/>
          <w:bCs/>
          <w:color w:val="auto"/>
          <w:lang w:val="en-US" w:eastAsia="zh-CN"/>
        </w:rPr>
        <w:t>2.4预测结果</w:t>
      </w:r>
      <w:bookmarkEnd w:id="64"/>
      <w:bookmarkEnd w:id="65"/>
      <w:bookmarkEnd w:id="66"/>
      <w:bookmarkEnd w:id="67"/>
    </w:p>
    <w:p>
      <w:pPr>
        <w:pStyle w:val="30"/>
        <w:ind w:firstLine="480"/>
        <w:rPr>
          <w:rFonts w:cs="Times New Roman" w:eastAsiaTheme="minorEastAsia"/>
          <w:color w:val="auto"/>
          <w:sz w:val="21"/>
          <w:szCs w:val="21"/>
          <w:lang w:eastAsia="zh-CN"/>
        </w:rPr>
      </w:pPr>
      <w:r>
        <w:rPr>
          <w:rFonts w:cs="Times New Roman" w:eastAsiaTheme="minorEastAsia"/>
          <w:color w:val="auto"/>
          <w:lang w:eastAsia="zh-CN"/>
        </w:rPr>
        <w:t>通过上述模型的计算，本项目输电线路投入运行后，JL3/G1A-300单回路导线工频电磁场的变化情况见图，计算结果见表</w:t>
      </w:r>
      <w:r>
        <w:rPr>
          <w:rFonts w:hint="eastAsia" w:cs="Times New Roman" w:eastAsiaTheme="minorEastAsia"/>
          <w:color w:val="auto"/>
          <w:lang w:val="en-US" w:eastAsia="zh-CN"/>
        </w:rPr>
        <w:t>2</w:t>
      </w:r>
      <w:r>
        <w:rPr>
          <w:rFonts w:cs="Times New Roman" w:eastAsiaTheme="minorEastAsia"/>
          <w:color w:val="auto"/>
          <w:lang w:eastAsia="zh-CN"/>
        </w:rPr>
        <w:t>-3。</w:t>
      </w:r>
    </w:p>
    <w:p>
      <w:pPr>
        <w:jc w:val="center"/>
        <w:rPr>
          <w:rFonts w:ascii="Times New Roman" w:hAnsi="Times New Roman" w:cs="Times New Roman" w:eastAsiaTheme="minorEastAsia"/>
          <w:snapToGrid/>
          <w:color w:val="auto"/>
          <w:lang w:eastAsia="zh-CN"/>
        </w:rPr>
      </w:pPr>
      <w:r>
        <w:rPr>
          <w:rFonts w:ascii="Times New Roman" w:hAnsi="Times New Roman" w:cs="Times New Roman" w:eastAsiaTheme="minorEastAsia"/>
          <w:color w:val="auto"/>
        </w:rPr>
        <w:drawing>
          <wp:anchor distT="0" distB="0" distL="114300" distR="114300" simplePos="0" relativeHeight="251669504" behindDoc="0" locked="0" layoutInCell="1" allowOverlap="1">
            <wp:simplePos x="0" y="0"/>
            <wp:positionH relativeFrom="column">
              <wp:posOffset>3457575</wp:posOffset>
            </wp:positionH>
            <wp:positionV relativeFrom="paragraph">
              <wp:posOffset>955040</wp:posOffset>
            </wp:positionV>
            <wp:extent cx="1190625" cy="714375"/>
            <wp:effectExtent l="0" t="0" r="9525" b="9525"/>
            <wp:wrapNone/>
            <wp:docPr id="149603117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031176" name="图片 3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1190625" cy="714375"/>
                    </a:xfrm>
                    <a:prstGeom prst="rect">
                      <a:avLst/>
                    </a:prstGeom>
                    <a:noFill/>
                    <a:ln>
                      <a:noFill/>
                    </a:ln>
                  </pic:spPr>
                </pic:pic>
              </a:graphicData>
            </a:graphic>
          </wp:anchor>
        </w:drawing>
      </w:r>
      <w:r>
        <w:rPr>
          <w:rFonts w:ascii="Times New Roman" w:hAnsi="Times New Roman" w:cs="Times New Roman" w:eastAsiaTheme="minorEastAsia"/>
          <w:color w:val="auto"/>
        </w:rPr>
        <w:drawing>
          <wp:inline distT="0" distB="0" distL="0" distR="0">
            <wp:extent cx="4791075" cy="3714115"/>
            <wp:effectExtent l="9525" t="9525" r="19050" b="10160"/>
            <wp:docPr id="191964656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646563" name="图片 35"/>
                    <pic:cNvPicPr>
                      <a:picLocks noChangeAspect="1"/>
                    </pic:cNvPicPr>
                  </pic:nvPicPr>
                  <pic:blipFill>
                    <a:blip r:embed="rId59"/>
                    <a:stretch>
                      <a:fillRect/>
                    </a:stretch>
                  </pic:blipFill>
                  <pic:spPr>
                    <a:xfrm>
                      <a:off x="0" y="0"/>
                      <a:ext cx="4796050" cy="3718007"/>
                    </a:xfrm>
                    <a:prstGeom prst="rect">
                      <a:avLst/>
                    </a:prstGeom>
                    <a:ln>
                      <a:solidFill>
                        <a:schemeClr val="tx1"/>
                      </a:solidFill>
                    </a:ln>
                  </pic:spPr>
                </pic:pic>
              </a:graphicData>
            </a:graphic>
          </wp:inline>
        </w:drawing>
      </w:r>
    </w:p>
    <w:p>
      <w:pPr>
        <w:pStyle w:val="54"/>
        <w:rPr>
          <w:color w:val="auto"/>
          <w:lang w:eastAsia="zh-CN"/>
        </w:rPr>
      </w:pPr>
      <w:r>
        <w:rPr>
          <w:color w:val="auto"/>
          <w:lang w:eastAsia="zh-CN"/>
        </w:rPr>
        <w:t>图</w:t>
      </w:r>
      <w:r>
        <w:rPr>
          <w:rFonts w:hint="eastAsia"/>
          <w:color w:val="auto"/>
          <w:lang w:val="en-US" w:eastAsia="zh-CN"/>
        </w:rPr>
        <w:t>2</w:t>
      </w:r>
      <w:r>
        <w:rPr>
          <w:color w:val="auto"/>
          <w:lang w:eastAsia="zh-CN"/>
        </w:rPr>
        <w:t>-1    单回线路6.5m高度工频电场强度随距离变化情况图</w:t>
      </w:r>
    </w:p>
    <w:p>
      <w:pPr>
        <w:pStyle w:val="30"/>
        <w:ind w:firstLine="0" w:firstLineChars="0"/>
        <w:jc w:val="center"/>
        <w:rPr>
          <w:rFonts w:cs="Times New Roman" w:eastAsiaTheme="minorEastAsia"/>
          <w:color w:val="auto"/>
          <w:spacing w:val="-1"/>
          <w:lang w:eastAsia="zh-CN"/>
        </w:rPr>
      </w:pPr>
      <w:r>
        <w:rPr>
          <w:rFonts w:cs="Times New Roman" w:eastAsiaTheme="minorEastAsia"/>
          <w:color w:val="auto"/>
        </w:rPr>
        <w:drawing>
          <wp:anchor distT="0" distB="0" distL="114300" distR="114300" simplePos="0" relativeHeight="251670528" behindDoc="0" locked="0" layoutInCell="1" allowOverlap="1">
            <wp:simplePos x="0" y="0"/>
            <wp:positionH relativeFrom="column">
              <wp:posOffset>3409950</wp:posOffset>
            </wp:positionH>
            <wp:positionV relativeFrom="paragraph">
              <wp:posOffset>741680</wp:posOffset>
            </wp:positionV>
            <wp:extent cx="1190625" cy="714375"/>
            <wp:effectExtent l="0" t="0" r="9525" b="9525"/>
            <wp:wrapNone/>
            <wp:docPr id="53490851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908513" name="图片 3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1190625" cy="714375"/>
                    </a:xfrm>
                    <a:prstGeom prst="rect">
                      <a:avLst/>
                    </a:prstGeom>
                    <a:noFill/>
                    <a:ln>
                      <a:noFill/>
                    </a:ln>
                  </pic:spPr>
                </pic:pic>
              </a:graphicData>
            </a:graphic>
          </wp:anchor>
        </w:drawing>
      </w:r>
      <w:r>
        <w:rPr>
          <w:rFonts w:cs="Times New Roman" w:eastAsiaTheme="minorEastAsia"/>
          <w:color w:val="auto"/>
        </w:rPr>
        <w:drawing>
          <wp:inline distT="0" distB="0" distL="0" distR="0">
            <wp:extent cx="4772025" cy="3698875"/>
            <wp:effectExtent l="9525" t="9525" r="19050" b="25400"/>
            <wp:docPr id="199197740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977405" name="图片 37"/>
                    <pic:cNvPicPr>
                      <a:picLocks noChangeAspect="1"/>
                    </pic:cNvPicPr>
                  </pic:nvPicPr>
                  <pic:blipFill>
                    <a:blip r:embed="rId60"/>
                    <a:stretch>
                      <a:fillRect/>
                    </a:stretch>
                  </pic:blipFill>
                  <pic:spPr>
                    <a:xfrm>
                      <a:off x="0" y="0"/>
                      <a:ext cx="4779888" cy="3705478"/>
                    </a:xfrm>
                    <a:prstGeom prst="rect">
                      <a:avLst/>
                    </a:prstGeom>
                    <a:ln>
                      <a:solidFill>
                        <a:schemeClr val="tx1"/>
                      </a:solidFill>
                    </a:ln>
                  </pic:spPr>
                </pic:pic>
              </a:graphicData>
            </a:graphic>
          </wp:inline>
        </w:drawing>
      </w:r>
    </w:p>
    <w:p>
      <w:pPr>
        <w:pStyle w:val="54"/>
        <w:rPr>
          <w:color w:val="auto"/>
          <w:lang w:eastAsia="zh-CN"/>
        </w:rPr>
      </w:pPr>
      <w:r>
        <w:rPr>
          <w:color w:val="auto"/>
          <w:lang w:eastAsia="zh-CN"/>
        </w:rPr>
        <w:t>图</w:t>
      </w:r>
      <w:r>
        <w:rPr>
          <w:rFonts w:hint="eastAsia"/>
          <w:color w:val="auto"/>
          <w:lang w:val="en-US" w:eastAsia="zh-CN"/>
        </w:rPr>
        <w:t>2</w:t>
      </w:r>
      <w:r>
        <w:rPr>
          <w:color w:val="auto"/>
          <w:lang w:eastAsia="zh-CN"/>
        </w:rPr>
        <w:t>-2    单回线路7.5m高度工频电场强度随距离变化情况图</w:t>
      </w:r>
    </w:p>
    <w:p>
      <w:pPr>
        <w:pStyle w:val="30"/>
        <w:ind w:firstLine="0" w:firstLineChars="0"/>
        <w:jc w:val="center"/>
        <w:rPr>
          <w:rFonts w:cs="Times New Roman" w:eastAsiaTheme="minorEastAsia"/>
          <w:color w:val="auto"/>
          <w:lang w:eastAsia="zh-CN"/>
        </w:rPr>
      </w:pPr>
      <w:r>
        <w:rPr>
          <w:rFonts w:cs="Times New Roman" w:eastAsiaTheme="minorEastAsia"/>
          <w:color w:val="auto"/>
        </w:rPr>
        <w:drawing>
          <wp:anchor distT="0" distB="0" distL="114300" distR="114300" simplePos="0" relativeHeight="251671552" behindDoc="0" locked="0" layoutInCell="1" allowOverlap="1">
            <wp:simplePos x="0" y="0"/>
            <wp:positionH relativeFrom="column">
              <wp:posOffset>3762375</wp:posOffset>
            </wp:positionH>
            <wp:positionV relativeFrom="paragraph">
              <wp:posOffset>876300</wp:posOffset>
            </wp:positionV>
            <wp:extent cx="1190625" cy="714375"/>
            <wp:effectExtent l="0" t="0" r="9525" b="9525"/>
            <wp:wrapNone/>
            <wp:docPr id="165996961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969619" name="图片 3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1190625" cy="714375"/>
                    </a:xfrm>
                    <a:prstGeom prst="rect">
                      <a:avLst/>
                    </a:prstGeom>
                    <a:noFill/>
                    <a:ln>
                      <a:noFill/>
                    </a:ln>
                  </pic:spPr>
                </pic:pic>
              </a:graphicData>
            </a:graphic>
          </wp:anchor>
        </w:drawing>
      </w:r>
      <w:r>
        <w:rPr>
          <w:rFonts w:cs="Times New Roman" w:eastAsiaTheme="minorEastAsia"/>
          <w:snapToGrid/>
          <w:color w:val="auto"/>
        </w:rPr>
        <w:drawing>
          <wp:inline distT="0" distB="0" distL="0" distR="0">
            <wp:extent cx="5283200" cy="4095115"/>
            <wp:effectExtent l="9525" t="9525" r="22225" b="10160"/>
            <wp:docPr id="158673718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737188" name="图片 39"/>
                    <pic:cNvPicPr>
                      <a:picLocks noChangeAspect="1"/>
                    </pic:cNvPicPr>
                  </pic:nvPicPr>
                  <pic:blipFill>
                    <a:blip r:embed="rId61"/>
                    <a:stretch>
                      <a:fillRect/>
                    </a:stretch>
                  </pic:blipFill>
                  <pic:spPr>
                    <a:xfrm>
                      <a:off x="0" y="0"/>
                      <a:ext cx="5307650" cy="4114398"/>
                    </a:xfrm>
                    <a:prstGeom prst="rect">
                      <a:avLst/>
                    </a:prstGeom>
                    <a:ln>
                      <a:solidFill>
                        <a:schemeClr val="tx1"/>
                      </a:solidFill>
                    </a:ln>
                  </pic:spPr>
                </pic:pic>
              </a:graphicData>
            </a:graphic>
          </wp:inline>
        </w:drawing>
      </w:r>
    </w:p>
    <w:p>
      <w:pPr>
        <w:pStyle w:val="54"/>
        <w:rPr>
          <w:color w:val="auto"/>
          <w:lang w:eastAsia="zh-CN"/>
        </w:rPr>
      </w:pPr>
      <w:r>
        <w:rPr>
          <w:color w:val="auto"/>
          <w:lang w:eastAsia="zh-CN"/>
        </w:rPr>
        <w:t>图</w:t>
      </w:r>
      <w:r>
        <w:rPr>
          <w:rFonts w:hint="eastAsia"/>
          <w:color w:val="auto"/>
          <w:lang w:val="en-US" w:eastAsia="zh-CN"/>
        </w:rPr>
        <w:t>2</w:t>
      </w:r>
      <w:r>
        <w:rPr>
          <w:color w:val="auto"/>
          <w:lang w:eastAsia="zh-CN"/>
        </w:rPr>
        <w:t>-3    单回线路6.5m高度工频磁场强度随距离变化情况图</w:t>
      </w:r>
    </w:p>
    <w:p>
      <w:pPr>
        <w:pStyle w:val="30"/>
        <w:ind w:firstLine="0" w:firstLineChars="0"/>
        <w:jc w:val="center"/>
        <w:rPr>
          <w:rFonts w:cs="Times New Roman" w:eastAsiaTheme="minorEastAsia"/>
          <w:color w:val="auto"/>
          <w:lang w:eastAsia="zh-CN"/>
        </w:rPr>
      </w:pPr>
      <w:r>
        <w:rPr>
          <w:rFonts w:cs="Times New Roman" w:eastAsiaTheme="minorEastAsia"/>
          <w:color w:val="auto"/>
        </w:rPr>
        <w:drawing>
          <wp:anchor distT="0" distB="0" distL="114300" distR="114300" simplePos="0" relativeHeight="251672576" behindDoc="0" locked="0" layoutInCell="1" allowOverlap="1">
            <wp:simplePos x="0" y="0"/>
            <wp:positionH relativeFrom="column">
              <wp:posOffset>3733800</wp:posOffset>
            </wp:positionH>
            <wp:positionV relativeFrom="paragraph">
              <wp:posOffset>771525</wp:posOffset>
            </wp:positionV>
            <wp:extent cx="1190625" cy="714375"/>
            <wp:effectExtent l="0" t="0" r="9525" b="9525"/>
            <wp:wrapNone/>
            <wp:docPr id="35029814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298145" name="图片 4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1190625" cy="714375"/>
                    </a:xfrm>
                    <a:prstGeom prst="rect">
                      <a:avLst/>
                    </a:prstGeom>
                    <a:noFill/>
                    <a:ln>
                      <a:noFill/>
                    </a:ln>
                  </pic:spPr>
                </pic:pic>
              </a:graphicData>
            </a:graphic>
          </wp:anchor>
        </w:drawing>
      </w:r>
      <w:r>
        <w:rPr>
          <w:rFonts w:cs="Times New Roman" w:eastAsiaTheme="minorEastAsia"/>
          <w:color w:val="auto"/>
        </w:rPr>
        <w:drawing>
          <wp:inline distT="0" distB="0" distL="0" distR="0">
            <wp:extent cx="5295900" cy="4105275"/>
            <wp:effectExtent l="9525" t="9525" r="9525" b="19050"/>
            <wp:docPr id="101066613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666134" name="图片 41"/>
                    <pic:cNvPicPr>
                      <a:picLocks noChangeAspect="1"/>
                    </pic:cNvPicPr>
                  </pic:nvPicPr>
                  <pic:blipFill>
                    <a:blip r:embed="rId62"/>
                    <a:stretch>
                      <a:fillRect/>
                    </a:stretch>
                  </pic:blipFill>
                  <pic:spPr>
                    <a:xfrm>
                      <a:off x="0" y="0"/>
                      <a:ext cx="5302275" cy="4110445"/>
                    </a:xfrm>
                    <a:prstGeom prst="rect">
                      <a:avLst/>
                    </a:prstGeom>
                    <a:ln>
                      <a:solidFill>
                        <a:schemeClr val="tx1"/>
                      </a:solidFill>
                    </a:ln>
                  </pic:spPr>
                </pic:pic>
              </a:graphicData>
            </a:graphic>
          </wp:inline>
        </w:drawing>
      </w:r>
    </w:p>
    <w:p>
      <w:pPr>
        <w:pStyle w:val="54"/>
        <w:rPr>
          <w:color w:val="auto"/>
          <w:lang w:eastAsia="zh-CN"/>
        </w:rPr>
      </w:pPr>
      <w:r>
        <w:rPr>
          <w:color w:val="auto"/>
          <w:lang w:eastAsia="zh-CN"/>
        </w:rPr>
        <w:t>图</w:t>
      </w:r>
      <w:r>
        <w:rPr>
          <w:rFonts w:hint="eastAsia"/>
          <w:color w:val="auto"/>
          <w:lang w:val="en-US" w:eastAsia="zh-CN"/>
        </w:rPr>
        <w:t>2</w:t>
      </w:r>
      <w:r>
        <w:rPr>
          <w:color w:val="auto"/>
          <w:lang w:eastAsia="zh-CN"/>
        </w:rPr>
        <w:t>-4    单回线路7.5m高度工频磁场强度随距离变化情况图</w:t>
      </w:r>
    </w:p>
    <w:p>
      <w:pPr>
        <w:pStyle w:val="30"/>
        <w:rPr>
          <w:lang w:eastAsia="zh-CN"/>
        </w:rPr>
      </w:pPr>
    </w:p>
    <w:p>
      <w:pPr>
        <w:pStyle w:val="29"/>
        <w:ind w:firstLine="298"/>
        <w:rPr>
          <w:rFonts w:eastAsiaTheme="minorEastAsia"/>
          <w:color w:val="auto"/>
          <w:sz w:val="21"/>
          <w:szCs w:val="21"/>
          <w:lang w:eastAsia="zh-CN"/>
        </w:rPr>
      </w:pPr>
      <w:r>
        <w:rPr>
          <w:rFonts w:eastAsiaTheme="minorEastAsia"/>
          <w:color w:val="auto"/>
          <w:spacing w:val="-31"/>
          <w:sz w:val="21"/>
          <w:szCs w:val="21"/>
          <w:lang w:eastAsia="zh-CN"/>
        </w:rPr>
        <w:t>表</w:t>
      </w:r>
      <w:r>
        <w:rPr>
          <w:rFonts w:hint="eastAsia"/>
          <w:color w:val="auto"/>
          <w:spacing w:val="-31"/>
          <w:sz w:val="21"/>
          <w:szCs w:val="21"/>
          <w:lang w:val="en-US" w:eastAsia="zh-CN"/>
        </w:rPr>
        <w:t xml:space="preserve">  </w:t>
      </w:r>
      <w:r>
        <w:rPr>
          <w:rFonts w:hint="default" w:ascii="Times New Roman" w:hAnsi="Times New Roman" w:cs="Times New Roman"/>
          <w:color w:val="auto"/>
          <w:spacing w:val="-31"/>
          <w:sz w:val="21"/>
          <w:szCs w:val="21"/>
          <w:lang w:val="en-US" w:eastAsia="zh-CN"/>
        </w:rPr>
        <w:t>2</w:t>
      </w:r>
      <w:r>
        <w:rPr>
          <w:rFonts w:hint="default" w:ascii="Times New Roman" w:hAnsi="Times New Roman" w:cs="Times New Roman" w:eastAsiaTheme="minorEastAsia"/>
          <w:color w:val="auto"/>
          <w:sz w:val="21"/>
          <w:szCs w:val="21"/>
          <w:lang w:eastAsia="zh-CN"/>
        </w:rPr>
        <w:t>-3</w:t>
      </w:r>
      <w:r>
        <w:rPr>
          <w:rFonts w:eastAsiaTheme="minorEastAsia"/>
          <w:color w:val="auto"/>
          <w:sz w:val="21"/>
          <w:szCs w:val="21"/>
          <w:lang w:eastAsia="zh-CN"/>
        </w:rPr>
        <w:t xml:space="preserve">    单回路输电线路两侧工频电磁场预测结果水平变化情况一览表</w:t>
      </w:r>
    </w:p>
    <w:tbl>
      <w:tblPr>
        <w:tblStyle w:val="20"/>
        <w:tblW w:w="495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094"/>
        <w:gridCol w:w="1674"/>
        <w:gridCol w:w="1594"/>
        <w:gridCol w:w="1823"/>
        <w:gridCol w:w="159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vMerge w:val="restart"/>
            <w:tcBorders>
              <w:top w:val="single" w:color="000000" w:sz="4"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lang w:eastAsia="zh-CN"/>
              </w:rPr>
            </w:pPr>
            <w:r>
              <w:rPr>
                <w:rFonts w:hint="default" w:ascii="Times New Roman" w:hAnsi="Times New Roman" w:cs="Times New Roman"/>
                <w:b w:val="0"/>
                <w:bCs w:val="0"/>
                <w:color w:val="auto"/>
                <w:lang w:eastAsia="zh-CN"/>
              </w:rPr>
              <w:t>与线路中心线投影距离（m）</w:t>
            </w:r>
          </w:p>
        </w:tc>
        <w:tc>
          <w:tcPr>
            <w:tcW w:w="0" w:type="auto"/>
            <w:gridSpan w:val="2"/>
            <w:tcBorders>
              <w:top w:val="single" w:color="000000" w:sz="4" w:space="0"/>
              <w:left w:val="nil"/>
              <w:bottom w:val="single" w:color="000000" w:sz="6" w:space="0"/>
              <w:right w:val="single" w:color="000000" w:sz="4"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高度7.5m</w:t>
            </w:r>
          </w:p>
        </w:tc>
        <w:tc>
          <w:tcPr>
            <w:tcW w:w="0" w:type="auto"/>
            <w:gridSpan w:val="2"/>
            <w:tcBorders>
              <w:top w:val="single" w:color="000000" w:sz="4" w:space="0"/>
              <w:left w:val="single" w:color="000000" w:sz="6" w:space="0"/>
              <w:bottom w:val="single" w:color="000000" w:sz="6" w:space="0"/>
              <w:right w:val="single" w:color="000000" w:sz="4"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高度6.5</w:t>
            </w:r>
            <w:r>
              <w:rPr>
                <w:rStyle w:val="58"/>
                <w:rFonts w:hint="default" w:ascii="Times New Roman" w:hAnsi="Times New Roman" w:cs="Times New Roman" w:eastAsiaTheme="minorEastAsia"/>
                <w:b w:val="0"/>
                <w:bCs w:val="0"/>
                <w:color w:val="auto"/>
              </w:rPr>
              <w:t>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vMerge w:val="continue"/>
            <w:tcBorders>
              <w:top w:val="single" w:color="000000" w:sz="4"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p>
        </w:tc>
        <w:tc>
          <w:tcPr>
            <w:tcW w:w="0" w:type="auto"/>
            <w:tcBorders>
              <w:top w:val="single" w:color="000000" w:sz="6" w:space="0"/>
              <w:left w:val="nil"/>
              <w:bottom w:val="single" w:color="000000" w:sz="6" w:space="0"/>
              <w:right w:val="single" w:color="000000" w:sz="6" w:space="0"/>
            </w:tcBorders>
            <w:vAlign w:val="center"/>
          </w:tcPr>
          <w:p>
            <w:pPr>
              <w:pStyle w:val="28"/>
              <w:rPr>
                <w:rFonts w:hint="default" w:ascii="Times New Roman" w:hAnsi="Times New Roman" w:cs="Times New Roman"/>
                <w:b w:val="0"/>
                <w:bCs w:val="0"/>
                <w:color w:val="auto"/>
                <w:lang w:eastAsia="zh-CN"/>
              </w:rPr>
            </w:pPr>
            <w:r>
              <w:rPr>
                <w:rFonts w:hint="default" w:ascii="Times New Roman" w:hAnsi="Times New Roman" w:cs="Times New Roman"/>
                <w:b w:val="0"/>
                <w:bCs w:val="0"/>
                <w:color w:val="auto"/>
                <w:lang w:eastAsia="zh-CN"/>
              </w:rPr>
              <w:t>工频电场强（</w:t>
            </w:r>
            <w:r>
              <w:rPr>
                <w:rFonts w:hint="eastAsia" w:ascii="Times New Roman" w:hAnsi="Times New Roman" w:cs="Times New Roman"/>
                <w:b w:val="0"/>
                <w:bCs w:val="0"/>
                <w:color w:val="auto"/>
                <w:lang w:val="en-US" w:eastAsia="zh-CN"/>
              </w:rPr>
              <w:t>k</w:t>
            </w:r>
            <w:r>
              <w:rPr>
                <w:rFonts w:hint="default" w:ascii="Times New Roman" w:hAnsi="Times New Roman" w:cs="Times New Roman"/>
                <w:b w:val="0"/>
                <w:bCs w:val="0"/>
                <w:color w:val="auto"/>
                <w:lang w:eastAsia="zh-CN"/>
              </w:rPr>
              <w:t>V/m</w:t>
            </w:r>
            <w:r>
              <w:rPr>
                <w:rStyle w:val="59"/>
                <w:rFonts w:hint="default" w:ascii="Times New Roman" w:hAnsi="Times New Roman" w:cs="Times New Roman" w:eastAsiaTheme="minorEastAsia"/>
                <w:b w:val="0"/>
                <w:bCs w:val="0"/>
                <w:color w:val="auto"/>
                <w:lang w:eastAsia="zh-CN"/>
              </w:rPr>
              <w:t>）</w:t>
            </w:r>
          </w:p>
        </w:tc>
        <w:tc>
          <w:tcPr>
            <w:tcW w:w="0" w:type="auto"/>
            <w:tcBorders>
              <w:top w:val="single" w:color="000000" w:sz="6" w:space="0"/>
              <w:left w:val="nil"/>
              <w:bottom w:val="single" w:color="000000" w:sz="6" w:space="0"/>
              <w:right w:val="single" w:color="000000" w:sz="4" w:space="0"/>
            </w:tcBorders>
            <w:vAlign w:val="center"/>
          </w:tcPr>
          <w:p>
            <w:pPr>
              <w:pStyle w:val="28"/>
              <w:rPr>
                <w:rFonts w:hint="default" w:ascii="Times New Roman" w:hAnsi="Times New Roman" w:cs="Times New Roman"/>
                <w:b w:val="0"/>
                <w:bCs w:val="0"/>
                <w:color w:val="auto"/>
                <w:lang w:eastAsia="zh-CN"/>
              </w:rPr>
            </w:pPr>
            <w:r>
              <w:rPr>
                <w:rFonts w:hint="default" w:ascii="Times New Roman" w:hAnsi="Times New Roman" w:cs="Times New Roman"/>
                <w:b w:val="0"/>
                <w:bCs w:val="0"/>
                <w:color w:val="auto"/>
                <w:lang w:eastAsia="zh-CN"/>
              </w:rPr>
              <w:t>工频磁场强度（µT</w:t>
            </w:r>
            <w:r>
              <w:rPr>
                <w:rStyle w:val="59"/>
                <w:rFonts w:hint="default" w:ascii="Times New Roman" w:hAnsi="Times New Roman" w:cs="Times New Roman" w:eastAsiaTheme="minorEastAsia"/>
                <w:b w:val="0"/>
                <w:bCs w:val="0"/>
                <w:color w:val="auto"/>
                <w:lang w:eastAsia="zh-CN"/>
              </w:rPr>
              <w:t>）</w:t>
            </w:r>
          </w:p>
        </w:tc>
        <w:tc>
          <w:tcPr>
            <w:tcW w:w="0" w:type="auto"/>
            <w:tcBorders>
              <w:top w:val="single" w:color="000000" w:sz="6" w:space="0"/>
              <w:left w:val="single" w:color="000000" w:sz="6" w:space="0"/>
              <w:bottom w:val="single" w:color="000000" w:sz="6" w:space="0"/>
              <w:right w:val="single" w:color="000000" w:sz="4" w:space="0"/>
            </w:tcBorders>
            <w:vAlign w:val="center"/>
          </w:tcPr>
          <w:p>
            <w:pPr>
              <w:pStyle w:val="28"/>
              <w:rPr>
                <w:rFonts w:hint="default" w:ascii="Times New Roman" w:hAnsi="Times New Roman" w:cs="Times New Roman"/>
                <w:b w:val="0"/>
                <w:bCs w:val="0"/>
                <w:color w:val="auto"/>
                <w:lang w:eastAsia="zh-CN"/>
              </w:rPr>
            </w:pPr>
            <w:r>
              <w:rPr>
                <w:rFonts w:hint="default" w:ascii="Times New Roman" w:hAnsi="Times New Roman" w:cs="Times New Roman"/>
                <w:b w:val="0"/>
                <w:bCs w:val="0"/>
                <w:color w:val="auto"/>
                <w:lang w:eastAsia="zh-CN"/>
              </w:rPr>
              <w:t>工频电场强度（</w:t>
            </w:r>
            <w:r>
              <w:rPr>
                <w:rFonts w:hint="eastAsia" w:ascii="Times New Roman" w:hAnsi="Times New Roman" w:cs="Times New Roman"/>
                <w:b w:val="0"/>
                <w:bCs w:val="0"/>
                <w:color w:val="auto"/>
                <w:lang w:val="en-US" w:eastAsia="zh-CN"/>
              </w:rPr>
              <w:t>k</w:t>
            </w:r>
            <w:r>
              <w:rPr>
                <w:rFonts w:hint="default" w:ascii="Times New Roman" w:hAnsi="Times New Roman" w:cs="Times New Roman"/>
                <w:b w:val="0"/>
                <w:bCs w:val="0"/>
                <w:color w:val="auto"/>
                <w:lang w:eastAsia="zh-CN"/>
              </w:rPr>
              <w:t>V/m</w:t>
            </w:r>
            <w:r>
              <w:rPr>
                <w:rStyle w:val="59"/>
                <w:rFonts w:hint="default" w:ascii="Times New Roman" w:hAnsi="Times New Roman" w:cs="Times New Roman" w:eastAsiaTheme="minorEastAsia"/>
                <w:b w:val="0"/>
                <w:bCs w:val="0"/>
                <w:color w:val="auto"/>
                <w:lang w:eastAsia="zh-CN"/>
              </w:rPr>
              <w:t>）</w:t>
            </w:r>
          </w:p>
        </w:tc>
        <w:tc>
          <w:tcPr>
            <w:tcW w:w="0" w:type="auto"/>
            <w:tcBorders>
              <w:top w:val="single" w:color="000000" w:sz="6" w:space="0"/>
              <w:left w:val="single" w:color="000000" w:sz="6" w:space="0"/>
              <w:bottom w:val="single" w:color="000000" w:sz="6" w:space="0"/>
              <w:right w:val="single" w:color="000000" w:sz="4" w:space="0"/>
            </w:tcBorders>
            <w:vAlign w:val="center"/>
          </w:tcPr>
          <w:p>
            <w:pPr>
              <w:pStyle w:val="28"/>
              <w:rPr>
                <w:rFonts w:hint="default" w:ascii="Times New Roman" w:hAnsi="Times New Roman" w:cs="Times New Roman"/>
                <w:b w:val="0"/>
                <w:bCs w:val="0"/>
                <w:color w:val="auto"/>
                <w:lang w:eastAsia="zh-CN"/>
              </w:rPr>
            </w:pPr>
            <w:r>
              <w:rPr>
                <w:rFonts w:hint="default" w:ascii="Times New Roman" w:hAnsi="Times New Roman" w:cs="Times New Roman"/>
                <w:b w:val="0"/>
                <w:bCs w:val="0"/>
                <w:color w:val="auto"/>
                <w:lang w:eastAsia="zh-CN"/>
              </w:rPr>
              <w:t>工频磁场强度（µT</w:t>
            </w:r>
            <w:r>
              <w:rPr>
                <w:rStyle w:val="59"/>
                <w:rFonts w:hint="default" w:ascii="Times New Roman" w:hAnsi="Times New Roman" w:cs="Times New Roman" w:eastAsiaTheme="minorEastAsia"/>
                <w:b w:val="0"/>
                <w:bCs w:val="0"/>
                <w:color w:val="auto"/>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0</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2.71</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15.09</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3.47</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16.90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1</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2.76</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15.33</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3.49</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17.13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2</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2.95</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15.44</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3.61</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17.21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3</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3.35</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15.47</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3.92</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17.22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4</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3.89</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15.40</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4.38</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17.18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5</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4.39</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15.22</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4.80</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17.04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6</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4.70</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14.91</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5.05</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16.70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7</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4.75</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14.44</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5.03</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16.13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8</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4.58</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13.84</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4.78</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15.34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9</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4.23</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13.15</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4.36</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14.42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10</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3.80</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12.40</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3.88</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13.46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11</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3.35</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11.65</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3.39</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12.51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12</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2.91</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10.93</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2.93</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11.62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13</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2.51</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10.25</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2.52</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10.80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14</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2.16</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9.61</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2.16</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10.06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15</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1.86</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9.03</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1.85</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9.40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16</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1.60</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8.50</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1.60</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8.80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17</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1.38</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8.02</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1.38</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8.27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18</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1.20</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7.58</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1.19</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7.79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19</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1.04</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7.19</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1.04</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7.36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20</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0.91</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6.82</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0.91</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6.97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21</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0.80</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6.49</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0.80</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6.62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22</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0.71</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6.19</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0.70</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6.30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23</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0.63</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5.91</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0.62</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6.01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24</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0.56</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5.66</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0.56</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5.74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25</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0.50</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5.42</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0.50</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5.50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26</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0.45</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5.21</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0.44</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5.27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27</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0.40</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5.00</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0.40</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5.06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28</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0.36</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4.82</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0.36</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4.87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29</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0.33</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4.64</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0.33</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4.69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30</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0.30</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4.48</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0.30</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4.52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31</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0.27</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4.33</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0.27</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4.37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32</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0.25</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4.19</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0.25</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4.22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33</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0.23</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4.06</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0.23</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4.09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34</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0.21</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3.93</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0.21</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3.96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35</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0.19</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3.81</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0.19</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3.84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36</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0.18</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3.70</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0.18</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3.73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37</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0.16</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3.60</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0.16</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3.62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38</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0.15</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3.50</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0.15</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3.52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39</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0.14</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3.41</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0.14</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3.42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rPr>
            </w:pPr>
            <w:r>
              <w:rPr>
                <w:rFonts w:hint="default" w:ascii="Times New Roman" w:hAnsi="Times New Roman" w:cs="Times New Roman"/>
                <w:b w:val="0"/>
                <w:bCs w:val="0"/>
                <w:color w:val="auto"/>
              </w:rPr>
              <w:t>40</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0.13</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3.32</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0.13</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3.33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lang w:eastAsia="zh-CN"/>
              </w:rPr>
            </w:pPr>
            <w:r>
              <w:rPr>
                <w:rFonts w:hint="default" w:ascii="Times New Roman" w:hAnsi="Times New Roman" w:cs="Times New Roman"/>
                <w:b w:val="0"/>
                <w:bCs w:val="0"/>
                <w:color w:val="auto"/>
                <w:lang w:eastAsia="zh-CN"/>
              </w:rPr>
              <w:t>41</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0.12</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3.23</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0.12</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3.25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lang w:eastAsia="zh-CN"/>
              </w:rPr>
            </w:pPr>
            <w:r>
              <w:rPr>
                <w:rFonts w:hint="default" w:ascii="Times New Roman" w:hAnsi="Times New Roman" w:cs="Times New Roman"/>
                <w:b w:val="0"/>
                <w:bCs w:val="0"/>
                <w:color w:val="auto"/>
                <w:lang w:eastAsia="zh-CN"/>
              </w:rPr>
              <w:t>42</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0.11</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3.15</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0.11</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3.17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lang w:eastAsia="zh-CN"/>
              </w:rPr>
            </w:pPr>
            <w:r>
              <w:rPr>
                <w:rFonts w:hint="default" w:ascii="Times New Roman" w:hAnsi="Times New Roman" w:cs="Times New Roman"/>
                <w:b w:val="0"/>
                <w:bCs w:val="0"/>
                <w:color w:val="auto"/>
                <w:lang w:eastAsia="zh-CN"/>
              </w:rPr>
              <w:t>43</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0.10</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3.07</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0.10</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3.09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lang w:eastAsia="zh-CN"/>
              </w:rPr>
            </w:pPr>
            <w:r>
              <w:rPr>
                <w:rFonts w:hint="default" w:ascii="Times New Roman" w:hAnsi="Times New Roman" w:cs="Times New Roman"/>
                <w:b w:val="0"/>
                <w:bCs w:val="0"/>
                <w:color w:val="auto"/>
                <w:lang w:eastAsia="zh-CN"/>
              </w:rPr>
              <w:t>44</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0.10</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3.00</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0.10</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3.01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lang w:eastAsia="zh-CN"/>
              </w:rPr>
            </w:pPr>
            <w:r>
              <w:rPr>
                <w:rFonts w:hint="default" w:ascii="Times New Roman" w:hAnsi="Times New Roman" w:cs="Times New Roman"/>
                <w:b w:val="0"/>
                <w:bCs w:val="0"/>
                <w:color w:val="auto"/>
                <w:lang w:eastAsia="zh-CN"/>
              </w:rPr>
              <w:t>45</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0.09</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2.93</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0.09</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2.94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lang w:eastAsia="zh-CN"/>
              </w:rPr>
            </w:pPr>
            <w:r>
              <w:rPr>
                <w:rFonts w:hint="default" w:ascii="Times New Roman" w:hAnsi="Times New Roman" w:cs="Times New Roman"/>
                <w:b w:val="0"/>
                <w:bCs w:val="0"/>
                <w:color w:val="auto"/>
                <w:lang w:eastAsia="zh-CN"/>
              </w:rPr>
              <w:t>46</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0.09</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2.87</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0.09</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2.88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lang w:eastAsia="zh-CN"/>
              </w:rPr>
            </w:pPr>
            <w:r>
              <w:rPr>
                <w:rFonts w:hint="default" w:ascii="Times New Roman" w:hAnsi="Times New Roman" w:cs="Times New Roman"/>
                <w:b w:val="0"/>
                <w:bCs w:val="0"/>
                <w:color w:val="auto"/>
                <w:lang w:eastAsia="zh-CN"/>
              </w:rPr>
              <w:t>47</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0.08</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2.80</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0.08</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2.81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lang w:eastAsia="zh-CN"/>
              </w:rPr>
            </w:pPr>
            <w:r>
              <w:rPr>
                <w:rFonts w:hint="default" w:ascii="Times New Roman" w:hAnsi="Times New Roman" w:cs="Times New Roman"/>
                <w:b w:val="0"/>
                <w:bCs w:val="0"/>
                <w:color w:val="auto"/>
                <w:lang w:eastAsia="zh-CN"/>
              </w:rPr>
              <w:t>48</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0.08</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2.74</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0.08</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2.75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lang w:eastAsia="zh-CN"/>
              </w:rPr>
            </w:pPr>
            <w:r>
              <w:rPr>
                <w:rFonts w:hint="default" w:ascii="Times New Roman" w:hAnsi="Times New Roman" w:cs="Times New Roman"/>
                <w:b w:val="0"/>
                <w:bCs w:val="0"/>
                <w:color w:val="auto"/>
                <w:lang w:eastAsia="zh-CN"/>
              </w:rPr>
              <w:t>49</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0.07</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2.68</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0.07</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2.69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000000" w:sz="6" w:space="0"/>
              <w:left w:val="single" w:color="000000" w:sz="4" w:space="0"/>
              <w:bottom w:val="single" w:color="000000" w:sz="6" w:space="0"/>
              <w:right w:val="single" w:color="000000" w:sz="6" w:space="0"/>
            </w:tcBorders>
            <w:vAlign w:val="center"/>
          </w:tcPr>
          <w:p>
            <w:pPr>
              <w:pStyle w:val="28"/>
              <w:rPr>
                <w:rFonts w:hint="default" w:ascii="Times New Roman" w:hAnsi="Times New Roman" w:cs="Times New Roman"/>
                <w:b w:val="0"/>
                <w:bCs w:val="0"/>
                <w:color w:val="auto"/>
                <w:lang w:eastAsia="zh-CN"/>
              </w:rPr>
            </w:pPr>
            <w:r>
              <w:rPr>
                <w:rFonts w:hint="default" w:ascii="Times New Roman" w:hAnsi="Times New Roman" w:cs="Times New Roman"/>
                <w:b w:val="0"/>
                <w:bCs w:val="0"/>
                <w:color w:val="auto"/>
                <w:lang w:eastAsia="zh-CN"/>
              </w:rPr>
              <w:t>50</w:t>
            </w:r>
          </w:p>
        </w:tc>
        <w:tc>
          <w:tcPr>
            <w:tcW w:w="0" w:type="auto"/>
            <w:tcBorders>
              <w:top w:val="single" w:color="000000" w:sz="6" w:space="0"/>
              <w:left w:val="nil"/>
              <w:bottom w:val="single" w:color="000000" w:sz="6" w:space="0"/>
              <w:right w:val="single" w:color="000000" w:sz="6"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0.07</w:t>
            </w:r>
          </w:p>
        </w:tc>
        <w:tc>
          <w:tcPr>
            <w:tcW w:w="0" w:type="auto"/>
            <w:tcBorders>
              <w:top w:val="single" w:color="000000" w:sz="6" w:space="0"/>
              <w:left w:val="nil"/>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2.63</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0.07</w:t>
            </w:r>
          </w:p>
        </w:tc>
        <w:tc>
          <w:tcPr>
            <w:tcW w:w="0" w:type="auto"/>
            <w:tcBorders>
              <w:top w:val="single" w:color="000000" w:sz="6" w:space="0"/>
              <w:left w:val="single" w:color="000000" w:sz="6" w:space="0"/>
              <w:bottom w:val="single" w:color="000000" w:sz="6" w:space="0"/>
              <w:right w:val="single" w:color="000000" w:sz="4" w:space="0"/>
            </w:tcBorders>
          </w:tcPr>
          <w:p>
            <w:pPr>
              <w:pStyle w:val="28"/>
              <w:rPr>
                <w:rFonts w:hint="eastAsia" w:ascii="Times New Roman" w:hAnsi="Times New Roman" w:cs="Times New Roman" w:eastAsiaTheme="minorEastAsia"/>
                <w:b w:val="0"/>
                <w:bCs w:val="0"/>
                <w:color w:val="auto"/>
                <w:lang w:eastAsia="zh-CN"/>
              </w:rPr>
            </w:pPr>
            <w:r>
              <w:rPr>
                <w:rFonts w:hint="default" w:ascii="Times New Roman" w:hAnsi="Times New Roman" w:cs="Times New Roman"/>
                <w:b w:val="0"/>
                <w:bCs w:val="0"/>
                <w:color w:val="auto"/>
              </w:rPr>
              <w:t>2.64</w:t>
            </w:r>
          </w:p>
        </w:tc>
      </w:tr>
    </w:tbl>
    <w:p>
      <w:pPr>
        <w:pStyle w:val="30"/>
        <w:ind w:firstLine="480"/>
        <w:rPr>
          <w:color w:val="auto"/>
          <w:lang w:eastAsia="zh-CN"/>
        </w:rPr>
      </w:pPr>
      <w:r>
        <w:rPr>
          <w:rFonts w:hint="eastAsia"/>
          <w:color w:val="auto"/>
          <w:lang w:eastAsia="zh-CN"/>
        </w:rPr>
        <w:t>敏感目标预测结果详见下表。</w:t>
      </w:r>
    </w:p>
    <w:p>
      <w:pPr>
        <w:pStyle w:val="29"/>
        <w:ind w:firstLine="422"/>
        <w:rPr>
          <w:color w:val="auto"/>
        </w:rPr>
      </w:pPr>
      <w:r>
        <w:rPr>
          <w:rFonts w:hint="eastAsia"/>
          <w:color w:val="auto"/>
        </w:rPr>
        <w:t>表</w:t>
      </w:r>
      <w:r>
        <w:rPr>
          <w:rFonts w:hint="default" w:ascii="Times New Roman" w:hAnsi="Times New Roman" w:cs="Times New Roman"/>
          <w:color w:val="auto"/>
          <w:lang w:val="en-US" w:eastAsia="zh-CN"/>
        </w:rPr>
        <w:t>2</w:t>
      </w:r>
      <w:r>
        <w:rPr>
          <w:rFonts w:hint="default" w:ascii="Times New Roman" w:hAnsi="Times New Roman" w:cs="Times New Roman"/>
          <w:color w:val="auto"/>
        </w:rPr>
        <w:t xml:space="preserve">-4  </w:t>
      </w:r>
      <w:r>
        <w:rPr>
          <w:color w:val="auto"/>
        </w:rPr>
        <w:t xml:space="preserve">  </w:t>
      </w:r>
      <w:r>
        <w:rPr>
          <w:rFonts w:hint="eastAsia"/>
          <w:color w:val="auto"/>
        </w:rPr>
        <w:t>敏感目标预测表</w:t>
      </w:r>
    </w:p>
    <w:tbl>
      <w:tblPr>
        <w:tblStyle w:val="21"/>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7"/>
        <w:gridCol w:w="1906"/>
        <w:gridCol w:w="1855"/>
        <w:gridCol w:w="2113"/>
        <w:gridCol w:w="22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837" w:type="dxa"/>
            <w:tcBorders>
              <w:top w:val="single" w:color="auto" w:sz="4" w:space="0"/>
              <w:left w:val="single" w:color="auto" w:sz="4" w:space="0"/>
              <w:bottom w:val="single" w:color="auto" w:sz="4" w:space="0"/>
              <w:right w:val="single" w:color="auto" w:sz="4" w:space="0"/>
            </w:tcBorders>
            <w:vAlign w:val="center"/>
          </w:tcPr>
          <w:p>
            <w:pPr>
              <w:pStyle w:val="28"/>
              <w:rPr>
                <w:b w:val="0"/>
                <w:bCs w:val="0"/>
                <w:color w:val="auto"/>
              </w:rPr>
            </w:pPr>
            <w:r>
              <w:rPr>
                <w:b w:val="0"/>
                <w:bCs w:val="0"/>
                <w:color w:val="auto"/>
              </w:rPr>
              <w:t>序号</w:t>
            </w:r>
          </w:p>
        </w:tc>
        <w:tc>
          <w:tcPr>
            <w:tcW w:w="1906" w:type="dxa"/>
            <w:tcBorders>
              <w:top w:val="single" w:color="auto" w:sz="4" w:space="0"/>
              <w:left w:val="single" w:color="auto" w:sz="4" w:space="0"/>
              <w:bottom w:val="single" w:color="auto" w:sz="4" w:space="0"/>
              <w:right w:val="single" w:color="auto" w:sz="4" w:space="0"/>
            </w:tcBorders>
            <w:vAlign w:val="center"/>
          </w:tcPr>
          <w:p>
            <w:pPr>
              <w:pStyle w:val="28"/>
              <w:rPr>
                <w:b w:val="0"/>
                <w:bCs w:val="0"/>
                <w:color w:val="auto"/>
                <w:spacing w:val="-7"/>
              </w:rPr>
            </w:pPr>
            <w:r>
              <w:rPr>
                <w:b w:val="0"/>
                <w:bCs w:val="0"/>
                <w:color w:val="auto"/>
              </w:rPr>
              <w:t>环境保护</w:t>
            </w:r>
            <w:r>
              <w:rPr>
                <w:b w:val="0"/>
                <w:bCs w:val="0"/>
                <w:color w:val="auto"/>
                <w:spacing w:val="-13"/>
              </w:rPr>
              <w:t>目标名称</w:t>
            </w:r>
          </w:p>
        </w:tc>
        <w:tc>
          <w:tcPr>
            <w:tcW w:w="1855" w:type="dxa"/>
            <w:tcBorders>
              <w:top w:val="single" w:color="auto" w:sz="4" w:space="0"/>
              <w:left w:val="single" w:color="auto" w:sz="4" w:space="0"/>
              <w:bottom w:val="single" w:color="auto" w:sz="4" w:space="0"/>
              <w:right w:val="single" w:color="auto" w:sz="4" w:space="0"/>
            </w:tcBorders>
            <w:vAlign w:val="center"/>
          </w:tcPr>
          <w:p>
            <w:pPr>
              <w:pStyle w:val="28"/>
              <w:jc w:val="center"/>
              <w:rPr>
                <w:b w:val="0"/>
                <w:bCs w:val="0"/>
                <w:color w:val="auto"/>
                <w:spacing w:val="-7"/>
                <w:lang w:eastAsia="zh-CN"/>
              </w:rPr>
            </w:pPr>
            <w:r>
              <w:rPr>
                <w:b w:val="0"/>
                <w:bCs w:val="0"/>
                <w:color w:val="auto"/>
                <w:lang w:eastAsia="zh-CN"/>
              </w:rPr>
              <w:t>与本项目中心线最近距离（m）</w:t>
            </w:r>
          </w:p>
        </w:tc>
        <w:tc>
          <w:tcPr>
            <w:tcW w:w="2113" w:type="dxa"/>
            <w:tcBorders>
              <w:top w:val="single" w:color="auto" w:sz="4" w:space="0"/>
              <w:left w:val="single" w:color="auto" w:sz="4" w:space="0"/>
              <w:bottom w:val="single" w:color="auto" w:sz="4" w:space="0"/>
              <w:right w:val="single" w:color="auto" w:sz="4" w:space="0"/>
            </w:tcBorders>
            <w:vAlign w:val="center"/>
          </w:tcPr>
          <w:p>
            <w:pPr>
              <w:pStyle w:val="28"/>
              <w:jc w:val="center"/>
              <w:rPr>
                <w:b w:val="0"/>
                <w:bCs w:val="0"/>
                <w:color w:val="auto"/>
              </w:rPr>
            </w:pPr>
            <w:r>
              <w:rPr>
                <w:b w:val="0"/>
                <w:bCs w:val="0"/>
                <w:color w:val="auto"/>
              </w:rPr>
              <w:t>工频电场强度</w:t>
            </w:r>
            <w:r>
              <w:rPr>
                <w:rFonts w:hint="eastAsia"/>
                <w:b w:val="0"/>
                <w:bCs w:val="0"/>
                <w:color w:val="auto"/>
                <w:lang w:eastAsia="zh-CN"/>
              </w:rPr>
              <w:t>（</w:t>
            </w:r>
            <w:r>
              <w:rPr>
                <w:b w:val="0"/>
                <w:bCs w:val="0"/>
                <w:color w:val="auto"/>
              </w:rPr>
              <w:t>V/m</w:t>
            </w:r>
            <w:r>
              <w:rPr>
                <w:rFonts w:hint="eastAsia"/>
                <w:b w:val="0"/>
                <w:bCs w:val="0"/>
                <w:color w:val="auto"/>
                <w:lang w:eastAsia="zh-CN"/>
              </w:rPr>
              <w:t>）</w:t>
            </w:r>
          </w:p>
        </w:tc>
        <w:tc>
          <w:tcPr>
            <w:tcW w:w="2269" w:type="dxa"/>
            <w:tcBorders>
              <w:top w:val="single" w:color="auto" w:sz="4" w:space="0"/>
              <w:left w:val="single" w:color="auto" w:sz="4" w:space="0"/>
              <w:bottom w:val="single" w:color="auto" w:sz="4" w:space="0"/>
              <w:right w:val="single" w:color="auto" w:sz="4" w:space="0"/>
            </w:tcBorders>
            <w:vAlign w:val="center"/>
          </w:tcPr>
          <w:p>
            <w:pPr>
              <w:pStyle w:val="28"/>
              <w:jc w:val="center"/>
              <w:rPr>
                <w:b w:val="0"/>
                <w:bCs w:val="0"/>
                <w:color w:val="auto"/>
              </w:rPr>
            </w:pPr>
            <w:r>
              <w:rPr>
                <w:b w:val="0"/>
                <w:bCs w:val="0"/>
                <w:color w:val="auto"/>
              </w:rPr>
              <w:t>工频磁感应强度</w:t>
            </w:r>
            <w:r>
              <w:rPr>
                <w:rFonts w:hint="eastAsia"/>
                <w:b w:val="0"/>
                <w:bCs w:val="0"/>
                <w:color w:val="auto"/>
                <w:lang w:eastAsia="zh-CN"/>
              </w:rPr>
              <w:t>（</w:t>
            </w:r>
            <w:r>
              <w:rPr>
                <w:b w:val="0"/>
                <w:bCs w:val="0"/>
                <w:color w:val="auto"/>
              </w:rPr>
              <w:t>μT</w:t>
            </w:r>
            <w:r>
              <w:rPr>
                <w:rFonts w:hint="eastAsia"/>
                <w:b w:val="0"/>
                <w:bCs w:val="0"/>
                <w:color w:val="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837" w:type="dxa"/>
            <w:tcBorders>
              <w:top w:val="single" w:color="auto" w:sz="4" w:space="0"/>
              <w:left w:val="single" w:color="auto" w:sz="4" w:space="0"/>
              <w:bottom w:val="single" w:color="auto" w:sz="4" w:space="0"/>
              <w:right w:val="single" w:color="auto" w:sz="4" w:space="0"/>
            </w:tcBorders>
            <w:vAlign w:val="center"/>
          </w:tcPr>
          <w:p>
            <w:pPr>
              <w:pStyle w:val="28"/>
              <w:rPr>
                <w:b w:val="0"/>
                <w:bCs w:val="0"/>
                <w:color w:val="auto"/>
                <w:spacing w:val="-7"/>
              </w:rPr>
            </w:pPr>
            <w:r>
              <w:rPr>
                <w:b w:val="0"/>
                <w:bCs w:val="0"/>
                <w:color w:val="auto"/>
              </w:rPr>
              <w:t>1</w:t>
            </w:r>
          </w:p>
        </w:tc>
        <w:tc>
          <w:tcPr>
            <w:tcW w:w="1906" w:type="dxa"/>
            <w:tcBorders>
              <w:top w:val="single" w:color="auto" w:sz="4" w:space="0"/>
              <w:left w:val="single" w:color="auto" w:sz="4" w:space="0"/>
              <w:bottom w:val="single" w:color="auto" w:sz="4" w:space="0"/>
              <w:right w:val="single" w:color="auto" w:sz="4" w:space="0"/>
            </w:tcBorders>
            <w:vAlign w:val="center"/>
          </w:tcPr>
          <w:p>
            <w:pPr>
              <w:pStyle w:val="28"/>
              <w:rPr>
                <w:b w:val="0"/>
                <w:bCs w:val="0"/>
                <w:color w:val="auto"/>
                <w:spacing w:val="-7"/>
              </w:rPr>
            </w:pPr>
            <w:r>
              <w:rPr>
                <w:rFonts w:hint="default" w:ascii="Times New Roman" w:hAnsi="Times New Roman" w:eastAsia="宋体" w:cs="Times New Roman"/>
                <w:b w:val="0"/>
                <w:bCs/>
                <w:color w:val="auto"/>
                <w:sz w:val="21"/>
                <w:szCs w:val="21"/>
                <w:lang w:val="en-US" w:eastAsia="zh-CN"/>
              </w:rPr>
              <w:t>卧马线民房</w:t>
            </w:r>
          </w:p>
        </w:tc>
        <w:tc>
          <w:tcPr>
            <w:tcW w:w="1855" w:type="dxa"/>
            <w:tcBorders>
              <w:top w:val="single" w:color="auto" w:sz="4" w:space="0"/>
              <w:left w:val="single" w:color="auto" w:sz="4" w:space="0"/>
              <w:bottom w:val="single" w:color="auto" w:sz="4" w:space="0"/>
              <w:right w:val="single" w:color="auto" w:sz="4" w:space="0"/>
            </w:tcBorders>
            <w:vAlign w:val="center"/>
          </w:tcPr>
          <w:p>
            <w:pPr>
              <w:pStyle w:val="28"/>
              <w:jc w:val="center"/>
              <w:rPr>
                <w:b w:val="0"/>
                <w:bCs w:val="0"/>
                <w:color w:val="auto"/>
                <w:spacing w:val="-7"/>
              </w:rPr>
            </w:pPr>
            <w:r>
              <w:rPr>
                <w:b w:val="0"/>
                <w:bCs w:val="0"/>
                <w:color w:val="auto"/>
                <w:spacing w:val="-4"/>
              </w:rPr>
              <w:t>西侧</w:t>
            </w:r>
            <w:r>
              <w:rPr>
                <w:rFonts w:hint="eastAsia"/>
                <w:b w:val="0"/>
                <w:bCs w:val="0"/>
                <w:color w:val="auto"/>
                <w:lang w:val="en-US" w:eastAsia="zh-CN"/>
              </w:rPr>
              <w:t>40</w:t>
            </w:r>
            <w:r>
              <w:rPr>
                <w:b w:val="0"/>
                <w:bCs w:val="0"/>
                <w:color w:val="auto"/>
              </w:rPr>
              <w:t>m</w:t>
            </w:r>
          </w:p>
        </w:tc>
        <w:tc>
          <w:tcPr>
            <w:tcW w:w="2113" w:type="dxa"/>
            <w:tcBorders>
              <w:top w:val="single" w:color="auto" w:sz="4" w:space="0"/>
              <w:left w:val="single" w:color="auto" w:sz="4" w:space="0"/>
              <w:bottom w:val="single" w:color="auto" w:sz="4" w:space="0"/>
              <w:right w:val="single" w:color="auto" w:sz="4" w:space="0"/>
            </w:tcBorders>
            <w:vAlign w:val="center"/>
          </w:tcPr>
          <w:p>
            <w:pPr>
              <w:pStyle w:val="28"/>
              <w:ind w:firstLine="0" w:firstLineChars="0"/>
              <w:jc w:val="center"/>
              <w:rPr>
                <w:b w:val="0"/>
                <w:bCs w:val="0"/>
                <w:color w:val="auto"/>
                <w:lang w:eastAsia="zh-CN"/>
              </w:rPr>
            </w:pPr>
            <w:r>
              <w:rPr>
                <w:rFonts w:hint="default" w:ascii="Times New Roman" w:hAnsi="Times New Roman" w:cs="Times New Roman"/>
                <w:b w:val="0"/>
                <w:bCs w:val="0"/>
                <w:color w:val="auto"/>
              </w:rPr>
              <w:t>0.13</w:t>
            </w:r>
          </w:p>
        </w:tc>
        <w:tc>
          <w:tcPr>
            <w:tcW w:w="2269" w:type="dxa"/>
            <w:tcBorders>
              <w:top w:val="single" w:color="auto" w:sz="4" w:space="0"/>
              <w:left w:val="single" w:color="auto" w:sz="4" w:space="0"/>
              <w:bottom w:val="single" w:color="auto" w:sz="4" w:space="0"/>
              <w:right w:val="single" w:color="auto" w:sz="4" w:space="0"/>
            </w:tcBorders>
            <w:vAlign w:val="center"/>
          </w:tcPr>
          <w:p>
            <w:pPr>
              <w:pStyle w:val="28"/>
              <w:ind w:firstLine="0" w:firstLineChars="0"/>
              <w:jc w:val="center"/>
              <w:rPr>
                <w:b w:val="0"/>
                <w:bCs w:val="0"/>
                <w:color w:val="auto"/>
                <w:spacing w:val="-7"/>
                <w:lang w:eastAsia="zh-CN"/>
              </w:rPr>
            </w:pPr>
            <w:r>
              <w:rPr>
                <w:rFonts w:hint="default" w:ascii="Times New Roman" w:hAnsi="Times New Roman" w:cs="Times New Roman"/>
                <w:b w:val="0"/>
                <w:bCs w:val="0"/>
                <w:color w:val="auto"/>
              </w:rPr>
              <w:t>3.32</w:t>
            </w:r>
          </w:p>
        </w:tc>
      </w:tr>
    </w:tbl>
    <w:p>
      <w:pPr>
        <w:pStyle w:val="30"/>
        <w:ind w:firstLine="480"/>
        <w:rPr>
          <w:rFonts w:hint="eastAsia" w:cs="Times New Roman" w:eastAsiaTheme="minorEastAsia"/>
          <w:b/>
          <w:bCs/>
          <w:color w:val="auto"/>
          <w:lang w:val="en-US" w:eastAsia="zh-CN"/>
        </w:rPr>
      </w:pPr>
      <w:bookmarkStart w:id="68" w:name="_Toc173401895"/>
      <w:bookmarkStart w:id="69" w:name="_Toc173484761"/>
      <w:r>
        <w:rPr>
          <w:rFonts w:hint="eastAsia" w:cs="Times New Roman" w:eastAsiaTheme="minorEastAsia"/>
          <w:b/>
          <w:bCs/>
          <w:color w:val="auto"/>
          <w:lang w:val="en-US" w:eastAsia="zh-CN"/>
        </w:rPr>
        <w:t>2.5预测结论</w:t>
      </w:r>
      <w:bookmarkEnd w:id="68"/>
      <w:bookmarkEnd w:id="69"/>
    </w:p>
    <w:p>
      <w:pPr>
        <w:pStyle w:val="30"/>
        <w:ind w:firstLine="480"/>
        <w:rPr>
          <w:rFonts w:cs="Times New Roman" w:eastAsiaTheme="minorEastAsia"/>
          <w:color w:val="auto"/>
          <w:lang w:eastAsia="zh-CN"/>
        </w:rPr>
      </w:pPr>
      <w:r>
        <w:rPr>
          <w:rFonts w:cs="Times New Roman" w:eastAsiaTheme="minorEastAsia"/>
          <w:color w:val="auto"/>
          <w:lang w:eastAsia="zh-CN"/>
        </w:rPr>
        <w:t>从线路工频电场强度、工频磁感应强度预测结果可以看出：在不同线高情况下，线路随着对地高度的增加，工频电场强度和工频磁感应强度总体呈现出衰减的趋势。在不同线高情况下，随着与边导线（距离中心线5.5m）水平距离的增加，工频电场强度和工频磁感应强度总体呈现出减小的趋势。</w:t>
      </w:r>
    </w:p>
    <w:p>
      <w:pPr>
        <w:pStyle w:val="30"/>
        <w:ind w:firstLine="480"/>
        <w:rPr>
          <w:rFonts w:cs="Times New Roman" w:eastAsiaTheme="minorEastAsia"/>
          <w:color w:val="auto"/>
          <w:lang w:eastAsia="zh-CN"/>
        </w:rPr>
      </w:pPr>
      <w:r>
        <w:rPr>
          <w:rFonts w:cs="Times New Roman" w:eastAsiaTheme="minorEastAsia"/>
          <w:color w:val="auto"/>
          <w:lang w:eastAsia="zh-CN"/>
        </w:rPr>
        <w:t>（1）经过非居民区时</w:t>
      </w:r>
    </w:p>
    <w:p>
      <w:pPr>
        <w:pStyle w:val="30"/>
        <w:ind w:firstLine="480"/>
        <w:rPr>
          <w:rFonts w:cs="Times New Roman" w:eastAsiaTheme="minorEastAsia"/>
          <w:color w:val="auto"/>
          <w:lang w:eastAsia="zh-CN"/>
        </w:rPr>
      </w:pPr>
      <w:bookmarkStart w:id="70" w:name="_Hlk170875277"/>
      <w:r>
        <w:rPr>
          <w:rFonts w:cs="Times New Roman" w:eastAsiaTheme="minorEastAsia"/>
          <w:color w:val="auto"/>
          <w:lang w:eastAsia="zh-CN"/>
        </w:rPr>
        <w:t>根据预测，对地最低高度为6.5m时，单回路线路附近工频电场强度最大值为5.05V/m，工频磁感应强度最大值为17.22</w:t>
      </w:r>
      <w:r>
        <w:rPr>
          <w:rFonts w:cs="Times New Roman" w:eastAsiaTheme="minorEastAsia"/>
          <w:color w:val="auto"/>
        </w:rPr>
        <w:t>μ</w:t>
      </w:r>
      <w:r>
        <w:rPr>
          <w:rFonts w:cs="Times New Roman" w:eastAsiaTheme="minorEastAsia"/>
          <w:color w:val="auto"/>
          <w:lang w:eastAsia="zh-CN"/>
        </w:rPr>
        <w:t>T。</w:t>
      </w:r>
    </w:p>
    <w:p>
      <w:pPr>
        <w:pStyle w:val="30"/>
        <w:ind w:firstLine="480"/>
        <w:rPr>
          <w:rFonts w:cs="Times New Roman" w:eastAsiaTheme="minorEastAsia"/>
          <w:color w:val="auto"/>
          <w:lang w:eastAsia="zh-CN"/>
        </w:rPr>
      </w:pPr>
      <w:r>
        <w:rPr>
          <w:rFonts w:cs="Times New Roman" w:eastAsiaTheme="minorEastAsia"/>
          <w:color w:val="auto"/>
          <w:lang w:eastAsia="zh-CN"/>
        </w:rPr>
        <w:t>距离中心线外10m，工频电场强度能够满足《电磁环境控制限值》（GB8702-2014）中电场强度4000V/m的标准要求；中心线外各处均能满足《电磁环境控制限值》（GB8702-2014）中磁感应强度100</w:t>
      </w:r>
      <w:r>
        <w:rPr>
          <w:rFonts w:cs="Times New Roman" w:eastAsiaTheme="minorEastAsia"/>
          <w:color w:val="auto"/>
        </w:rPr>
        <w:t>μ</w:t>
      </w:r>
      <w:r>
        <w:rPr>
          <w:rFonts w:cs="Times New Roman" w:eastAsiaTheme="minorEastAsia"/>
          <w:color w:val="auto"/>
          <w:lang w:eastAsia="zh-CN"/>
        </w:rPr>
        <w:t>T的标准要求。</w:t>
      </w:r>
    </w:p>
    <w:bookmarkEnd w:id="70"/>
    <w:p>
      <w:pPr>
        <w:pStyle w:val="30"/>
        <w:ind w:firstLine="480"/>
        <w:rPr>
          <w:rFonts w:cs="Times New Roman" w:eastAsiaTheme="minorEastAsia"/>
          <w:color w:val="auto"/>
          <w:lang w:eastAsia="zh-CN"/>
        </w:rPr>
      </w:pPr>
      <w:r>
        <w:rPr>
          <w:rFonts w:cs="Times New Roman" w:eastAsiaTheme="minorEastAsia"/>
          <w:color w:val="auto"/>
          <w:lang w:eastAsia="zh-CN"/>
        </w:rPr>
        <w:t>（2）经过居民区时</w:t>
      </w:r>
    </w:p>
    <w:p>
      <w:pPr>
        <w:pStyle w:val="30"/>
        <w:ind w:firstLine="480"/>
        <w:rPr>
          <w:rFonts w:cs="Times New Roman" w:eastAsiaTheme="minorEastAsia"/>
          <w:color w:val="auto"/>
          <w:lang w:eastAsia="zh-CN"/>
        </w:rPr>
      </w:pPr>
      <w:r>
        <w:rPr>
          <w:rFonts w:cs="Times New Roman" w:eastAsiaTheme="minorEastAsia"/>
          <w:color w:val="auto"/>
          <w:lang w:eastAsia="zh-CN"/>
        </w:rPr>
        <w:t>根据预测，单回路线路导线对地最低高度为7.5m时，单回路线路附近工频电场强度最大值为4.7V/m，工频磁感应强度最大值为15.47</w:t>
      </w:r>
      <w:r>
        <w:rPr>
          <w:rFonts w:cs="Times New Roman" w:eastAsiaTheme="minorEastAsia"/>
          <w:color w:val="auto"/>
        </w:rPr>
        <w:t>μ</w:t>
      </w:r>
      <w:r>
        <w:rPr>
          <w:rFonts w:cs="Times New Roman" w:eastAsiaTheme="minorEastAsia"/>
          <w:color w:val="auto"/>
          <w:lang w:eastAsia="zh-CN"/>
        </w:rPr>
        <w:t>T。</w:t>
      </w:r>
    </w:p>
    <w:p>
      <w:pPr>
        <w:pStyle w:val="30"/>
        <w:ind w:firstLine="480"/>
        <w:rPr>
          <w:rFonts w:cs="Times New Roman" w:eastAsiaTheme="minorEastAsia"/>
          <w:color w:val="auto"/>
          <w:lang w:eastAsia="zh-CN"/>
        </w:rPr>
      </w:pPr>
      <w:r>
        <w:rPr>
          <w:rFonts w:cs="Times New Roman" w:eastAsiaTheme="minorEastAsia"/>
          <w:color w:val="auto"/>
          <w:lang w:eastAsia="zh-CN"/>
        </w:rPr>
        <w:t>距离中心线外10m，工频电场强度能够满足《电磁环境控制限值》（GB8702-2014）中电场强度4000V/m的标准要求；中心线外各处均能满足《电磁环境控制限值》（GB8702-2014）中磁感应强度100</w:t>
      </w:r>
      <w:r>
        <w:rPr>
          <w:rFonts w:cs="Times New Roman" w:eastAsiaTheme="minorEastAsia"/>
          <w:color w:val="auto"/>
        </w:rPr>
        <w:t>μ</w:t>
      </w:r>
      <w:r>
        <w:rPr>
          <w:rFonts w:cs="Times New Roman" w:eastAsiaTheme="minorEastAsia"/>
          <w:color w:val="auto"/>
          <w:lang w:eastAsia="zh-CN"/>
        </w:rPr>
        <w:t>T的标准要求。</w:t>
      </w:r>
    </w:p>
    <w:p>
      <w:pPr>
        <w:pStyle w:val="30"/>
        <w:ind w:firstLine="480"/>
        <w:rPr>
          <w:rFonts w:cs="Times New Roman" w:eastAsiaTheme="minorEastAsia"/>
          <w:color w:val="auto"/>
          <w:lang w:eastAsia="zh-CN"/>
        </w:rPr>
      </w:pPr>
      <w:r>
        <w:rPr>
          <w:rFonts w:cs="Times New Roman" w:eastAsiaTheme="minorEastAsia"/>
          <w:color w:val="auto"/>
          <w:lang w:eastAsia="zh-CN"/>
        </w:rPr>
        <w:t>（3）敏感目标</w:t>
      </w:r>
    </w:p>
    <w:p>
      <w:pPr>
        <w:pStyle w:val="30"/>
        <w:ind w:firstLine="480"/>
        <w:rPr>
          <w:rFonts w:cs="Times New Roman" w:eastAsiaTheme="minorEastAsia"/>
          <w:color w:val="auto"/>
          <w:lang w:eastAsia="zh-CN"/>
        </w:rPr>
      </w:pPr>
      <w:r>
        <w:rPr>
          <w:rFonts w:cs="Times New Roman" w:eastAsiaTheme="minorEastAsia"/>
          <w:color w:val="auto"/>
          <w:lang w:eastAsia="zh-CN"/>
        </w:rPr>
        <w:t>根据预测，本项目敏感目标的工频电场强度为0.1</w:t>
      </w:r>
      <w:r>
        <w:rPr>
          <w:rFonts w:hint="eastAsia" w:cs="Times New Roman" w:eastAsiaTheme="minorEastAsia"/>
          <w:color w:val="auto"/>
          <w:lang w:val="en-US" w:eastAsia="zh-CN"/>
        </w:rPr>
        <w:t>3</w:t>
      </w:r>
      <w:r>
        <w:rPr>
          <w:rFonts w:cs="Times New Roman" w:eastAsiaTheme="minorEastAsia"/>
          <w:color w:val="auto"/>
          <w:lang w:eastAsia="zh-CN"/>
        </w:rPr>
        <w:t>（V/m），能够满足《电磁环境控制限值》（GB8702-2014）中电场强度4000V/m的标准要求；工频磁感应强度为</w:t>
      </w:r>
      <w:r>
        <w:rPr>
          <w:rFonts w:hint="eastAsia" w:cs="Times New Roman" w:eastAsiaTheme="minorEastAsia"/>
          <w:color w:val="auto"/>
          <w:lang w:val="en-US" w:eastAsia="zh-CN"/>
        </w:rPr>
        <w:t>3.32</w:t>
      </w:r>
      <w:r>
        <w:rPr>
          <w:rFonts w:cs="Times New Roman" w:eastAsiaTheme="minorEastAsia"/>
          <w:color w:val="auto"/>
          <w:lang w:eastAsia="zh-CN"/>
        </w:rPr>
        <w:t>（</w:t>
      </w:r>
      <w:r>
        <w:rPr>
          <w:rFonts w:cs="Times New Roman" w:eastAsiaTheme="minorEastAsia"/>
          <w:snapToGrid/>
          <w:color w:val="auto"/>
          <w:kern w:val="0"/>
          <w:lang w:eastAsia="zh-CN"/>
        </w:rPr>
        <w:t>μT</w:t>
      </w:r>
      <w:r>
        <w:rPr>
          <w:rFonts w:cs="Times New Roman" w:eastAsiaTheme="minorEastAsia"/>
          <w:color w:val="auto"/>
          <w:lang w:eastAsia="zh-CN"/>
        </w:rPr>
        <w:t>），能够满足《电磁环境控制限值》（GB8702-2014）中磁感应强度100</w:t>
      </w:r>
      <w:r>
        <w:rPr>
          <w:rFonts w:cs="Times New Roman" w:eastAsiaTheme="minorEastAsia"/>
          <w:color w:val="auto"/>
        </w:rPr>
        <w:t>μ</w:t>
      </w:r>
      <w:r>
        <w:rPr>
          <w:rFonts w:cs="Times New Roman" w:eastAsiaTheme="minorEastAsia"/>
          <w:color w:val="auto"/>
          <w:lang w:eastAsia="zh-CN"/>
        </w:rPr>
        <w:t>T的标准要求。</w:t>
      </w:r>
    </w:p>
    <w:p>
      <w:pPr>
        <w:pStyle w:val="30"/>
        <w:ind w:firstLine="480"/>
        <w:rPr>
          <w:rFonts w:cs="Times New Roman" w:eastAsiaTheme="minorEastAsia"/>
          <w:color w:val="auto"/>
          <w:lang w:eastAsia="zh-CN"/>
        </w:rPr>
      </w:pPr>
    </w:p>
    <w:p>
      <w:pPr>
        <w:spacing w:before="79" w:line="221" w:lineRule="auto"/>
        <w:outlineLvl w:val="1"/>
        <w:rPr>
          <w:rFonts w:ascii="宋体" w:hAnsi="宋体" w:eastAsia="宋体" w:cs="宋体"/>
          <w:color w:val="auto"/>
          <w:sz w:val="24"/>
          <w:szCs w:val="24"/>
        </w:rPr>
      </w:pPr>
      <w:r>
        <w:rPr>
          <w:rFonts w:ascii="Times New Roman" w:hAnsi="Times New Roman" w:eastAsia="Times New Roman" w:cs="Times New Roman"/>
          <w:b/>
          <w:bCs/>
          <w:color w:val="auto"/>
          <w:spacing w:val="-6"/>
          <w:sz w:val="24"/>
          <w:szCs w:val="24"/>
        </w:rPr>
        <w:t>3.</w:t>
      </w:r>
      <w:r>
        <w:rPr>
          <w:rFonts w:ascii="宋体" w:hAnsi="宋体" w:eastAsia="宋体" w:cs="宋体"/>
          <w:b/>
          <w:bCs/>
          <w:color w:val="auto"/>
          <w:spacing w:val="-6"/>
          <w:sz w:val="24"/>
          <w:szCs w:val="24"/>
        </w:rPr>
        <w:t>电磁污染防治措施</w:t>
      </w:r>
    </w:p>
    <w:p>
      <w:pPr>
        <w:kinsoku w:val="0"/>
        <w:autoSpaceDE w:val="0"/>
        <w:autoSpaceDN w:val="0"/>
        <w:adjustRightInd w:val="0"/>
        <w:snapToGrid w:val="0"/>
        <w:spacing w:line="500" w:lineRule="atLeast"/>
        <w:ind w:firstLine="480" w:firstLineChars="200"/>
        <w:jc w:val="both"/>
        <w:textAlignment w:val="baseline"/>
        <w:rPr>
          <w:rFonts w:ascii="Times New Roman" w:hAnsi="Times New Roman" w:eastAsia="宋体" w:cs="Times New Roman"/>
          <w:snapToGrid/>
          <w:color w:val="auto"/>
          <w:kern w:val="2"/>
          <w:sz w:val="24"/>
          <w:szCs w:val="20"/>
          <w:lang w:val="en-US" w:eastAsia="zh-CN" w:bidi="ar-SA"/>
        </w:rPr>
      </w:pPr>
      <w:r>
        <w:rPr>
          <w:rFonts w:ascii="Times New Roman" w:hAnsi="Times New Roman" w:eastAsia="宋体" w:cs="Times New Roman"/>
          <w:snapToGrid w:val="0"/>
          <w:color w:val="auto"/>
          <w:kern w:val="2"/>
          <w:sz w:val="24"/>
          <w:szCs w:val="20"/>
          <w:lang w:val="en-US" w:eastAsia="zh-CN" w:bidi="ar-SA"/>
        </w:rPr>
        <w:t>（1）设计阶段：</w:t>
      </w:r>
    </w:p>
    <w:p>
      <w:pPr>
        <w:kinsoku w:val="0"/>
        <w:autoSpaceDE w:val="0"/>
        <w:autoSpaceDN w:val="0"/>
        <w:adjustRightInd w:val="0"/>
        <w:snapToGrid w:val="0"/>
        <w:spacing w:line="500" w:lineRule="atLeast"/>
        <w:ind w:firstLine="480" w:firstLineChars="200"/>
        <w:jc w:val="both"/>
        <w:textAlignment w:val="baseline"/>
        <w:rPr>
          <w:rFonts w:ascii="Times New Roman" w:hAnsi="Times New Roman" w:eastAsia="宋体" w:cs="Times New Roman"/>
          <w:snapToGrid w:val="0"/>
          <w:color w:val="auto"/>
          <w:kern w:val="2"/>
          <w:sz w:val="24"/>
          <w:szCs w:val="20"/>
          <w:lang w:val="en-US" w:eastAsia="zh-CN" w:bidi="ar-SA"/>
        </w:rPr>
      </w:pPr>
      <w:r>
        <w:rPr>
          <w:rFonts w:ascii="Times New Roman" w:hAnsi="Times New Roman" w:eastAsia="宋体" w:cs="Times New Roman"/>
          <w:snapToGrid w:val="0"/>
          <w:color w:val="auto"/>
          <w:kern w:val="2"/>
          <w:sz w:val="24"/>
          <w:szCs w:val="20"/>
          <w:lang w:val="en-US" w:eastAsia="zh-CN" w:bidi="ar-SA"/>
        </w:rPr>
        <w:t>1）严格</w:t>
      </w:r>
      <w:r>
        <w:rPr>
          <w:rFonts w:hint="eastAsia" w:ascii="Times New Roman" w:hAnsi="Times New Roman" w:eastAsia="宋体" w:cs="Times New Roman"/>
          <w:snapToGrid w:val="0"/>
          <w:color w:val="auto"/>
          <w:kern w:val="2"/>
          <w:sz w:val="24"/>
          <w:szCs w:val="20"/>
          <w:lang w:val="en-US" w:eastAsia="zh-CN" w:bidi="ar-SA"/>
        </w:rPr>
        <w:t>按照</w:t>
      </w:r>
      <w:r>
        <w:rPr>
          <w:rFonts w:ascii="Times New Roman" w:hAnsi="Times New Roman" w:eastAsia="宋体" w:cs="Times New Roman"/>
          <w:snapToGrid w:val="0"/>
          <w:color w:val="auto"/>
          <w:kern w:val="2"/>
          <w:sz w:val="24"/>
          <w:szCs w:val="20"/>
          <w:lang w:val="en-US" w:eastAsia="zh-CN" w:bidi="ar-SA"/>
        </w:rPr>
        <w:t>《110kV~750kV</w:t>
      </w:r>
      <w:r>
        <w:rPr>
          <w:rFonts w:ascii="Times New Roman" w:hAnsi="Times New Roman" w:eastAsia="宋体" w:cs="Times New Roman"/>
          <w:snapToGrid w:val="0"/>
          <w:color w:val="auto"/>
          <w:spacing w:val="-8"/>
          <w:kern w:val="2"/>
          <w:sz w:val="24"/>
          <w:szCs w:val="20"/>
          <w:lang w:val="en-US" w:eastAsia="zh-CN" w:bidi="ar-SA"/>
        </w:rPr>
        <w:t>架空输电线路设计规范》</w:t>
      </w:r>
      <w:r>
        <w:rPr>
          <w:rFonts w:ascii="Times New Roman" w:hAnsi="Times New Roman" w:eastAsia="宋体" w:cs="Times New Roman"/>
          <w:snapToGrid w:val="0"/>
          <w:color w:val="auto"/>
          <w:kern w:val="2"/>
          <w:sz w:val="24"/>
          <w:szCs w:val="20"/>
          <w:lang w:val="en-US" w:eastAsia="zh-CN" w:bidi="ar-SA"/>
        </w:rPr>
        <w:t>（GB50545-2010）相关要</w:t>
      </w:r>
      <w:r>
        <w:rPr>
          <w:rFonts w:ascii="Times New Roman" w:hAnsi="Times New Roman" w:eastAsia="宋体" w:cs="Times New Roman"/>
          <w:snapToGrid w:val="0"/>
          <w:color w:val="auto"/>
          <w:spacing w:val="-1"/>
          <w:kern w:val="2"/>
          <w:sz w:val="24"/>
          <w:szCs w:val="20"/>
          <w:lang w:val="en-US" w:eastAsia="zh-CN" w:bidi="ar-SA"/>
        </w:rPr>
        <w:t>求进行优化设计，线路路径在选择时充分考虑沿线城镇规划、交通、通信设施及居</w:t>
      </w:r>
      <w:r>
        <w:rPr>
          <w:rFonts w:ascii="Times New Roman" w:hAnsi="Times New Roman" w:eastAsia="宋体" w:cs="Times New Roman"/>
          <w:snapToGrid w:val="0"/>
          <w:color w:val="auto"/>
          <w:kern w:val="2"/>
          <w:sz w:val="24"/>
          <w:szCs w:val="20"/>
          <w:lang w:val="en-US" w:eastAsia="zh-CN" w:bidi="ar-SA"/>
        </w:rPr>
        <w:t>民区，尽量不靠近居民区。</w:t>
      </w:r>
    </w:p>
    <w:p>
      <w:pPr>
        <w:kinsoku w:val="0"/>
        <w:autoSpaceDE w:val="0"/>
        <w:autoSpaceDN w:val="0"/>
        <w:adjustRightInd w:val="0"/>
        <w:snapToGrid w:val="0"/>
        <w:spacing w:line="500" w:lineRule="atLeast"/>
        <w:ind w:firstLine="480" w:firstLineChars="200"/>
        <w:jc w:val="both"/>
        <w:textAlignment w:val="baseline"/>
        <w:rPr>
          <w:rFonts w:ascii="Times New Roman" w:hAnsi="Times New Roman" w:eastAsia="宋体" w:cs="Times New Roman"/>
          <w:snapToGrid w:val="0"/>
          <w:color w:val="auto"/>
          <w:kern w:val="2"/>
          <w:sz w:val="24"/>
          <w:szCs w:val="20"/>
          <w:lang w:val="en-US" w:eastAsia="zh-CN" w:bidi="ar-SA"/>
        </w:rPr>
      </w:pPr>
      <w:r>
        <w:rPr>
          <w:rFonts w:ascii="Times New Roman" w:hAnsi="Times New Roman" w:eastAsia="宋体" w:cs="Times New Roman"/>
          <w:snapToGrid w:val="0"/>
          <w:color w:val="auto"/>
          <w:kern w:val="2"/>
          <w:sz w:val="24"/>
          <w:szCs w:val="20"/>
          <w:lang w:val="en-US" w:eastAsia="zh-CN" w:bidi="ar-SA"/>
        </w:rPr>
        <w:t>2）优化输电线路的导线特征，如提高表面光洁度等，减小电晕强度对环境的影响。</w:t>
      </w:r>
    </w:p>
    <w:p>
      <w:pPr>
        <w:kinsoku w:val="0"/>
        <w:autoSpaceDE w:val="0"/>
        <w:autoSpaceDN w:val="0"/>
        <w:adjustRightInd w:val="0"/>
        <w:snapToGrid w:val="0"/>
        <w:spacing w:line="500" w:lineRule="atLeast"/>
        <w:ind w:firstLine="480" w:firstLineChars="200"/>
        <w:jc w:val="both"/>
        <w:textAlignment w:val="baseline"/>
        <w:rPr>
          <w:rFonts w:ascii="Times New Roman" w:hAnsi="Times New Roman" w:eastAsia="宋体" w:cs="Times New Roman"/>
          <w:snapToGrid w:val="0"/>
          <w:color w:val="auto"/>
          <w:kern w:val="2"/>
          <w:sz w:val="24"/>
          <w:szCs w:val="20"/>
          <w:lang w:val="en-US" w:eastAsia="zh-CN" w:bidi="ar-SA"/>
        </w:rPr>
      </w:pPr>
      <w:r>
        <w:rPr>
          <w:rFonts w:ascii="Times New Roman" w:hAnsi="Times New Roman" w:eastAsia="宋体" w:cs="Times New Roman"/>
          <w:snapToGrid w:val="0"/>
          <w:color w:val="auto"/>
          <w:kern w:val="2"/>
          <w:sz w:val="24"/>
          <w:szCs w:val="20"/>
          <w:lang w:val="en-US" w:eastAsia="zh-CN" w:bidi="ar-SA"/>
        </w:rPr>
        <w:t>3）</w:t>
      </w:r>
      <w:r>
        <w:rPr>
          <w:rFonts w:ascii="Times New Roman" w:hAnsi="Times New Roman" w:eastAsia="宋体" w:cs="Times New Roman"/>
          <w:snapToGrid w:val="0"/>
          <w:color w:val="auto"/>
          <w:spacing w:val="-8"/>
          <w:kern w:val="2"/>
          <w:sz w:val="24"/>
          <w:szCs w:val="20"/>
          <w:lang w:val="en-US" w:eastAsia="zh-CN" w:bidi="ar-SA"/>
        </w:rPr>
        <w:t>根据《电力设施保护条例》和《辽宁省电力设施保护条例》，</w:t>
      </w:r>
      <w:r>
        <w:rPr>
          <w:rFonts w:ascii="Times New Roman" w:hAnsi="Times New Roman" w:eastAsia="宋体" w:cs="Times New Roman"/>
          <w:snapToGrid w:val="0"/>
          <w:color w:val="auto"/>
          <w:spacing w:val="-3"/>
          <w:kern w:val="2"/>
          <w:sz w:val="24"/>
          <w:szCs w:val="20"/>
          <w:lang w:val="en-US" w:eastAsia="zh-CN" w:bidi="ar-SA"/>
        </w:rPr>
        <w:t>220kV</w:t>
      </w:r>
      <w:r>
        <w:rPr>
          <w:rFonts w:ascii="Times New Roman" w:hAnsi="Times New Roman" w:eastAsia="宋体" w:cs="Times New Roman"/>
          <w:snapToGrid w:val="0"/>
          <w:color w:val="auto"/>
          <w:kern w:val="2"/>
          <w:sz w:val="24"/>
          <w:szCs w:val="20"/>
          <w:lang w:val="en-US" w:eastAsia="zh-CN" w:bidi="ar-SA"/>
        </w:rPr>
        <w:t>架空输</w:t>
      </w:r>
      <w:r>
        <w:rPr>
          <w:rFonts w:ascii="Times New Roman" w:hAnsi="Times New Roman" w:eastAsia="宋体" w:cs="Times New Roman"/>
          <w:snapToGrid w:val="0"/>
          <w:color w:val="auto"/>
          <w:spacing w:val="-5"/>
          <w:kern w:val="2"/>
          <w:sz w:val="24"/>
          <w:szCs w:val="20"/>
          <w:lang w:val="en-US" w:eastAsia="zh-CN" w:bidi="ar-SA"/>
        </w:rPr>
        <w:t>电线路应保持外档边导线外</w:t>
      </w:r>
      <w:r>
        <w:rPr>
          <w:rFonts w:ascii="Times New Roman" w:hAnsi="Times New Roman" w:eastAsia="宋体" w:cs="Times New Roman"/>
          <w:snapToGrid w:val="0"/>
          <w:color w:val="auto"/>
          <w:kern w:val="2"/>
          <w:sz w:val="24"/>
          <w:szCs w:val="20"/>
          <w:lang w:val="en-US" w:eastAsia="zh-CN" w:bidi="ar-SA"/>
        </w:rPr>
        <w:t>15m</w:t>
      </w:r>
      <w:r>
        <w:rPr>
          <w:rFonts w:ascii="Times New Roman" w:hAnsi="Times New Roman" w:eastAsia="宋体" w:cs="Times New Roman"/>
          <w:snapToGrid w:val="0"/>
          <w:color w:val="auto"/>
          <w:spacing w:val="-3"/>
          <w:kern w:val="2"/>
          <w:sz w:val="24"/>
          <w:szCs w:val="20"/>
          <w:lang w:val="en-US" w:eastAsia="zh-CN" w:bidi="ar-SA"/>
        </w:rPr>
        <w:t>平行线内的区域为架空电力线路保护区范围。</w:t>
      </w:r>
    </w:p>
    <w:p>
      <w:pPr>
        <w:kinsoku w:val="0"/>
        <w:autoSpaceDE w:val="0"/>
        <w:autoSpaceDN w:val="0"/>
        <w:adjustRightInd w:val="0"/>
        <w:snapToGrid w:val="0"/>
        <w:spacing w:line="500" w:lineRule="atLeast"/>
        <w:ind w:firstLine="480" w:firstLineChars="200"/>
        <w:jc w:val="both"/>
        <w:textAlignment w:val="baseline"/>
        <w:rPr>
          <w:rFonts w:ascii="Times New Roman" w:hAnsi="Times New Roman" w:eastAsia="宋体" w:cs="Times New Roman"/>
          <w:snapToGrid w:val="0"/>
          <w:color w:val="auto"/>
          <w:kern w:val="2"/>
          <w:sz w:val="24"/>
          <w:szCs w:val="20"/>
          <w:lang w:val="en-US" w:eastAsia="zh-CN" w:bidi="ar-SA"/>
        </w:rPr>
      </w:pPr>
      <w:r>
        <w:rPr>
          <w:rFonts w:ascii="Times New Roman" w:hAnsi="Times New Roman" w:eastAsia="宋体" w:cs="Times New Roman"/>
          <w:snapToGrid w:val="0"/>
          <w:color w:val="auto"/>
          <w:kern w:val="2"/>
          <w:sz w:val="24"/>
          <w:szCs w:val="20"/>
          <w:lang w:val="en-US" w:eastAsia="zh-CN" w:bidi="ar-SA"/>
        </w:rPr>
        <w:t>（2）施工期：</w:t>
      </w:r>
    </w:p>
    <w:p>
      <w:pPr>
        <w:kinsoku w:val="0"/>
        <w:autoSpaceDE w:val="0"/>
        <w:autoSpaceDN w:val="0"/>
        <w:adjustRightInd w:val="0"/>
        <w:snapToGrid w:val="0"/>
        <w:spacing w:line="500" w:lineRule="atLeast"/>
        <w:ind w:firstLine="480" w:firstLineChars="200"/>
        <w:jc w:val="both"/>
        <w:textAlignment w:val="baseline"/>
        <w:rPr>
          <w:rFonts w:ascii="Times New Roman" w:hAnsi="Times New Roman" w:eastAsia="宋体" w:cs="Times New Roman"/>
          <w:snapToGrid w:val="0"/>
          <w:color w:val="auto"/>
          <w:kern w:val="2"/>
          <w:sz w:val="24"/>
          <w:szCs w:val="20"/>
          <w:lang w:val="en-US" w:eastAsia="zh-CN" w:bidi="ar-SA"/>
        </w:rPr>
      </w:pPr>
      <w:r>
        <w:rPr>
          <w:rFonts w:ascii="Times New Roman" w:hAnsi="Times New Roman" w:eastAsia="宋体" w:cs="Times New Roman"/>
          <w:snapToGrid w:val="0"/>
          <w:color w:val="auto"/>
          <w:kern w:val="2"/>
          <w:sz w:val="24"/>
          <w:szCs w:val="20"/>
          <w:lang w:val="en-US" w:eastAsia="zh-CN" w:bidi="ar-SA"/>
        </w:rPr>
        <w:t>施工阶段远离居民区。</w:t>
      </w:r>
    </w:p>
    <w:p>
      <w:pPr>
        <w:kinsoku w:val="0"/>
        <w:autoSpaceDE w:val="0"/>
        <w:autoSpaceDN w:val="0"/>
        <w:adjustRightInd w:val="0"/>
        <w:snapToGrid w:val="0"/>
        <w:spacing w:line="500" w:lineRule="atLeast"/>
        <w:ind w:firstLine="480" w:firstLineChars="200"/>
        <w:jc w:val="both"/>
        <w:textAlignment w:val="baseline"/>
        <w:rPr>
          <w:rFonts w:ascii="Times New Roman" w:hAnsi="Times New Roman" w:eastAsia="宋体" w:cs="Times New Roman"/>
          <w:snapToGrid w:val="0"/>
          <w:color w:val="auto"/>
          <w:kern w:val="2"/>
          <w:sz w:val="24"/>
          <w:szCs w:val="20"/>
          <w:lang w:val="en-US" w:eastAsia="zh-CN" w:bidi="ar-SA"/>
        </w:rPr>
      </w:pPr>
      <w:r>
        <w:rPr>
          <w:rFonts w:ascii="Times New Roman" w:hAnsi="Times New Roman" w:eastAsia="宋体" w:cs="Times New Roman"/>
          <w:snapToGrid w:val="0"/>
          <w:color w:val="auto"/>
          <w:kern w:val="2"/>
          <w:sz w:val="24"/>
          <w:szCs w:val="20"/>
          <w:lang w:val="en-US" w:eastAsia="zh-CN" w:bidi="ar-SA"/>
        </w:rPr>
        <w:t>（3）运营期：</w:t>
      </w:r>
    </w:p>
    <w:p>
      <w:pPr>
        <w:kinsoku w:val="0"/>
        <w:autoSpaceDE w:val="0"/>
        <w:autoSpaceDN w:val="0"/>
        <w:adjustRightInd w:val="0"/>
        <w:snapToGrid w:val="0"/>
        <w:spacing w:line="500" w:lineRule="atLeast"/>
        <w:ind w:firstLine="480" w:firstLineChars="200"/>
        <w:jc w:val="both"/>
        <w:textAlignment w:val="baseline"/>
        <w:rPr>
          <w:rFonts w:ascii="Times New Roman" w:hAnsi="Times New Roman" w:eastAsia="宋体" w:cs="Times New Roman"/>
          <w:snapToGrid w:val="0"/>
          <w:color w:val="auto"/>
          <w:kern w:val="2"/>
          <w:sz w:val="24"/>
          <w:szCs w:val="20"/>
          <w:lang w:val="en-US" w:eastAsia="zh-CN" w:bidi="ar-SA"/>
        </w:rPr>
      </w:pPr>
      <w:r>
        <w:rPr>
          <w:rFonts w:ascii="Times New Roman" w:hAnsi="Times New Roman" w:eastAsia="宋体" w:cs="Times New Roman"/>
          <w:snapToGrid w:val="0"/>
          <w:color w:val="auto"/>
          <w:kern w:val="2"/>
          <w:sz w:val="24"/>
          <w:szCs w:val="20"/>
          <w:lang w:val="en-US" w:eastAsia="zh-CN" w:bidi="ar-SA"/>
        </w:rPr>
        <w:t>1）</w:t>
      </w:r>
      <w:r>
        <w:rPr>
          <w:rFonts w:ascii="Times New Roman" w:hAnsi="Times New Roman" w:eastAsia="宋体" w:cs="Times New Roman"/>
          <w:snapToGrid w:val="0"/>
          <w:color w:val="auto"/>
          <w:spacing w:val="-5"/>
          <w:kern w:val="2"/>
          <w:sz w:val="24"/>
          <w:szCs w:val="20"/>
          <w:lang w:val="en-US" w:eastAsia="zh-CN" w:bidi="ar-SA"/>
        </w:rPr>
        <w:t>运行</w:t>
      </w:r>
      <w:r>
        <w:rPr>
          <w:rFonts w:hint="eastAsia" w:ascii="Times New Roman" w:hAnsi="Times New Roman" w:eastAsia="宋体" w:cs="Times New Roman"/>
          <w:snapToGrid w:val="0"/>
          <w:color w:val="auto"/>
          <w:spacing w:val="-5"/>
          <w:kern w:val="2"/>
          <w:sz w:val="24"/>
          <w:szCs w:val="20"/>
          <w:lang w:val="en-US" w:eastAsia="zh-CN" w:bidi="ar-SA"/>
        </w:rPr>
        <w:t>期间</w:t>
      </w:r>
      <w:r>
        <w:rPr>
          <w:rFonts w:ascii="Times New Roman" w:hAnsi="Times New Roman" w:eastAsia="宋体" w:cs="Times New Roman"/>
          <w:snapToGrid w:val="0"/>
          <w:color w:val="auto"/>
          <w:spacing w:val="-5"/>
          <w:kern w:val="2"/>
          <w:sz w:val="24"/>
          <w:szCs w:val="20"/>
          <w:lang w:val="en-US" w:eastAsia="zh-CN" w:bidi="ar-SA"/>
        </w:rPr>
        <w:t>加强对工作人员进行有关电磁环境知识的培训，加强宣传教育，以减</w:t>
      </w:r>
      <w:r>
        <w:rPr>
          <w:rFonts w:ascii="Times New Roman" w:hAnsi="Times New Roman" w:eastAsia="宋体" w:cs="Times New Roman"/>
          <w:snapToGrid w:val="0"/>
          <w:color w:val="auto"/>
          <w:kern w:val="2"/>
          <w:sz w:val="24"/>
          <w:szCs w:val="20"/>
          <w:lang w:val="en-US" w:eastAsia="zh-CN" w:bidi="ar-SA"/>
        </w:rPr>
        <w:t>小电磁场对工作人员的影响。加强对附近居民有关高电压知识和环保知识的</w:t>
      </w:r>
      <w:r>
        <w:rPr>
          <w:rFonts w:hint="eastAsia" w:ascii="Times New Roman" w:hAnsi="Times New Roman" w:eastAsia="宋体" w:cs="Times New Roman"/>
          <w:snapToGrid w:val="0"/>
          <w:color w:val="auto"/>
          <w:kern w:val="2"/>
          <w:sz w:val="24"/>
          <w:szCs w:val="20"/>
          <w:lang w:val="en-US" w:eastAsia="zh-CN" w:bidi="ar-SA"/>
        </w:rPr>
        <w:t>宣传</w:t>
      </w:r>
      <w:r>
        <w:rPr>
          <w:rFonts w:ascii="Times New Roman" w:hAnsi="Times New Roman" w:eastAsia="宋体" w:cs="Times New Roman"/>
          <w:snapToGrid w:val="0"/>
          <w:color w:val="auto"/>
          <w:kern w:val="2"/>
          <w:sz w:val="24"/>
          <w:szCs w:val="20"/>
          <w:lang w:val="en-US" w:eastAsia="zh-CN" w:bidi="ar-SA"/>
        </w:rPr>
        <w:t>教育。</w:t>
      </w:r>
    </w:p>
    <w:p>
      <w:pPr>
        <w:kinsoku w:val="0"/>
        <w:autoSpaceDE w:val="0"/>
        <w:autoSpaceDN w:val="0"/>
        <w:adjustRightInd w:val="0"/>
        <w:snapToGrid w:val="0"/>
        <w:spacing w:line="500" w:lineRule="atLeast"/>
        <w:ind w:firstLine="480" w:firstLineChars="200"/>
        <w:jc w:val="both"/>
        <w:textAlignment w:val="baseline"/>
        <w:rPr>
          <w:rFonts w:ascii="Times New Roman" w:hAnsi="Times New Roman" w:eastAsia="宋体" w:cs="Times New Roman"/>
          <w:snapToGrid w:val="0"/>
          <w:color w:val="auto"/>
          <w:kern w:val="2"/>
          <w:sz w:val="24"/>
          <w:szCs w:val="20"/>
          <w:lang w:val="en-US" w:eastAsia="zh-CN" w:bidi="ar-SA"/>
        </w:rPr>
      </w:pPr>
      <w:r>
        <w:rPr>
          <w:rFonts w:ascii="Times New Roman" w:hAnsi="Times New Roman" w:eastAsia="宋体" w:cs="Times New Roman"/>
          <w:snapToGrid w:val="0"/>
          <w:color w:val="auto"/>
          <w:kern w:val="2"/>
          <w:sz w:val="24"/>
          <w:szCs w:val="20"/>
          <w:lang w:val="en-US" w:eastAsia="zh-CN" w:bidi="ar-SA"/>
        </w:rPr>
        <w:t>2）</w:t>
      </w:r>
      <w:r>
        <w:rPr>
          <w:rFonts w:ascii="Times New Roman" w:hAnsi="Times New Roman" w:eastAsia="宋体" w:cs="Times New Roman"/>
          <w:snapToGrid w:val="0"/>
          <w:color w:val="auto"/>
          <w:spacing w:val="-5"/>
          <w:kern w:val="2"/>
          <w:sz w:val="24"/>
          <w:szCs w:val="20"/>
          <w:lang w:val="en-US" w:eastAsia="zh-CN" w:bidi="ar-SA"/>
        </w:rPr>
        <w:t>输电线路铁塔座架上应于醒目位置设置安全警示标志，标明严禁攀登，以避</w:t>
      </w:r>
      <w:r>
        <w:rPr>
          <w:rFonts w:ascii="Times New Roman" w:hAnsi="Times New Roman" w:eastAsia="宋体" w:cs="Times New Roman"/>
          <w:snapToGrid w:val="0"/>
          <w:color w:val="auto"/>
          <w:kern w:val="2"/>
          <w:sz w:val="24"/>
          <w:szCs w:val="20"/>
          <w:lang w:val="en-US" w:eastAsia="zh-CN" w:bidi="ar-SA"/>
        </w:rPr>
        <w:t>免居民尤其是儿童攀爬而发生意外。</w:t>
      </w:r>
    </w:p>
    <w:p>
      <w:pPr>
        <w:kinsoku w:val="0"/>
        <w:autoSpaceDE w:val="0"/>
        <w:autoSpaceDN w:val="0"/>
        <w:adjustRightInd w:val="0"/>
        <w:snapToGrid w:val="0"/>
        <w:spacing w:line="500" w:lineRule="atLeast"/>
        <w:ind w:firstLine="480" w:firstLineChars="200"/>
        <w:jc w:val="both"/>
        <w:textAlignment w:val="baseline"/>
        <w:rPr>
          <w:rFonts w:ascii="Times New Roman" w:hAnsi="Times New Roman" w:eastAsia="宋体" w:cs="Times New Roman"/>
          <w:snapToGrid w:val="0"/>
          <w:color w:val="auto"/>
          <w:kern w:val="2"/>
          <w:sz w:val="24"/>
          <w:szCs w:val="20"/>
          <w:lang w:val="en-US" w:eastAsia="zh-CN" w:bidi="ar-SA"/>
        </w:rPr>
      </w:pPr>
      <w:r>
        <w:rPr>
          <w:rFonts w:ascii="Times New Roman" w:hAnsi="Times New Roman" w:eastAsia="宋体" w:cs="Times New Roman"/>
          <w:snapToGrid w:val="0"/>
          <w:color w:val="auto"/>
          <w:kern w:val="2"/>
          <w:sz w:val="24"/>
          <w:szCs w:val="20"/>
          <w:lang w:val="en-US" w:eastAsia="zh-CN" w:bidi="ar-SA"/>
        </w:rPr>
        <w:t>3）</w:t>
      </w:r>
      <w:r>
        <w:rPr>
          <w:rFonts w:hint="eastAsia" w:ascii="Times New Roman" w:hAnsi="Times New Roman" w:eastAsia="宋体" w:cs="Times New Roman"/>
          <w:snapToGrid w:val="0"/>
          <w:color w:val="auto"/>
          <w:kern w:val="2"/>
          <w:sz w:val="24"/>
          <w:szCs w:val="20"/>
          <w:lang w:val="en-US" w:eastAsia="zh-CN" w:bidi="ar-SA"/>
        </w:rPr>
        <w:t>架空输电线路线下耕地、园地、牧草地、畜禽饲养地、养殖水面、道路等场所</w:t>
      </w:r>
      <w:r>
        <w:rPr>
          <w:rFonts w:ascii="Times New Roman" w:hAnsi="Times New Roman" w:eastAsia="宋体" w:cs="Times New Roman"/>
          <w:snapToGrid w:val="0"/>
          <w:color w:val="auto"/>
          <w:kern w:val="2"/>
          <w:sz w:val="24"/>
          <w:szCs w:val="20"/>
          <w:lang w:val="en-US" w:eastAsia="zh-CN" w:bidi="ar-SA"/>
        </w:rPr>
        <w:t>，应给出警示和防护指示标志。</w:t>
      </w:r>
    </w:p>
    <w:p>
      <w:pPr>
        <w:spacing w:before="143" w:line="323" w:lineRule="auto"/>
        <w:ind w:left="8" w:firstLine="488"/>
        <w:rPr>
          <w:rFonts w:ascii="宋体" w:hAnsi="宋体" w:eastAsia="宋体" w:cs="宋体"/>
          <w:color w:val="auto"/>
          <w:sz w:val="24"/>
          <w:szCs w:val="24"/>
        </w:rPr>
      </w:pPr>
    </w:p>
    <w:p>
      <w:pPr>
        <w:spacing w:before="78" w:line="219" w:lineRule="auto"/>
        <w:outlineLvl w:val="1"/>
        <w:rPr>
          <w:rFonts w:ascii="宋体" w:hAnsi="宋体" w:eastAsia="宋体" w:cs="宋体"/>
          <w:color w:val="auto"/>
          <w:sz w:val="24"/>
          <w:szCs w:val="24"/>
        </w:rPr>
      </w:pPr>
      <w:r>
        <w:rPr>
          <w:rFonts w:ascii="Times New Roman" w:hAnsi="Times New Roman" w:eastAsia="Times New Roman" w:cs="Times New Roman"/>
          <w:b/>
          <w:bCs/>
          <w:color w:val="auto"/>
          <w:spacing w:val="-5"/>
          <w:sz w:val="24"/>
          <w:szCs w:val="24"/>
        </w:rPr>
        <w:t>4.</w:t>
      </w:r>
      <w:r>
        <w:rPr>
          <w:rFonts w:ascii="宋体" w:hAnsi="宋体" w:eastAsia="宋体" w:cs="宋体"/>
          <w:b/>
          <w:bCs/>
          <w:color w:val="auto"/>
          <w:spacing w:val="-5"/>
          <w:sz w:val="24"/>
          <w:szCs w:val="24"/>
        </w:rPr>
        <w:t>电磁环境影响评价结论</w:t>
      </w:r>
    </w:p>
    <w:p>
      <w:pPr>
        <w:pStyle w:val="30"/>
        <w:ind w:firstLine="480"/>
        <w:rPr>
          <w:rFonts w:cs="Times New Roman" w:eastAsiaTheme="minorEastAsia"/>
          <w:snapToGrid/>
          <w:color w:val="auto"/>
          <w:szCs w:val="24"/>
          <w:lang w:eastAsia="zh-CN"/>
        </w:rPr>
      </w:pPr>
      <w:r>
        <w:rPr>
          <w:rFonts w:cs="Times New Roman" w:eastAsiaTheme="minorEastAsia"/>
          <w:color w:val="auto"/>
          <w:szCs w:val="24"/>
          <w:lang w:eastAsia="zh-CN"/>
        </w:rPr>
        <w:t>根据本工程电场强度、磁感应强度的现状监测和预测结果，在满足提出的环保措施的前提下，</w:t>
      </w:r>
      <w:r>
        <w:rPr>
          <w:rFonts w:cs="Times New Roman" w:eastAsiaTheme="minorEastAsia"/>
          <w:snapToGrid/>
          <w:color w:val="auto"/>
          <w:szCs w:val="24"/>
          <w:lang w:eastAsia="zh-CN"/>
        </w:rPr>
        <w:t>本项目各电磁环境敏感目标电场强度和磁感应强度预测值均能满足《电磁环境控制限值》（GB8702-2014）中4kV/m和100µT的标准限制要求，影响较小，</w:t>
      </w:r>
      <w:r>
        <w:rPr>
          <w:rFonts w:cs="Times New Roman" w:eastAsiaTheme="minorEastAsia"/>
          <w:color w:val="auto"/>
          <w:lang w:eastAsia="zh-CN"/>
        </w:rPr>
        <w:t>从环境保护的角度分析，项目建设总体可行。</w:t>
      </w:r>
    </w:p>
    <w:p>
      <w:pPr>
        <w:spacing w:before="143" w:line="323" w:lineRule="auto"/>
        <w:ind w:left="8" w:firstLine="488"/>
        <w:rPr>
          <w:rFonts w:ascii="宋体" w:hAnsi="宋体" w:eastAsia="宋体" w:cs="宋体"/>
          <w:color w:val="auto"/>
          <w:spacing w:val="2"/>
          <w:sz w:val="24"/>
          <w:szCs w:val="24"/>
        </w:rPr>
      </w:pPr>
    </w:p>
    <w:p>
      <w:pPr>
        <w:spacing w:before="143" w:line="323" w:lineRule="auto"/>
        <w:ind w:left="8" w:firstLine="488"/>
        <w:rPr>
          <w:rFonts w:ascii="宋体" w:hAnsi="宋体" w:eastAsia="宋体" w:cs="宋体"/>
          <w:color w:val="auto"/>
          <w:spacing w:val="2"/>
          <w:sz w:val="24"/>
          <w:szCs w:val="24"/>
        </w:rPr>
        <w:sectPr>
          <w:footerReference r:id="rId15" w:type="default"/>
          <w:pgSz w:w="11906" w:h="16839"/>
          <w:pgMar w:top="1525" w:right="1525" w:bottom="1240" w:left="1525" w:header="0" w:footer="1078" w:gutter="0"/>
          <w:pgBorders>
            <w:top w:val="none" w:sz="0" w:space="0"/>
            <w:left w:val="none" w:sz="0" w:space="0"/>
            <w:bottom w:val="none" w:sz="0" w:space="0"/>
            <w:right w:val="none" w:sz="0" w:space="0"/>
          </w:pgBorders>
          <w:pgNumType w:fmt="decimal"/>
          <w:cols w:space="720" w:num="1"/>
        </w:sectPr>
      </w:pPr>
    </w:p>
    <w:p>
      <w:pPr>
        <w:spacing w:before="143" w:line="323" w:lineRule="auto"/>
        <w:ind w:left="8" w:firstLine="488"/>
        <w:rPr>
          <w:rFonts w:hint="default" w:ascii="宋体" w:hAnsi="宋体" w:eastAsia="宋体" w:cs="宋体"/>
          <w:color w:val="auto"/>
          <w:spacing w:val="2"/>
          <w:sz w:val="24"/>
          <w:szCs w:val="24"/>
          <w:lang w:val="en-US" w:eastAsia="zh-CN"/>
        </w:rPr>
      </w:pPr>
      <w:r>
        <w:rPr>
          <w:rFonts w:hint="default" w:ascii="宋体" w:hAnsi="宋体" w:eastAsia="宋体" w:cs="宋体"/>
          <w:color w:val="auto"/>
          <w:spacing w:val="2"/>
          <w:sz w:val="24"/>
          <w:szCs w:val="24"/>
          <w:lang w:val="en-US" w:eastAsia="zh-CN"/>
        </w:rPr>
        <w:drawing>
          <wp:inline distT="0" distB="0" distL="114300" distR="114300">
            <wp:extent cx="8040370" cy="5621020"/>
            <wp:effectExtent l="0" t="0" r="17780" b="17780"/>
            <wp:docPr id="11" name="图片 11" descr="79845cfa-fdea-4d55-9597-dd8d593949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79845cfa-fdea-4d55-9597-dd8d593949dd"/>
                    <pic:cNvPicPr>
                      <a:picLocks noChangeAspect="1"/>
                    </pic:cNvPicPr>
                  </pic:nvPicPr>
                  <pic:blipFill>
                    <a:blip r:embed="rId63"/>
                    <a:stretch>
                      <a:fillRect/>
                    </a:stretch>
                  </pic:blipFill>
                  <pic:spPr>
                    <a:xfrm>
                      <a:off x="0" y="0"/>
                      <a:ext cx="8040370" cy="5621020"/>
                    </a:xfrm>
                    <a:prstGeom prst="rect">
                      <a:avLst/>
                    </a:prstGeom>
                  </pic:spPr>
                </pic:pic>
              </a:graphicData>
            </a:graphic>
          </wp:inline>
        </w:drawing>
      </w:r>
    </w:p>
    <w:p>
      <w:pPr>
        <w:spacing w:before="143" w:line="323" w:lineRule="auto"/>
        <w:ind w:left="8" w:firstLine="488"/>
        <w:rPr>
          <w:rFonts w:hint="default" w:ascii="宋体" w:hAnsi="宋体" w:eastAsia="宋体" w:cs="宋体"/>
          <w:color w:val="auto"/>
          <w:spacing w:val="2"/>
          <w:sz w:val="24"/>
          <w:szCs w:val="24"/>
          <w:lang w:val="en-US" w:eastAsia="zh-CN"/>
        </w:rPr>
      </w:pPr>
      <w:r>
        <w:rPr>
          <w:rFonts w:hint="default" w:ascii="宋体" w:hAnsi="宋体" w:eastAsia="宋体" w:cs="宋体"/>
          <w:color w:val="auto"/>
          <w:spacing w:val="2"/>
          <w:sz w:val="24"/>
          <w:szCs w:val="24"/>
          <w:lang w:val="en-US" w:eastAsia="zh-CN"/>
        </w:rPr>
        <w:drawing>
          <wp:inline distT="0" distB="0" distL="114300" distR="114300">
            <wp:extent cx="8001000" cy="5621655"/>
            <wp:effectExtent l="0" t="0" r="0" b="17145"/>
            <wp:docPr id="12" name="图片 12" descr="28de9cfe-fe4a-473c-a827-71ce168c6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8de9cfe-fe4a-473c-a827-71ce168c6036"/>
                    <pic:cNvPicPr>
                      <a:picLocks noChangeAspect="1"/>
                    </pic:cNvPicPr>
                  </pic:nvPicPr>
                  <pic:blipFill>
                    <a:blip r:embed="rId64"/>
                    <a:stretch>
                      <a:fillRect/>
                    </a:stretch>
                  </pic:blipFill>
                  <pic:spPr>
                    <a:xfrm>
                      <a:off x="0" y="0"/>
                      <a:ext cx="8001000" cy="5621655"/>
                    </a:xfrm>
                    <a:prstGeom prst="rect">
                      <a:avLst/>
                    </a:prstGeom>
                  </pic:spPr>
                </pic:pic>
              </a:graphicData>
            </a:graphic>
          </wp:inline>
        </w:drawing>
      </w:r>
    </w:p>
    <w:p>
      <w:pPr>
        <w:spacing w:before="143" w:line="323" w:lineRule="auto"/>
        <w:ind w:left="8" w:firstLine="488"/>
        <w:rPr>
          <w:rFonts w:hint="default" w:ascii="宋体" w:hAnsi="宋体" w:eastAsia="宋体" w:cs="宋体"/>
          <w:color w:val="auto"/>
          <w:spacing w:val="2"/>
          <w:sz w:val="24"/>
          <w:szCs w:val="24"/>
          <w:lang w:val="en-US" w:eastAsia="zh-CN"/>
        </w:rPr>
      </w:pPr>
      <w:r>
        <w:rPr>
          <w:rFonts w:hint="default" w:ascii="宋体" w:hAnsi="宋体" w:eastAsia="宋体" w:cs="宋体"/>
          <w:color w:val="auto"/>
          <w:spacing w:val="2"/>
          <w:sz w:val="24"/>
          <w:szCs w:val="24"/>
          <w:lang w:val="en-US" w:eastAsia="zh-CN"/>
        </w:rPr>
        <w:drawing>
          <wp:inline distT="0" distB="0" distL="114300" distR="114300">
            <wp:extent cx="8267065" cy="5617210"/>
            <wp:effectExtent l="0" t="0" r="635" b="2540"/>
            <wp:docPr id="13" name="图片 13" descr="0fb8092b-b96f-4619-a10f-cd775fedf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0fb8092b-b96f-4619-a10f-cd775fedf523"/>
                    <pic:cNvPicPr>
                      <a:picLocks noChangeAspect="1"/>
                    </pic:cNvPicPr>
                  </pic:nvPicPr>
                  <pic:blipFill>
                    <a:blip r:embed="rId65"/>
                    <a:stretch>
                      <a:fillRect/>
                    </a:stretch>
                  </pic:blipFill>
                  <pic:spPr>
                    <a:xfrm>
                      <a:off x="0" y="0"/>
                      <a:ext cx="8267065" cy="5617210"/>
                    </a:xfrm>
                    <a:prstGeom prst="rect">
                      <a:avLst/>
                    </a:prstGeom>
                  </pic:spPr>
                </pic:pic>
              </a:graphicData>
            </a:graphic>
          </wp:inline>
        </w:drawing>
      </w:r>
    </w:p>
    <w:p>
      <w:pPr>
        <w:spacing w:before="143" w:line="323" w:lineRule="auto"/>
        <w:ind w:left="8" w:firstLine="488"/>
        <w:rPr>
          <w:rFonts w:hint="default" w:ascii="宋体" w:hAnsi="宋体" w:eastAsia="宋体" w:cs="宋体"/>
          <w:color w:val="auto"/>
          <w:spacing w:val="2"/>
          <w:sz w:val="24"/>
          <w:szCs w:val="24"/>
          <w:lang w:val="en-US" w:eastAsia="zh-CN"/>
        </w:rPr>
      </w:pPr>
      <w:r>
        <w:rPr>
          <w:rFonts w:hint="default" w:ascii="宋体" w:hAnsi="宋体" w:eastAsia="宋体" w:cs="宋体"/>
          <w:color w:val="auto"/>
          <w:spacing w:val="2"/>
          <w:sz w:val="24"/>
          <w:szCs w:val="24"/>
          <w:lang w:val="en-US" w:eastAsia="zh-CN"/>
        </w:rPr>
        <w:drawing>
          <wp:inline distT="0" distB="0" distL="114300" distR="114300">
            <wp:extent cx="7985125" cy="5617210"/>
            <wp:effectExtent l="0" t="0" r="15875" b="2540"/>
            <wp:docPr id="17" name="图片 17" descr="a4db410c-4735-405d-90af-055e4d2db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a4db410c-4735-405d-90af-055e4d2db667"/>
                    <pic:cNvPicPr>
                      <a:picLocks noChangeAspect="1"/>
                    </pic:cNvPicPr>
                  </pic:nvPicPr>
                  <pic:blipFill>
                    <a:blip r:embed="rId66"/>
                    <a:stretch>
                      <a:fillRect/>
                    </a:stretch>
                  </pic:blipFill>
                  <pic:spPr>
                    <a:xfrm>
                      <a:off x="0" y="0"/>
                      <a:ext cx="7985125" cy="5617210"/>
                    </a:xfrm>
                    <a:prstGeom prst="rect">
                      <a:avLst/>
                    </a:prstGeom>
                  </pic:spPr>
                </pic:pic>
              </a:graphicData>
            </a:graphic>
          </wp:inline>
        </w:drawing>
      </w:r>
    </w:p>
    <w:p>
      <w:pPr>
        <w:spacing w:before="143" w:line="323" w:lineRule="auto"/>
        <w:ind w:left="8" w:firstLine="488"/>
        <w:rPr>
          <w:rFonts w:hint="default" w:ascii="宋体" w:hAnsi="宋体" w:eastAsia="宋体" w:cs="宋体"/>
          <w:color w:val="auto"/>
          <w:spacing w:val="2"/>
          <w:sz w:val="24"/>
          <w:szCs w:val="24"/>
          <w:lang w:val="en-US" w:eastAsia="zh-CN"/>
        </w:rPr>
      </w:pPr>
      <w:r>
        <w:rPr>
          <w:rFonts w:hint="default" w:ascii="宋体" w:hAnsi="宋体" w:eastAsia="宋体" w:cs="宋体"/>
          <w:color w:val="auto"/>
          <w:spacing w:val="2"/>
          <w:sz w:val="24"/>
          <w:szCs w:val="24"/>
          <w:lang w:val="en-US" w:eastAsia="zh-CN"/>
        </w:rPr>
        <w:drawing>
          <wp:inline distT="0" distB="0" distL="114300" distR="114300">
            <wp:extent cx="8051165" cy="5621655"/>
            <wp:effectExtent l="0" t="0" r="6985" b="17145"/>
            <wp:docPr id="19" name="图片 19" descr="5c4f0421-2bc0-4dab-b891-f9795651ed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5c4f0421-2bc0-4dab-b891-f9795651ed1f"/>
                    <pic:cNvPicPr>
                      <a:picLocks noChangeAspect="1"/>
                    </pic:cNvPicPr>
                  </pic:nvPicPr>
                  <pic:blipFill>
                    <a:blip r:embed="rId67"/>
                    <a:stretch>
                      <a:fillRect/>
                    </a:stretch>
                  </pic:blipFill>
                  <pic:spPr>
                    <a:xfrm>
                      <a:off x="0" y="0"/>
                      <a:ext cx="8051165" cy="5621655"/>
                    </a:xfrm>
                    <a:prstGeom prst="rect">
                      <a:avLst/>
                    </a:prstGeom>
                  </pic:spPr>
                </pic:pic>
              </a:graphicData>
            </a:graphic>
          </wp:inline>
        </w:drawing>
      </w:r>
    </w:p>
    <w:p>
      <w:pPr>
        <w:spacing w:before="143" w:line="323" w:lineRule="auto"/>
        <w:ind w:left="8" w:firstLine="488"/>
        <w:rPr>
          <w:rFonts w:hint="default" w:ascii="宋体" w:hAnsi="宋体" w:eastAsia="宋体" w:cs="宋体"/>
          <w:color w:val="auto"/>
          <w:spacing w:val="2"/>
          <w:sz w:val="24"/>
          <w:szCs w:val="24"/>
          <w:lang w:val="en-US" w:eastAsia="zh-CN"/>
        </w:rPr>
      </w:pPr>
      <w:r>
        <w:rPr>
          <w:rFonts w:hint="default" w:ascii="宋体" w:hAnsi="宋体" w:eastAsia="宋体" w:cs="宋体"/>
          <w:color w:val="auto"/>
          <w:spacing w:val="2"/>
          <w:sz w:val="24"/>
          <w:szCs w:val="24"/>
          <w:lang w:val="en-US" w:eastAsia="zh-CN"/>
        </w:rPr>
        <w:drawing>
          <wp:inline distT="0" distB="0" distL="114300" distR="114300">
            <wp:extent cx="8510270" cy="5618480"/>
            <wp:effectExtent l="0" t="0" r="5080" b="1270"/>
            <wp:docPr id="20" name="图片 20" descr="2a465b98-2221-427a-a698-16d230312a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a465b98-2221-427a-a698-16d230312adf"/>
                    <pic:cNvPicPr>
                      <a:picLocks noChangeAspect="1"/>
                    </pic:cNvPicPr>
                  </pic:nvPicPr>
                  <pic:blipFill>
                    <a:blip r:embed="rId68"/>
                    <a:stretch>
                      <a:fillRect/>
                    </a:stretch>
                  </pic:blipFill>
                  <pic:spPr>
                    <a:xfrm>
                      <a:off x="0" y="0"/>
                      <a:ext cx="8510270" cy="5618480"/>
                    </a:xfrm>
                    <a:prstGeom prst="rect">
                      <a:avLst/>
                    </a:prstGeom>
                  </pic:spPr>
                </pic:pic>
              </a:graphicData>
            </a:graphic>
          </wp:inline>
        </w:drawing>
      </w:r>
    </w:p>
    <w:p>
      <w:pPr>
        <w:spacing w:before="143" w:line="323" w:lineRule="auto"/>
        <w:ind w:left="8" w:firstLine="488"/>
        <w:rPr>
          <w:rFonts w:hint="default" w:ascii="宋体" w:hAnsi="宋体" w:eastAsia="宋体" w:cs="宋体"/>
          <w:color w:val="auto"/>
          <w:spacing w:val="2"/>
          <w:sz w:val="24"/>
          <w:szCs w:val="24"/>
          <w:lang w:val="en-US" w:eastAsia="zh-CN"/>
        </w:rPr>
      </w:pPr>
      <w:r>
        <w:rPr>
          <w:rFonts w:hint="default" w:ascii="宋体" w:hAnsi="宋体" w:eastAsia="宋体" w:cs="宋体"/>
          <w:color w:val="auto"/>
          <w:spacing w:val="2"/>
          <w:sz w:val="24"/>
          <w:szCs w:val="24"/>
          <w:lang w:val="en-US" w:eastAsia="zh-CN"/>
        </w:rPr>
        <w:drawing>
          <wp:inline distT="0" distB="0" distL="114300" distR="114300">
            <wp:extent cx="8136890" cy="5620385"/>
            <wp:effectExtent l="0" t="0" r="16510" b="18415"/>
            <wp:docPr id="21" name="图片 21" descr="e262f5e9-68fe-40fb-8645-834c5795b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e262f5e9-68fe-40fb-8645-834c5795b766"/>
                    <pic:cNvPicPr>
                      <a:picLocks noChangeAspect="1"/>
                    </pic:cNvPicPr>
                  </pic:nvPicPr>
                  <pic:blipFill>
                    <a:blip r:embed="rId69"/>
                    <a:stretch>
                      <a:fillRect/>
                    </a:stretch>
                  </pic:blipFill>
                  <pic:spPr>
                    <a:xfrm>
                      <a:off x="0" y="0"/>
                      <a:ext cx="8136890" cy="5620385"/>
                    </a:xfrm>
                    <a:prstGeom prst="rect">
                      <a:avLst/>
                    </a:prstGeom>
                  </pic:spPr>
                </pic:pic>
              </a:graphicData>
            </a:graphic>
          </wp:inline>
        </w:drawing>
      </w:r>
    </w:p>
    <w:p>
      <w:pPr>
        <w:spacing w:before="143" w:line="323" w:lineRule="auto"/>
        <w:ind w:left="8" w:firstLine="488"/>
        <w:rPr>
          <w:rFonts w:hint="default" w:ascii="宋体" w:hAnsi="宋体" w:eastAsia="宋体" w:cs="宋体"/>
          <w:color w:val="auto"/>
          <w:spacing w:val="2"/>
          <w:sz w:val="24"/>
          <w:szCs w:val="24"/>
          <w:lang w:val="en-US" w:eastAsia="zh-CN"/>
        </w:rPr>
      </w:pPr>
      <w:r>
        <w:rPr>
          <w:rFonts w:hint="default" w:ascii="宋体" w:hAnsi="宋体" w:eastAsia="宋体" w:cs="宋体"/>
          <w:color w:val="auto"/>
          <w:spacing w:val="2"/>
          <w:sz w:val="24"/>
          <w:szCs w:val="24"/>
          <w:lang w:val="en-US" w:eastAsia="zh-CN"/>
        </w:rPr>
        <w:drawing>
          <wp:inline distT="0" distB="0" distL="114300" distR="114300">
            <wp:extent cx="7968615" cy="5619115"/>
            <wp:effectExtent l="0" t="0" r="13335" b="635"/>
            <wp:docPr id="26" name="图片 26" descr="68e88be2-07e8-4b9f-bd8b-ad262778bb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68e88be2-07e8-4b9f-bd8b-ad262778bbbd"/>
                    <pic:cNvPicPr>
                      <a:picLocks noChangeAspect="1"/>
                    </pic:cNvPicPr>
                  </pic:nvPicPr>
                  <pic:blipFill>
                    <a:blip r:embed="rId70"/>
                    <a:stretch>
                      <a:fillRect/>
                    </a:stretch>
                  </pic:blipFill>
                  <pic:spPr>
                    <a:xfrm>
                      <a:off x="0" y="0"/>
                      <a:ext cx="7968615" cy="5619115"/>
                    </a:xfrm>
                    <a:prstGeom prst="rect">
                      <a:avLst/>
                    </a:prstGeom>
                  </pic:spPr>
                </pic:pic>
              </a:graphicData>
            </a:graphic>
          </wp:inline>
        </w:drawing>
      </w:r>
    </w:p>
    <w:p>
      <w:pPr>
        <w:spacing w:before="143" w:line="323" w:lineRule="auto"/>
        <w:ind w:left="8" w:firstLine="488"/>
        <w:rPr>
          <w:rFonts w:hint="default" w:ascii="宋体" w:hAnsi="宋体" w:eastAsia="宋体" w:cs="宋体"/>
          <w:color w:val="auto"/>
          <w:spacing w:val="2"/>
          <w:sz w:val="24"/>
          <w:szCs w:val="24"/>
          <w:lang w:val="en-US" w:eastAsia="zh-CN"/>
        </w:rPr>
      </w:pPr>
      <w:r>
        <w:rPr>
          <w:rFonts w:hint="default" w:ascii="宋体" w:hAnsi="宋体" w:eastAsia="宋体" w:cs="宋体"/>
          <w:color w:val="auto"/>
          <w:spacing w:val="2"/>
          <w:sz w:val="24"/>
          <w:szCs w:val="24"/>
          <w:lang w:val="en-US" w:eastAsia="zh-CN"/>
        </w:rPr>
        <w:drawing>
          <wp:inline distT="0" distB="0" distL="114300" distR="114300">
            <wp:extent cx="7873365" cy="5622925"/>
            <wp:effectExtent l="0" t="0" r="13335" b="15875"/>
            <wp:docPr id="34" name="图片 34" descr="3c885d41-e203-429d-8c86-fd76f84f0a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3c885d41-e203-429d-8c86-fd76f84f0ad2"/>
                    <pic:cNvPicPr>
                      <a:picLocks noChangeAspect="1"/>
                    </pic:cNvPicPr>
                  </pic:nvPicPr>
                  <pic:blipFill>
                    <a:blip r:embed="rId71"/>
                    <a:stretch>
                      <a:fillRect/>
                    </a:stretch>
                  </pic:blipFill>
                  <pic:spPr>
                    <a:xfrm>
                      <a:off x="0" y="0"/>
                      <a:ext cx="7873365" cy="5622925"/>
                    </a:xfrm>
                    <a:prstGeom prst="rect">
                      <a:avLst/>
                    </a:prstGeom>
                  </pic:spPr>
                </pic:pic>
              </a:graphicData>
            </a:graphic>
          </wp:inline>
        </w:drawing>
      </w:r>
    </w:p>
    <w:p>
      <w:pPr>
        <w:spacing w:before="143" w:line="323" w:lineRule="auto"/>
        <w:ind w:left="8" w:firstLine="488"/>
        <w:rPr>
          <w:rFonts w:hint="default" w:ascii="宋体" w:hAnsi="宋体" w:eastAsia="宋体" w:cs="宋体"/>
          <w:color w:val="auto"/>
          <w:spacing w:val="2"/>
          <w:sz w:val="24"/>
          <w:szCs w:val="24"/>
          <w:lang w:val="en-US" w:eastAsia="zh-CN"/>
        </w:rPr>
      </w:pPr>
      <w:r>
        <w:rPr>
          <w:rFonts w:hint="default" w:ascii="宋体" w:hAnsi="宋体" w:eastAsia="宋体" w:cs="宋体"/>
          <w:color w:val="auto"/>
          <w:spacing w:val="2"/>
          <w:sz w:val="24"/>
          <w:szCs w:val="24"/>
          <w:lang w:val="en-US" w:eastAsia="zh-CN"/>
        </w:rPr>
        <w:drawing>
          <wp:inline distT="0" distB="0" distL="114300" distR="114300">
            <wp:extent cx="7950835" cy="5617210"/>
            <wp:effectExtent l="0" t="0" r="12065" b="2540"/>
            <wp:docPr id="35" name="图片 35" descr="7621fa54-bef5-4aa2-8ab4-3e84d9d2fc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7621fa54-bef5-4aa2-8ab4-3e84d9d2fc6d"/>
                    <pic:cNvPicPr>
                      <a:picLocks noChangeAspect="1"/>
                    </pic:cNvPicPr>
                  </pic:nvPicPr>
                  <pic:blipFill>
                    <a:blip r:embed="rId72"/>
                    <a:stretch>
                      <a:fillRect/>
                    </a:stretch>
                  </pic:blipFill>
                  <pic:spPr>
                    <a:xfrm>
                      <a:off x="0" y="0"/>
                      <a:ext cx="7950835" cy="5617210"/>
                    </a:xfrm>
                    <a:prstGeom prst="rect">
                      <a:avLst/>
                    </a:prstGeom>
                  </pic:spPr>
                </pic:pic>
              </a:graphicData>
            </a:graphic>
          </wp:inline>
        </w:drawing>
      </w:r>
    </w:p>
    <w:p>
      <w:pPr>
        <w:spacing w:before="143" w:line="323" w:lineRule="auto"/>
        <w:ind w:left="8" w:firstLine="488"/>
        <w:rPr>
          <w:rFonts w:hint="default" w:ascii="宋体" w:hAnsi="宋体" w:eastAsia="宋体" w:cs="宋体"/>
          <w:color w:val="auto"/>
          <w:spacing w:val="2"/>
          <w:sz w:val="24"/>
          <w:szCs w:val="24"/>
          <w:lang w:val="en-US" w:eastAsia="zh-CN"/>
        </w:rPr>
      </w:pPr>
      <w:r>
        <w:rPr>
          <w:rFonts w:hint="default" w:ascii="宋体" w:hAnsi="宋体" w:eastAsia="宋体" w:cs="宋体"/>
          <w:color w:val="auto"/>
          <w:spacing w:val="2"/>
          <w:sz w:val="24"/>
          <w:szCs w:val="24"/>
          <w:lang w:val="en-US" w:eastAsia="zh-CN"/>
        </w:rPr>
        <w:drawing>
          <wp:inline distT="0" distB="0" distL="114300" distR="114300">
            <wp:extent cx="8108950" cy="5617210"/>
            <wp:effectExtent l="0" t="0" r="6350" b="2540"/>
            <wp:docPr id="36" name="图片 36" descr="e756de2f-0643-4a1f-99ac-5ff7901fe3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e756de2f-0643-4a1f-99ac-5ff7901fe3e4"/>
                    <pic:cNvPicPr>
                      <a:picLocks noChangeAspect="1"/>
                    </pic:cNvPicPr>
                  </pic:nvPicPr>
                  <pic:blipFill>
                    <a:blip r:embed="rId73"/>
                    <a:stretch>
                      <a:fillRect/>
                    </a:stretch>
                  </pic:blipFill>
                  <pic:spPr>
                    <a:xfrm>
                      <a:off x="0" y="0"/>
                      <a:ext cx="8108950" cy="5617210"/>
                    </a:xfrm>
                    <a:prstGeom prst="rect">
                      <a:avLst/>
                    </a:prstGeom>
                  </pic:spPr>
                </pic:pic>
              </a:graphicData>
            </a:graphic>
          </wp:inline>
        </w:drawing>
      </w:r>
    </w:p>
    <w:p>
      <w:pPr>
        <w:spacing w:before="143" w:line="323" w:lineRule="auto"/>
        <w:rPr>
          <w:rFonts w:hint="default" w:ascii="宋体" w:hAnsi="宋体" w:eastAsia="宋体" w:cs="宋体"/>
          <w:color w:val="auto"/>
          <w:spacing w:val="2"/>
          <w:sz w:val="24"/>
          <w:szCs w:val="24"/>
          <w:lang w:val="en-US" w:eastAsia="zh-CN"/>
        </w:rPr>
      </w:pPr>
      <w:r>
        <w:rPr>
          <w:rFonts w:hint="default" w:ascii="宋体" w:hAnsi="宋体" w:eastAsia="宋体" w:cs="宋体"/>
          <w:color w:val="auto"/>
          <w:spacing w:val="2"/>
          <w:sz w:val="24"/>
          <w:szCs w:val="24"/>
          <w:lang w:val="en-US" w:eastAsia="zh-CN"/>
        </w:rPr>
        <w:drawing>
          <wp:anchor distT="0" distB="0" distL="114300" distR="114300" simplePos="0" relativeHeight="251667456" behindDoc="0" locked="0" layoutInCell="1" allowOverlap="1">
            <wp:simplePos x="0" y="0"/>
            <wp:positionH relativeFrom="column">
              <wp:posOffset>435610</wp:posOffset>
            </wp:positionH>
            <wp:positionV relativeFrom="paragraph">
              <wp:posOffset>-356870</wp:posOffset>
            </wp:positionV>
            <wp:extent cx="8535035" cy="6035040"/>
            <wp:effectExtent l="0" t="0" r="14605" b="0"/>
            <wp:wrapTopAndBottom/>
            <wp:docPr id="75" name="图片 75" descr="附图12-生态保护目标分布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附图12-生态保护目标分布图_01"/>
                    <pic:cNvPicPr>
                      <a:picLocks noChangeAspect="1"/>
                    </pic:cNvPicPr>
                  </pic:nvPicPr>
                  <pic:blipFill>
                    <a:blip r:embed="rId74"/>
                    <a:stretch>
                      <a:fillRect/>
                    </a:stretch>
                  </pic:blipFill>
                  <pic:spPr>
                    <a:xfrm>
                      <a:off x="0" y="0"/>
                      <a:ext cx="8535035" cy="6035040"/>
                    </a:xfrm>
                    <a:prstGeom prst="rect">
                      <a:avLst/>
                    </a:prstGeom>
                  </pic:spPr>
                </pic:pic>
              </a:graphicData>
            </a:graphic>
          </wp:anchor>
        </w:drawing>
      </w:r>
    </w:p>
    <w:p>
      <w:pPr>
        <w:spacing w:before="143" w:line="323" w:lineRule="auto"/>
        <w:ind w:left="8" w:firstLine="488"/>
        <w:rPr>
          <w:rFonts w:hint="default" w:ascii="宋体" w:hAnsi="宋体" w:eastAsia="宋体" w:cs="宋体"/>
          <w:color w:val="auto"/>
          <w:spacing w:val="2"/>
          <w:sz w:val="24"/>
          <w:szCs w:val="24"/>
          <w:lang w:val="en-US" w:eastAsia="zh-CN"/>
        </w:rPr>
      </w:pPr>
      <w:r>
        <w:rPr>
          <w:rFonts w:hint="default" w:ascii="宋体" w:hAnsi="宋体" w:eastAsia="宋体" w:cs="宋体"/>
          <w:color w:val="auto"/>
          <w:spacing w:val="2"/>
          <w:sz w:val="24"/>
          <w:szCs w:val="24"/>
          <w:lang w:val="en-US" w:eastAsia="zh-CN"/>
        </w:rPr>
        <w:drawing>
          <wp:inline distT="0" distB="0" distL="114300" distR="114300">
            <wp:extent cx="9152255" cy="5617845"/>
            <wp:effectExtent l="0" t="0" r="6985" b="5715"/>
            <wp:docPr id="38" name="图片 38" descr="c98f4229-6ea3-4924-ad45-13d6ed3de6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98f4229-6ea3-4924-ad45-13d6ed3de69b"/>
                    <pic:cNvPicPr>
                      <a:picLocks noChangeAspect="1"/>
                    </pic:cNvPicPr>
                  </pic:nvPicPr>
                  <pic:blipFill>
                    <a:blip r:embed="rId75"/>
                    <a:stretch>
                      <a:fillRect/>
                    </a:stretch>
                  </pic:blipFill>
                  <pic:spPr>
                    <a:xfrm>
                      <a:off x="0" y="0"/>
                      <a:ext cx="9152255" cy="5617845"/>
                    </a:xfrm>
                    <a:prstGeom prst="rect">
                      <a:avLst/>
                    </a:prstGeom>
                  </pic:spPr>
                </pic:pic>
              </a:graphicData>
            </a:graphic>
          </wp:inline>
        </w:drawing>
      </w:r>
    </w:p>
    <w:p>
      <w:pPr>
        <w:spacing w:before="143" w:line="323" w:lineRule="auto"/>
        <w:ind w:left="8" w:firstLine="488"/>
        <w:rPr>
          <w:color w:val="auto"/>
        </w:rPr>
      </w:pPr>
      <w:r>
        <w:rPr>
          <w:color w:val="auto"/>
          <w:sz w:val="21"/>
        </w:rPr>
        <mc:AlternateContent>
          <mc:Choice Requires="wps">
            <w:drawing>
              <wp:anchor distT="0" distB="0" distL="114300" distR="114300" simplePos="0" relativeHeight="251666432" behindDoc="0" locked="0" layoutInCell="1" allowOverlap="1">
                <wp:simplePos x="0" y="0"/>
                <wp:positionH relativeFrom="column">
                  <wp:posOffset>125730</wp:posOffset>
                </wp:positionH>
                <wp:positionV relativeFrom="paragraph">
                  <wp:posOffset>-361315</wp:posOffset>
                </wp:positionV>
                <wp:extent cx="2717165" cy="353060"/>
                <wp:effectExtent l="0" t="0" r="10795" b="12700"/>
                <wp:wrapNone/>
                <wp:docPr id="68" name="文本框 68"/>
                <wp:cNvGraphicFramePr/>
                <a:graphic xmlns:a="http://schemas.openxmlformats.org/drawingml/2006/main">
                  <a:graphicData uri="http://schemas.microsoft.com/office/word/2010/wordprocessingShape">
                    <wps:wsp>
                      <wps:cNvSpPr txBox="1"/>
                      <wps:spPr>
                        <a:xfrm>
                          <a:off x="4671695" y="6697345"/>
                          <a:ext cx="2717165" cy="35306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b/>
                                <w:bCs/>
                                <w:sz w:val="24"/>
                                <w:szCs w:val="32"/>
                                <w:lang w:val="en-US" w:eastAsia="zh-CN"/>
                              </w:rPr>
                            </w:pPr>
                            <w:r>
                              <w:rPr>
                                <w:rFonts w:hint="default" w:ascii="Times New Roman" w:hAnsi="Times New Roman" w:cs="Times New Roman"/>
                                <w:b/>
                                <w:bCs/>
                                <w:sz w:val="24"/>
                                <w:szCs w:val="32"/>
                                <w:lang w:val="en-US" w:eastAsia="zh-CN"/>
                              </w:rPr>
                              <w:t>附图14   项目塔基及线路位置图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9pt;margin-top:-28.45pt;height:27.8pt;width:213.95pt;z-index:251666432;mso-width-relative:page;mso-height-relative:page;" fillcolor="#FFFFFF [3201]" filled="t" stroked="f" coordsize="21600,21600" o:gfxdata="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xQKcE&#10;1QAAAAkBAAAPAAAAAAAAAAEAIAAAACIAAABkcnMvZG93bnJldi54bWxQSwECFAAUAAAACACHTuJA&#10;fuzhil0CAACdBAAADgAAAAAAAAABACAAAAAkAQAAZHJzL2Uyb0RvYy54bWxQSwUGAAAAAAYABgBZ&#10;AQAA8wUAAAAA&#10;">
                <v:fill on="t" focussize="0,0"/>
                <v:stroke on="f" weight="0.5pt"/>
                <v:imagedata o:title=""/>
                <o:lock v:ext="edit" aspectratio="f"/>
                <v:textbox>
                  <w:txbxContent>
                    <w:p>
                      <w:pPr>
                        <w:rPr>
                          <w:rFonts w:hint="default" w:ascii="Times New Roman" w:hAnsi="Times New Roman" w:cs="Times New Roman" w:eastAsiaTheme="minorEastAsia"/>
                          <w:b/>
                          <w:bCs/>
                          <w:sz w:val="24"/>
                          <w:szCs w:val="32"/>
                          <w:lang w:val="en-US" w:eastAsia="zh-CN"/>
                        </w:rPr>
                      </w:pPr>
                      <w:r>
                        <w:rPr>
                          <w:rFonts w:hint="default" w:ascii="Times New Roman" w:hAnsi="Times New Roman" w:cs="Times New Roman"/>
                          <w:b/>
                          <w:bCs/>
                          <w:sz w:val="24"/>
                          <w:szCs w:val="32"/>
                          <w:lang w:val="en-US" w:eastAsia="zh-CN"/>
                        </w:rPr>
                        <w:t>附图14   项目塔基及线路位置图</w:t>
                      </w:r>
                    </w:p>
                  </w:txbxContent>
                </v:textbox>
              </v:shape>
            </w:pict>
          </mc:Fallback>
        </mc:AlternateContent>
      </w:r>
      <w:r>
        <w:rPr>
          <w:color w:val="auto"/>
          <w:position w:val="-54"/>
        </w:rPr>
        <w:drawing>
          <wp:anchor distT="0" distB="0" distL="0" distR="0" simplePos="0" relativeHeight="251665408" behindDoc="0" locked="0" layoutInCell="1" allowOverlap="1">
            <wp:simplePos x="0" y="0"/>
            <wp:positionH relativeFrom="column">
              <wp:posOffset>8523605</wp:posOffset>
            </wp:positionH>
            <wp:positionV relativeFrom="paragraph">
              <wp:posOffset>12065</wp:posOffset>
            </wp:positionV>
            <wp:extent cx="469265" cy="1042670"/>
            <wp:effectExtent l="0" t="0" r="3175" b="8890"/>
            <wp:wrapNone/>
            <wp:docPr id="67" name="IM 2"/>
            <wp:cNvGraphicFramePr/>
            <a:graphic xmlns:a="http://schemas.openxmlformats.org/drawingml/2006/main">
              <a:graphicData uri="http://schemas.openxmlformats.org/drawingml/2006/picture">
                <pic:pic xmlns:pic="http://schemas.openxmlformats.org/drawingml/2006/picture">
                  <pic:nvPicPr>
                    <pic:cNvPr id="67" name="IM 2"/>
                    <pic:cNvPicPr/>
                  </pic:nvPicPr>
                  <pic:blipFill>
                    <a:blip r:embed="rId76"/>
                    <a:stretch>
                      <a:fillRect/>
                    </a:stretch>
                  </pic:blipFill>
                  <pic:spPr>
                    <a:xfrm>
                      <a:off x="0" y="0"/>
                      <a:ext cx="469265" cy="1042670"/>
                    </a:xfrm>
                    <a:prstGeom prst="rect">
                      <a:avLst/>
                    </a:prstGeom>
                  </pic:spPr>
                </pic:pic>
              </a:graphicData>
            </a:graphic>
          </wp:anchor>
        </w:drawing>
      </w:r>
      <w:r>
        <w:rPr>
          <w:color w:val="auto"/>
        </w:rPr>
        <w:drawing>
          <wp:inline distT="0" distB="0" distL="114300" distR="114300">
            <wp:extent cx="8692515" cy="5656580"/>
            <wp:effectExtent l="0" t="0" r="9525" b="12700"/>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pic:cNvPicPr>
                      <a:picLocks noChangeAspect="1"/>
                    </pic:cNvPicPr>
                  </pic:nvPicPr>
                  <pic:blipFill>
                    <a:blip r:embed="rId77"/>
                    <a:stretch>
                      <a:fillRect/>
                    </a:stretch>
                  </pic:blipFill>
                  <pic:spPr>
                    <a:xfrm>
                      <a:off x="0" y="0"/>
                      <a:ext cx="8692515" cy="5656580"/>
                    </a:xfrm>
                    <a:prstGeom prst="rect">
                      <a:avLst/>
                    </a:prstGeom>
                    <a:noFill/>
                    <a:ln>
                      <a:noFill/>
                    </a:ln>
                  </pic:spPr>
                </pic:pic>
              </a:graphicData>
            </a:graphic>
          </wp:inline>
        </w:drawing>
      </w:r>
    </w:p>
    <w:p>
      <w:pPr>
        <w:pStyle w:val="5"/>
      </w:pPr>
      <w:r>
        <w:rPr>
          <w:rFonts w:hint="eastAsia" w:ascii="Times New Roman" w:hAnsi="Times New Roman" w:eastAsia="宋体" w:cs="Times New Roman"/>
          <w:b/>
          <w:bCs/>
          <w:caps w:val="0"/>
          <w:color w:val="auto"/>
          <w:sz w:val="24"/>
          <w:szCs w:val="24"/>
          <w:highlight w:val="none"/>
          <w:lang w:val="en-US" w:eastAsia="zh-CN"/>
        </w:rPr>
        <w:t>图15   本项目在朝阳市管控单元位置分布图</w:t>
      </w:r>
    </w:p>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pPr>
      <w:r>
        <w:rPr>
          <w:color w:val="auto"/>
          <w:sz w:val="21"/>
        </w:rPr>
        <mc:AlternateContent>
          <mc:Choice Requires="wps">
            <w:drawing>
              <wp:anchor distT="0" distB="0" distL="114300" distR="114300" simplePos="0" relativeHeight="251668480" behindDoc="0" locked="0" layoutInCell="1" allowOverlap="1">
                <wp:simplePos x="0" y="0"/>
                <wp:positionH relativeFrom="column">
                  <wp:posOffset>5205095</wp:posOffset>
                </wp:positionH>
                <wp:positionV relativeFrom="paragraph">
                  <wp:posOffset>1789430</wp:posOffset>
                </wp:positionV>
                <wp:extent cx="1087755" cy="302895"/>
                <wp:effectExtent l="350520" t="6350" r="9525" b="452755"/>
                <wp:wrapNone/>
                <wp:docPr id="83" name="矩形标注 83"/>
                <wp:cNvGraphicFramePr/>
                <a:graphic xmlns:a="http://schemas.openxmlformats.org/drawingml/2006/main">
                  <a:graphicData uri="http://schemas.microsoft.com/office/word/2010/wordprocessingShape">
                    <wps:wsp>
                      <wps:cNvSpPr/>
                      <wps:spPr>
                        <a:xfrm>
                          <a:off x="0" y="0"/>
                          <a:ext cx="1087755" cy="302895"/>
                        </a:xfrm>
                        <a:prstGeom prst="wedgeRectCallout">
                          <a:avLst>
                            <a:gd name="adj1" fmla="val -78312"/>
                            <a:gd name="adj2" fmla="val 188364"/>
                          </a:avLst>
                        </a:prstGeom>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09.85pt;margin-top:140.9pt;height:23.85pt;width:85.65pt;z-index:251668480;v-text-anchor:middle;mso-width-relative:page;mso-height-relative:page;" fillcolor="#5B9BD5 [3204]" filled="t" stroked="t" coordsize="21600,21600" o:gfxdata="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" adj="-6115,51487">
                <v:fill on="t" focussize="0,0"/>
                <v:stroke weight="1pt" color="#2E75B6 [2404]" miterlimit="8" joinstyle="miter"/>
                <v:imagedata o:title=""/>
                <o:lock v:ext="edit" aspectratio="f"/>
                <v:textbox>
                  <w:txbxContent>
                    <w:p>
                      <w:pPr>
                        <w:jc w:val="center"/>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本项目位置</w:t>
                      </w:r>
                    </w:p>
                  </w:txbxContent>
                </v:textbox>
              </v:shape>
            </w:pict>
          </mc:Fallback>
        </mc:AlternateContent>
      </w:r>
      <w:r>
        <w:drawing>
          <wp:inline distT="0" distB="0" distL="114300" distR="114300">
            <wp:extent cx="7024370" cy="4879975"/>
            <wp:effectExtent l="0" t="0" r="5080" b="15875"/>
            <wp:docPr id="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
                    <pic:cNvPicPr>
                      <a:picLocks noChangeAspect="1"/>
                    </pic:cNvPicPr>
                  </pic:nvPicPr>
                  <pic:blipFill>
                    <a:blip r:embed="rId78"/>
                    <a:srcRect t="1275" b="4051"/>
                    <a:stretch>
                      <a:fillRect/>
                    </a:stretch>
                  </pic:blipFill>
                  <pic:spPr>
                    <a:xfrm>
                      <a:off x="0" y="0"/>
                      <a:ext cx="7024370" cy="4879975"/>
                    </a:xfrm>
                    <a:prstGeom prst="rect">
                      <a:avLst/>
                    </a:prstGeom>
                    <a:noFill/>
                    <a:ln>
                      <a:noFill/>
                    </a:ln>
                  </pic:spPr>
                </pic:pic>
              </a:graphicData>
            </a:graphic>
          </wp:inline>
        </w:drawing>
      </w:r>
    </w:p>
    <w:p>
      <w:pPr>
        <w:pStyle w:val="5"/>
        <w:rPr>
          <w:rFonts w:hint="eastAsia"/>
          <w:lang w:val="en-US" w:eastAsia="zh-CN"/>
        </w:rPr>
      </w:pPr>
    </w:p>
    <w:p>
      <w:pPr>
        <w:pStyle w:val="5"/>
        <w:rPr>
          <w:rFonts w:hint="eastAsia" w:ascii="Times New Roman" w:hAnsi="Times New Roman" w:eastAsia="宋体" w:cs="Times New Roman"/>
          <w:b/>
          <w:bCs/>
          <w:caps w:val="0"/>
          <w:color w:val="auto"/>
          <w:sz w:val="24"/>
          <w:szCs w:val="24"/>
          <w:highlight w:val="none"/>
          <w:lang w:val="en-US" w:eastAsia="zh-CN"/>
        </w:rPr>
      </w:pPr>
      <w:r>
        <w:rPr>
          <w:rFonts w:hint="eastAsia" w:ascii="Times New Roman" w:hAnsi="Times New Roman" w:eastAsia="宋体" w:cs="Times New Roman"/>
          <w:b/>
          <w:bCs/>
          <w:caps w:val="0"/>
          <w:color w:val="auto"/>
          <w:sz w:val="24"/>
          <w:szCs w:val="24"/>
          <w:highlight w:val="none"/>
          <w:lang w:val="en-US" w:eastAsia="zh-CN"/>
        </w:rPr>
        <w:t>图16  本项目涉及的管控单元图</w:t>
      </w:r>
    </w:p>
    <w:p>
      <w:pPr>
        <w:jc w:val="center"/>
        <w:rPr>
          <w:rFonts w:hint="default"/>
          <w:lang w:val="en-US" w:eastAsia="zh-CN"/>
        </w:rPr>
        <w:sectPr>
          <w:footerReference r:id="rId16" w:type="default"/>
          <w:pgSz w:w="16839" w:h="11906" w:orient="landscape"/>
          <w:pgMar w:top="1525" w:right="400" w:bottom="1525" w:left="1240" w:header="0" w:footer="1078" w:gutter="0"/>
          <w:pgBorders>
            <w:top w:val="none" w:sz="0" w:space="0"/>
            <w:left w:val="none" w:sz="0" w:space="0"/>
            <w:bottom w:val="none" w:sz="0" w:space="0"/>
            <w:right w:val="none" w:sz="0" w:space="0"/>
          </w:pgBorders>
          <w:pgNumType w:fmt="decimal" w:start="1"/>
          <w:cols w:space="720" w:num="1"/>
        </w:sectPr>
      </w:pPr>
      <w:r>
        <w:rPr>
          <w:rFonts w:hint="eastAsia" w:ascii="Times New Roman" w:hAnsi="Times New Roman" w:eastAsia="宋体" w:cs="Times New Roman"/>
          <w:b/>
          <w:bCs/>
          <w:caps w:val="0"/>
          <w:color w:val="FF0000"/>
          <w:sz w:val="24"/>
          <w:szCs w:val="24"/>
          <w:highlight w:val="none"/>
          <w:lang w:val="en-US" w:eastAsia="zh-CN"/>
        </w:rPr>
        <w:drawing>
          <wp:inline distT="0" distB="0" distL="114300" distR="114300">
            <wp:extent cx="6326505" cy="4779645"/>
            <wp:effectExtent l="0" t="0" r="17145" b="1905"/>
            <wp:docPr id="31" name="图片 31" descr="e07547f30c49b66ad1ab6aed0360d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e07547f30c49b66ad1ab6aed0360da14"/>
                    <pic:cNvPicPr>
                      <a:picLocks noChangeAspect="1"/>
                    </pic:cNvPicPr>
                  </pic:nvPicPr>
                  <pic:blipFill>
                    <a:blip r:embed="rId79"/>
                    <a:stretch>
                      <a:fillRect/>
                    </a:stretch>
                  </pic:blipFill>
                  <pic:spPr>
                    <a:xfrm>
                      <a:off x="0" y="0"/>
                      <a:ext cx="6326505" cy="4779645"/>
                    </a:xfrm>
                    <a:prstGeom prst="rect">
                      <a:avLst/>
                    </a:prstGeom>
                  </pic:spPr>
                </pic:pic>
              </a:graphicData>
            </a:graphic>
          </wp:inline>
        </w:drawing>
      </w:r>
    </w:p>
    <w:p>
      <w:pPr>
        <w:spacing w:before="143" w:line="323" w:lineRule="auto"/>
        <w:rPr>
          <w:rFonts w:hint="eastAsia" w:ascii="宋体" w:hAnsi="宋体" w:eastAsia="宋体" w:cs="宋体"/>
          <w:b/>
          <w:bCs/>
          <w:color w:val="auto"/>
          <w:spacing w:val="2"/>
          <w:sz w:val="24"/>
          <w:szCs w:val="24"/>
          <w:lang w:val="en-US" w:eastAsia="zh-CN"/>
        </w:rPr>
      </w:pPr>
      <w:r>
        <w:rPr>
          <w:rFonts w:hint="eastAsia" w:ascii="宋体" w:hAnsi="宋体" w:eastAsia="宋体" w:cs="宋体"/>
          <w:b/>
          <w:bCs/>
          <w:color w:val="auto"/>
          <w:spacing w:val="2"/>
          <w:sz w:val="24"/>
          <w:szCs w:val="24"/>
          <w:lang w:val="en-US" w:eastAsia="zh-CN"/>
        </w:rPr>
        <w:t>附件1  委托书</w:t>
      </w:r>
    </w:p>
    <w:p>
      <w:pPr>
        <w:spacing w:before="143" w:line="323" w:lineRule="auto"/>
        <w:rPr>
          <w:rFonts w:hint="eastAsia" w:ascii="宋体" w:hAnsi="宋体" w:eastAsia="宋体" w:cs="宋体"/>
          <w:b/>
          <w:bCs/>
          <w:color w:val="auto"/>
          <w:spacing w:val="2"/>
          <w:sz w:val="24"/>
          <w:szCs w:val="24"/>
          <w:lang w:val="en-US" w:eastAsia="zh-CN"/>
        </w:rPr>
      </w:pPr>
    </w:p>
    <w:p>
      <w:pPr>
        <w:spacing w:before="143" w:line="323" w:lineRule="auto"/>
        <w:rPr>
          <w:rFonts w:hint="eastAsia" w:ascii="宋体" w:hAnsi="宋体" w:eastAsia="宋体" w:cs="宋体"/>
          <w:b/>
          <w:bCs/>
          <w:color w:val="auto"/>
          <w:spacing w:val="2"/>
          <w:sz w:val="24"/>
          <w:szCs w:val="24"/>
          <w:lang w:val="en-US" w:eastAsia="zh-CN"/>
        </w:rPr>
      </w:pPr>
      <w:r>
        <w:rPr>
          <w:rFonts w:hint="eastAsia" w:ascii="宋体" w:hAnsi="宋体" w:eastAsia="宋体" w:cs="宋体"/>
          <w:b/>
          <w:bCs/>
          <w:color w:val="auto"/>
          <w:spacing w:val="2"/>
          <w:sz w:val="24"/>
          <w:szCs w:val="24"/>
          <w:lang w:val="en-US" w:eastAsia="zh-CN"/>
        </w:rPr>
        <w:drawing>
          <wp:inline distT="0" distB="0" distL="114300" distR="114300">
            <wp:extent cx="5617845" cy="7044055"/>
            <wp:effectExtent l="0" t="0" r="1905" b="4445"/>
            <wp:docPr id="39" name="图片 39" descr="2014c83f-e562-4382-977a-622f3d6407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2014c83f-e562-4382-977a-622f3d6407f1"/>
                    <pic:cNvPicPr>
                      <a:picLocks noChangeAspect="1"/>
                    </pic:cNvPicPr>
                  </pic:nvPicPr>
                  <pic:blipFill>
                    <a:blip r:embed="rId80"/>
                    <a:stretch>
                      <a:fillRect/>
                    </a:stretch>
                  </pic:blipFill>
                  <pic:spPr>
                    <a:xfrm>
                      <a:off x="0" y="0"/>
                      <a:ext cx="5617845" cy="7044055"/>
                    </a:xfrm>
                    <a:prstGeom prst="rect">
                      <a:avLst/>
                    </a:prstGeom>
                  </pic:spPr>
                </pic:pic>
              </a:graphicData>
            </a:graphic>
          </wp:inline>
        </w:drawing>
      </w:r>
    </w:p>
    <w:p>
      <w:pPr>
        <w:spacing w:before="143" w:line="323" w:lineRule="auto"/>
        <w:rPr>
          <w:rFonts w:hint="default" w:ascii="宋体" w:hAnsi="宋体" w:eastAsia="宋体" w:cs="宋体"/>
          <w:b/>
          <w:bCs/>
          <w:color w:val="auto"/>
          <w:spacing w:val="2"/>
          <w:sz w:val="24"/>
          <w:szCs w:val="24"/>
          <w:lang w:val="en-US" w:eastAsia="zh-CN"/>
        </w:rPr>
      </w:pPr>
    </w:p>
    <w:p>
      <w:pPr>
        <w:spacing w:before="143" w:line="323" w:lineRule="auto"/>
        <w:rPr>
          <w:rFonts w:hint="eastAsia" w:ascii="宋体" w:hAnsi="宋体" w:eastAsia="宋体" w:cs="宋体"/>
          <w:color w:val="auto"/>
          <w:spacing w:val="2"/>
          <w:sz w:val="24"/>
          <w:szCs w:val="24"/>
          <w:lang w:val="en-US" w:eastAsia="zh-CN"/>
        </w:rPr>
      </w:pPr>
    </w:p>
    <w:p>
      <w:pPr>
        <w:spacing w:before="143" w:line="323" w:lineRule="auto"/>
        <w:rPr>
          <w:rFonts w:hint="default"/>
          <w:color w:val="auto"/>
          <w:lang w:val="en-US" w:eastAsia="zh-CN"/>
        </w:rPr>
      </w:pPr>
    </w:p>
    <w:sectPr>
      <w:pgSz w:w="11906" w:h="16839"/>
      <w:pgMar w:top="1525" w:right="1525" w:bottom="1240" w:left="1525" w:header="0" w:footer="1078" w:gutter="0"/>
      <w:pgBorders>
        <w:top w:val="none" w:sz="0" w:space="0"/>
        <w:left w:val="none" w:sz="0" w:space="0"/>
        <w:bottom w:val="none" w:sz="0" w:space="0"/>
        <w:right w:val="none" w:sz="0" w:space="0"/>
      </w:pgBorders>
      <w:pgNumType w:fmt="decimal"/>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swiss"/>
    <w:pitch w:val="default"/>
    <w:sig w:usb0="E0002EFF" w:usb1="C000785B"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楷体_GB2312">
    <w:altName w:val="楷体"/>
    <w:panose1 w:val="00000000000000000000"/>
    <w:charset w:val="00"/>
    <w:family w:val="auto"/>
    <w:pitch w:val="default"/>
    <w:sig w:usb0="00000000" w:usb1="00000000" w:usb2="00000000" w:usb3="00000000" w:csb0="00000000" w:csb1="00000000"/>
  </w:font>
  <w:font w:name="仿宋_GB2312">
    <w:panose1 w:val="02010609030101010101"/>
    <w:charset w:val="86"/>
    <w:family w:val="modern"/>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right="360" w:firstLine="360"/>
      <w:jc w:val="center"/>
    </w:pPr>
    <w:r>
      <w:rPr>
        <w:sz w:val="18"/>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7" name="文本框 1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14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s0lY7tAAAAAFAQAADwAAAAAAAAABACAAAAAiAAAAZHJzL2Rvd25yZXYu&#10;eG1sUEsBAhQAFAAAAAgAh07iQEs+DGU8AgAAcwQAAA4AAAAAAAAAAQAgAAAAHwEAAGRycy9lMm9E&#10;b2MueG1sUEsFBgAAAAAGAAYAWQEAAM0FAAAAAA==&#10;">
              <v:fill on="f" focussize="0,0"/>
              <v:stroke on="f" weight="0.5pt"/>
              <v:imagedata o:title=""/>
              <o:lock v:ext="edit" aspectratio="f"/>
              <v:textbox inset="0mm,0mm,0mm,0mm" style="mso-fit-shape-to-text:t;">
                <w:txbxContent>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spacing w:line="14" w:lineRule="auto"/>
      <w:rPr>
        <w:sz w:val="2"/>
      </w:rPr>
    </w:pPr>
    <w:r>
      <w:rPr>
        <w:sz w:val="2"/>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123" name="文本框 1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FvUZ8z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FvUZ8zAgAAZQQAAA4AAAAAAAAAAQAgAAAAHwEAAGRycy9lMm9Eb2MueG1sUEsF&#10;BgAAAAAGAAYAWQEAAMQFAAAAAA==&#10;">
              <v:fill on="f" focussize="0,0"/>
              <v:stroke on="f" weight="0.5pt"/>
              <v:imagedata o:title=""/>
              <o:lock v:ext="edit" aspectratio="f"/>
              <v:textbox inset="0mm,0mm,0mm,0mm" style="mso-fit-shape-to-text:t;">
                <w:txbxContent>
                  <w:p>
                    <w:pPr>
                      <w:pStyle w:val="11"/>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spacing w:line="14" w:lineRule="auto"/>
      <w:rPr>
        <w:sz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w:rPr>
        <w:sz w:val="18"/>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135" name="文本框 1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pPr>
                          <w:r>
                            <w:fldChar w:fldCharType="begin"/>
                          </w:r>
                          <w:r>
                            <w:instrText xml:space="preserve"> PAGE  \* MERGEFORMAT </w:instrText>
                          </w:r>
                          <w:r>
                            <w:fldChar w:fldCharType="separate"/>
                          </w:r>
                          <w:r>
                            <w:t>81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XMCLg0AgAAZQ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VzAi4NAIAAGUEAAAOAAAAAAAAAAEAIAAAAB8BAABkcnMvZTJvRG9jLnhtbFBL&#10;BQYAAAAABgAGAFkBAADFBQAAAAA=&#10;">
              <v:fill on="f" focussize="0,0"/>
              <v:stroke on="f" weight="0.5pt"/>
              <v:imagedata o:title=""/>
              <o:lock v:ext="edit" aspectratio="f"/>
              <v:textbox inset="0mm,0mm,0mm,0mm" style="mso-fit-shape-to-text:t;">
                <w:txbxContent>
                  <w:p>
                    <w:pPr>
                      <w:pStyle w:val="11"/>
                    </w:pPr>
                    <w:r>
                      <w:fldChar w:fldCharType="begin"/>
                    </w:r>
                    <w:r>
                      <w:instrText xml:space="preserve"> PAGE  \* MERGEFORMAT </w:instrText>
                    </w:r>
                    <w:r>
                      <w:fldChar w:fldCharType="separate"/>
                    </w:r>
                    <w:r>
                      <w:t>81</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ind w:left="4065"/>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136" name="文本框 1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6</w:t>
                          </w:r>
                          <w:r>
                            <w:rPr>
                              <w:rFonts w:hint="default" w:ascii="Times New Roman" w:hAnsi="Times New Roman" w:cs="Times New Roma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kO2sYzAgAAZQ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kO2sYzAgAAZQQAAA4AAAAAAAAAAQAgAAAAHwEAAGRycy9lMm9Eb2MueG1sUEsF&#10;BgAAAAAGAAYAWQEAAMQFAAAAAA==&#10;">
              <v:fill on="f" focussize="0,0"/>
              <v:stroke on="f" weight="0.5pt"/>
              <v:imagedata o:title=""/>
              <o:lock v:ext="edit" aspectratio="f"/>
              <v:textbox inset="0mm,0mm,0mm,0mm" style="mso-fit-shape-to-text:t;">
                <w:txbxContent>
                  <w:p>
                    <w:pPr>
                      <w:pStyle w:val="11"/>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6</w:t>
                    </w:r>
                    <w:r>
                      <w:rPr>
                        <w:rFonts w:hint="default" w:ascii="Times New Roman" w:hAnsi="Times New Roman" w:cs="Times New Roman"/>
                      </w:rP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ind w:left="4065"/>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168910" cy="154940"/>
              <wp:effectExtent l="0" t="0" r="0" b="0"/>
              <wp:wrapNone/>
              <wp:docPr id="138" name="文本框 138"/>
              <wp:cNvGraphicFramePr/>
              <a:graphic xmlns:a="http://schemas.openxmlformats.org/drawingml/2006/main">
                <a:graphicData uri="http://schemas.microsoft.com/office/word/2010/wordprocessingShape">
                  <wps:wsp>
                    <wps:cNvSpPr txBox="1"/>
                    <wps:spPr>
                      <a:xfrm>
                        <a:off x="0" y="0"/>
                        <a:ext cx="168910" cy="1549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pPr>
                          <w:r>
                            <w:fldChar w:fldCharType="begin"/>
                          </w:r>
                          <w:r>
                            <w:instrText xml:space="preserve"> PAGE  \* MERGEFORMAT </w:instrText>
                          </w:r>
                          <w:r>
                            <w:fldChar w:fldCharType="separate"/>
                          </w:r>
                          <w:r>
                            <w:t>15</w:t>
                          </w:r>
                          <w:r>
                            <w:fldChar w:fldCharType="end"/>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top:0pt;height:12.2pt;width:13.3pt;mso-position-horizontal:center;mso-position-horizontal-relative:margin;z-index:251678720;mso-width-relative:page;mso-height-relative:page;" filled="f" stroked="f" coordsize="21600,21600" o:gfxdata="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noloZdIAAAADAQAADwAAAAAAAAABACAAAAAiAAAAZHJzL2Rvd25yZXYueG1s&#10;UEsBAhQAFAAAAAgAh07iQDulTR03AgAAZQQAAA4AAAAAAAAAAQAgAAAAIQEAAGRycy9lMm9Eb2Mu&#10;eG1sUEsFBgAAAAAGAAYAWQEAAMoFAAAAAA==&#10;">
              <v:fill on="f" focussize="0,0"/>
              <v:stroke on="f" weight="0.5pt"/>
              <v:imagedata o:title=""/>
              <o:lock v:ext="edit" aspectratio="f"/>
              <v:textbox inset="0mm,0mm,0mm,0mm">
                <w:txbxContent>
                  <w:p>
                    <w:pPr>
                      <w:pStyle w:val="11"/>
                    </w:pPr>
                    <w:r>
                      <w:fldChar w:fldCharType="begin"/>
                    </w:r>
                    <w:r>
                      <w:instrText xml:space="preserve"> PAGE  \* MERGEFORMAT </w:instrText>
                    </w:r>
                    <w:r>
                      <w:fldChar w:fldCharType="separate"/>
                    </w:r>
                    <w:r>
                      <w:t>15</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w:rPr>
        <w:sz w:val="18"/>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116" name="文本框 1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BEU6gzAgAAZQ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BEU6gzAgAAZQQAAA4AAAAAAAAAAQAgAAAAHwEAAGRycy9lMm9Eb2MueG1sUEsF&#10;BgAAAAAGAAYAWQEAAMQFAAAAAA==&#10;">
              <v:fill on="f" focussize="0,0"/>
              <v:stroke on="f" weight="0.5pt"/>
              <v:imagedata o:title=""/>
              <o:lock v:ext="edit" aspectratio="f"/>
              <v:textbox inset="0mm,0mm,0mm,0mm" style="mso-fit-shape-to-text:t;">
                <w:txbxContent>
                  <w:p>
                    <w:pPr>
                      <w:pStyle w:val="11"/>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7907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7907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jc w:val="center"/>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p>
                      </w:txbxContent>
                    </wps:txbx>
                    <wps:bodyPr rot="0" spcFirstLastPara="0" vertOverflow="overflow" horzOverflow="overflow" vert="horz" wrap="squar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1pt;mso-position-horizontal:center;mso-position-horizontal-relative:margin;z-index:251659264;mso-width-relative:page;mso-height-relative:page;" filled="f" stroked="f" coordsize="21600,21600" o:gfxdata="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A/vjINEAAAAEAQAADwAAAAAAAAABACAAAAAiAAAAZHJzL2Rvd25yZXYueG1s&#10;UEsBAhQAFAAAAAgAh07iQOhIwAk4AgAAZAQAAA4AAAAAAAAAAQAgAAAAIAEAAGRycy9lMm9Eb2Mu&#10;eG1sUEsFBgAAAAAGAAYAWQEAAMoFAAAAAA==&#10;">
              <v:fill on="f" focussize="0,0"/>
              <v:stroke on="f" weight="0.5pt"/>
              <v:imagedata o:title=""/>
              <o:lock v:ext="edit" aspectratio="f"/>
              <v:textbox inset="0mm,0mm,0mm,0mm" style="mso-fit-shape-to-text:t;">
                <w:txbxContent>
                  <w:p>
                    <w:pPr>
                      <w:pStyle w:val="11"/>
                      <w:jc w:val="center"/>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ind w:left="3913"/>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236220" cy="202565"/>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236220" cy="2025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rPr>
                              <w:rFonts w:hint="default" w:ascii="Times New Roman" w:hAnsi="Times New Roman" w:cs="Times New Roman"/>
                              <w:sz w:val="20"/>
                              <w:szCs w:val="28"/>
                            </w:rPr>
                          </w:pPr>
                          <w:r>
                            <w:rPr>
                              <w:rFonts w:hint="default" w:ascii="Times New Roman" w:hAnsi="Times New Roman" w:cs="Times New Roman"/>
                              <w:sz w:val="20"/>
                              <w:szCs w:val="28"/>
                            </w:rPr>
                            <w:fldChar w:fldCharType="begin"/>
                          </w:r>
                          <w:r>
                            <w:rPr>
                              <w:rFonts w:hint="default" w:ascii="Times New Roman" w:hAnsi="Times New Roman" w:cs="Times New Roman"/>
                              <w:sz w:val="20"/>
                              <w:szCs w:val="28"/>
                            </w:rPr>
                            <w:instrText xml:space="preserve"> PAGE  \* MERGEFORMAT </w:instrText>
                          </w:r>
                          <w:r>
                            <w:rPr>
                              <w:rFonts w:hint="default" w:ascii="Times New Roman" w:hAnsi="Times New Roman" w:cs="Times New Roman"/>
                              <w:sz w:val="20"/>
                              <w:szCs w:val="28"/>
                            </w:rPr>
                            <w:fldChar w:fldCharType="separate"/>
                          </w:r>
                          <w:r>
                            <w:rPr>
                              <w:rFonts w:hint="default" w:ascii="Times New Roman" w:hAnsi="Times New Roman" w:cs="Times New Roman"/>
                              <w:sz w:val="20"/>
                              <w:szCs w:val="28"/>
                            </w:rPr>
                            <w:t>38</w:t>
                          </w:r>
                          <w:r>
                            <w:rPr>
                              <w:rFonts w:hint="default" w:ascii="Times New Roman" w:hAnsi="Times New Roman" w:cs="Times New Roman"/>
                              <w:sz w:val="20"/>
                              <w:szCs w:val="28"/>
                            </w:rPr>
                            <w:fldChar w:fldCharType="end"/>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top:0pt;height:15.95pt;width:18.6pt;mso-position-horizontal:center;mso-position-horizontal-relative:margin;z-index:251660288;mso-width-relative:page;mso-height-relative:page;" filled="f" stroked="f" coordsize="21600,21600" o:gfxdata="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XAXg5dIAAAADAQAADwAAAAAAAAABACAAAAAiAAAAZHJzL2Rvd25yZXYueG1s&#10;UEsBAhQAFAAAAAgAh07iQFjbFTw3AgAAYwQAAA4AAAAAAAAAAQAgAAAAIQEAAGRycy9lMm9Eb2Mu&#10;eG1sUEsFBgAAAAAGAAYAWQEAAMoFAAAAAA==&#10;">
              <v:fill on="f" focussize="0,0"/>
              <v:stroke on="f" weight="0.5pt"/>
              <v:imagedata o:title=""/>
              <o:lock v:ext="edit" aspectratio="f"/>
              <v:textbox inset="0mm,0mm,0mm,0mm">
                <w:txbxContent>
                  <w:p>
                    <w:pPr>
                      <w:pStyle w:val="11"/>
                      <w:rPr>
                        <w:rFonts w:hint="default" w:ascii="Times New Roman" w:hAnsi="Times New Roman" w:cs="Times New Roman"/>
                        <w:sz w:val="20"/>
                        <w:szCs w:val="28"/>
                      </w:rPr>
                    </w:pPr>
                    <w:r>
                      <w:rPr>
                        <w:rFonts w:hint="default" w:ascii="Times New Roman" w:hAnsi="Times New Roman" w:cs="Times New Roman"/>
                        <w:sz w:val="20"/>
                        <w:szCs w:val="28"/>
                      </w:rPr>
                      <w:fldChar w:fldCharType="begin"/>
                    </w:r>
                    <w:r>
                      <w:rPr>
                        <w:rFonts w:hint="default" w:ascii="Times New Roman" w:hAnsi="Times New Roman" w:cs="Times New Roman"/>
                        <w:sz w:val="20"/>
                        <w:szCs w:val="28"/>
                      </w:rPr>
                      <w:instrText xml:space="preserve"> PAGE  \* MERGEFORMAT </w:instrText>
                    </w:r>
                    <w:r>
                      <w:rPr>
                        <w:rFonts w:hint="default" w:ascii="Times New Roman" w:hAnsi="Times New Roman" w:cs="Times New Roman"/>
                        <w:sz w:val="20"/>
                        <w:szCs w:val="28"/>
                      </w:rPr>
                      <w:fldChar w:fldCharType="separate"/>
                    </w:r>
                    <w:r>
                      <w:rPr>
                        <w:rFonts w:hint="default" w:ascii="Times New Roman" w:hAnsi="Times New Roman" w:cs="Times New Roman"/>
                        <w:sz w:val="20"/>
                        <w:szCs w:val="28"/>
                      </w:rPr>
                      <w:t>38</w:t>
                    </w:r>
                    <w:r>
                      <w:rPr>
                        <w:rFonts w:hint="default" w:ascii="Times New Roman" w:hAnsi="Times New Roman" w:cs="Times New Roman"/>
                        <w:sz w:val="20"/>
                        <w:szCs w:val="28"/>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ind w:left="3913"/>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rPr>
                              <w:rFonts w:hint="default" w:ascii="Times New Roman" w:hAnsi="Times New Roman" w:cs="Times New Roman"/>
                              <w:sz w:val="21"/>
                              <w:szCs w:val="21"/>
                            </w:rPr>
                          </w:pPr>
                          <w:r>
                            <w:rPr>
                              <w:rFonts w:hint="default" w:ascii="Times New Roman" w:hAnsi="Times New Roman" w:cs="Times New Roman"/>
                              <w:sz w:val="21"/>
                              <w:szCs w:val="21"/>
                            </w:rPr>
                            <w:fldChar w:fldCharType="begin"/>
                          </w:r>
                          <w:r>
                            <w:rPr>
                              <w:rFonts w:hint="default" w:ascii="Times New Roman" w:hAnsi="Times New Roman" w:cs="Times New Roman"/>
                              <w:sz w:val="21"/>
                              <w:szCs w:val="21"/>
                            </w:rPr>
                            <w:instrText xml:space="preserve"> PAGE  \* MERGEFORMAT </w:instrText>
                          </w:r>
                          <w:r>
                            <w:rPr>
                              <w:rFonts w:hint="default" w:ascii="Times New Roman" w:hAnsi="Times New Roman" w:cs="Times New Roman"/>
                              <w:sz w:val="21"/>
                              <w:szCs w:val="21"/>
                            </w:rPr>
                            <w:fldChar w:fldCharType="separate"/>
                          </w:r>
                          <w:r>
                            <w:rPr>
                              <w:rFonts w:hint="default" w:ascii="Times New Roman" w:hAnsi="Times New Roman" w:cs="Times New Roman"/>
                              <w:sz w:val="21"/>
                              <w:szCs w:val="21"/>
                            </w:rPr>
                            <w:t>51</w:t>
                          </w:r>
                          <w:r>
                            <w:rPr>
                              <w:rFonts w:hint="default" w:ascii="Times New Roman" w:hAnsi="Times New Roman" w:cs="Times New Roman"/>
                              <w:sz w:val="21"/>
                              <w:szCs w:val="21"/>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EhxuI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ESHG4jICAABjBAAADgAAAAAAAAABACAAAAAfAQAAZHJzL2Uyb0RvYy54bWxQSwUG&#10;AAAAAAYABgBZAQAAwwUAAAAA&#10;">
              <v:fill on="f" focussize="0,0"/>
              <v:stroke on="f" weight="0.5pt"/>
              <v:imagedata o:title=""/>
              <o:lock v:ext="edit" aspectratio="f"/>
              <v:textbox inset="0mm,0mm,0mm,0mm" style="mso-fit-shape-to-text:t;">
                <w:txbxContent>
                  <w:p>
                    <w:pPr>
                      <w:pStyle w:val="11"/>
                      <w:rPr>
                        <w:rFonts w:hint="default" w:ascii="Times New Roman" w:hAnsi="Times New Roman" w:cs="Times New Roman"/>
                        <w:sz w:val="21"/>
                        <w:szCs w:val="21"/>
                      </w:rPr>
                    </w:pPr>
                    <w:r>
                      <w:rPr>
                        <w:rFonts w:hint="default" w:ascii="Times New Roman" w:hAnsi="Times New Roman" w:cs="Times New Roman"/>
                        <w:sz w:val="21"/>
                        <w:szCs w:val="21"/>
                      </w:rPr>
                      <w:fldChar w:fldCharType="begin"/>
                    </w:r>
                    <w:r>
                      <w:rPr>
                        <w:rFonts w:hint="default" w:ascii="Times New Roman" w:hAnsi="Times New Roman" w:cs="Times New Roman"/>
                        <w:sz w:val="21"/>
                        <w:szCs w:val="21"/>
                      </w:rPr>
                      <w:instrText xml:space="preserve"> PAGE  \* MERGEFORMAT </w:instrText>
                    </w:r>
                    <w:r>
                      <w:rPr>
                        <w:rFonts w:hint="default" w:ascii="Times New Roman" w:hAnsi="Times New Roman" w:cs="Times New Roman"/>
                        <w:sz w:val="21"/>
                        <w:szCs w:val="21"/>
                      </w:rPr>
                      <w:fldChar w:fldCharType="separate"/>
                    </w:r>
                    <w:r>
                      <w:rPr>
                        <w:rFonts w:hint="default" w:ascii="Times New Roman" w:hAnsi="Times New Roman" w:cs="Times New Roman"/>
                        <w:sz w:val="21"/>
                        <w:szCs w:val="21"/>
                      </w:rPr>
                      <w:t>51</w:t>
                    </w:r>
                    <w:r>
                      <w:rPr>
                        <w:rFonts w:hint="default" w:ascii="Times New Roman" w:hAnsi="Times New Roman" w:cs="Times New Roman"/>
                        <w:sz w:val="21"/>
                        <w:szCs w:val="21"/>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ind w:left="3913"/>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79070" cy="164465"/>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79070" cy="164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rPr>
                              <w:rFonts w:hint="default" w:ascii="Times New Roman" w:hAnsi="Times New Roman" w:cs="Times New Roman"/>
                              <w:sz w:val="21"/>
                              <w:szCs w:val="21"/>
                            </w:rPr>
                          </w:pPr>
                          <w:r>
                            <w:rPr>
                              <w:rFonts w:hint="default" w:ascii="Times New Roman" w:hAnsi="Times New Roman" w:cs="Times New Roman"/>
                              <w:sz w:val="21"/>
                              <w:szCs w:val="21"/>
                            </w:rPr>
                            <w:fldChar w:fldCharType="begin"/>
                          </w:r>
                          <w:r>
                            <w:rPr>
                              <w:rFonts w:hint="default" w:ascii="Times New Roman" w:hAnsi="Times New Roman" w:cs="Times New Roman"/>
                              <w:sz w:val="21"/>
                              <w:szCs w:val="21"/>
                            </w:rPr>
                            <w:instrText xml:space="preserve"> PAGE  \* MERGEFORMAT </w:instrText>
                          </w:r>
                          <w:r>
                            <w:rPr>
                              <w:rFonts w:hint="default" w:ascii="Times New Roman" w:hAnsi="Times New Roman" w:cs="Times New Roman"/>
                              <w:sz w:val="21"/>
                              <w:szCs w:val="21"/>
                            </w:rPr>
                            <w:fldChar w:fldCharType="separate"/>
                          </w:r>
                          <w:r>
                            <w:rPr>
                              <w:rFonts w:hint="default" w:ascii="Times New Roman" w:hAnsi="Times New Roman" w:cs="Times New Roman"/>
                              <w:sz w:val="21"/>
                              <w:szCs w:val="21"/>
                            </w:rPr>
                            <w:t>54</w:t>
                          </w:r>
                          <w:r>
                            <w:rPr>
                              <w:rFonts w:hint="default" w:ascii="Times New Roman" w:hAnsi="Times New Roman" w:cs="Times New Roman"/>
                              <w:sz w:val="21"/>
                              <w:szCs w:val="21"/>
                            </w:rPr>
                            <w:fldChar w:fldCharType="end"/>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top:0pt;height:12.95pt;width:14.1pt;mso-position-horizontal:center;mso-position-horizontal-relative:margin;z-index:251662336;mso-width-relative:page;mso-height-relative:page;" filled="f" stroked="f" coordsize="21600,21600" o:gfxdata="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Er3Ze0gAAAAMBAAAPAAAAAAAAAAEAIAAAACIAAABkcnMvZG93bnJldi54&#10;bWxQSwECFAAUAAAACACHTuJA2vp8EzkCAABjBAAADgAAAAAAAAABACAAAAAhAQAAZHJzL2Uyb0Rv&#10;Yy54bWxQSwUGAAAAAAYABgBZAQAAzAUAAAAA&#10;">
              <v:fill on="f" focussize="0,0"/>
              <v:stroke on="f" weight="0.5pt"/>
              <v:imagedata o:title=""/>
              <o:lock v:ext="edit" aspectratio="f"/>
              <v:textbox inset="0mm,0mm,0mm,0mm">
                <w:txbxContent>
                  <w:p>
                    <w:pPr>
                      <w:pStyle w:val="11"/>
                      <w:rPr>
                        <w:rFonts w:hint="default" w:ascii="Times New Roman" w:hAnsi="Times New Roman" w:cs="Times New Roman"/>
                        <w:sz w:val="21"/>
                        <w:szCs w:val="21"/>
                      </w:rPr>
                    </w:pPr>
                    <w:r>
                      <w:rPr>
                        <w:rFonts w:hint="default" w:ascii="Times New Roman" w:hAnsi="Times New Roman" w:cs="Times New Roman"/>
                        <w:sz w:val="21"/>
                        <w:szCs w:val="21"/>
                      </w:rPr>
                      <w:fldChar w:fldCharType="begin"/>
                    </w:r>
                    <w:r>
                      <w:rPr>
                        <w:rFonts w:hint="default" w:ascii="Times New Roman" w:hAnsi="Times New Roman" w:cs="Times New Roman"/>
                        <w:sz w:val="21"/>
                        <w:szCs w:val="21"/>
                      </w:rPr>
                      <w:instrText xml:space="preserve"> PAGE  \* MERGEFORMAT </w:instrText>
                    </w:r>
                    <w:r>
                      <w:rPr>
                        <w:rFonts w:hint="default" w:ascii="Times New Roman" w:hAnsi="Times New Roman" w:cs="Times New Roman"/>
                        <w:sz w:val="21"/>
                        <w:szCs w:val="21"/>
                      </w:rPr>
                      <w:fldChar w:fldCharType="separate"/>
                    </w:r>
                    <w:r>
                      <w:rPr>
                        <w:rFonts w:hint="default" w:ascii="Times New Roman" w:hAnsi="Times New Roman" w:cs="Times New Roman"/>
                        <w:sz w:val="21"/>
                        <w:szCs w:val="21"/>
                      </w:rPr>
                      <w:t>54</w:t>
                    </w:r>
                    <w:r>
                      <w:rPr>
                        <w:rFonts w:hint="default" w:ascii="Times New Roman" w:hAnsi="Times New Roman" w:cs="Times New Roman"/>
                        <w:sz w:val="21"/>
                        <w:szCs w:val="21"/>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ind w:left="3916"/>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79070" cy="182880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17907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67</w:t>
                          </w:r>
                          <w:r>
                            <w:rPr>
                              <w:rFonts w:hint="default" w:ascii="Times New Roman" w:hAnsi="Times New Roman" w:cs="Times New Roman"/>
                            </w:rPr>
                            <w:fldChar w:fldCharType="end"/>
                          </w:r>
                        </w:p>
                      </w:txbxContent>
                    </wps:txbx>
                    <wps:bodyPr rot="0" spcFirstLastPara="0" vertOverflow="overflow" horzOverflow="overflow" vert="horz" wrap="squar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1pt;mso-position-horizontal:center;mso-position-horizontal-relative:margin;z-index:251663360;mso-width-relative:page;mso-height-relative:page;" filled="f" stroked="f" coordsize="21600,21600" o:gfxdata="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A/vjINEAAAAEAQAADwAAAAAAAAABACAAAAAiAAAAZHJzL2Rvd25yZXYueG1s&#10;UEsBAhQAFAAAAAgAh07iQMutMFQ4AgAAZAQAAA4AAAAAAAAAAQAgAAAAIAEAAGRycy9lMm9Eb2Mu&#10;eG1sUEsFBgAAAAAGAAYAWQEAAMoFAAAAAA==&#10;">
              <v:fill on="f" focussize="0,0"/>
              <v:stroke on="f" weight="0.5pt"/>
              <v:imagedata o:title=""/>
              <o:lock v:ext="edit" aspectratio="f"/>
              <v:textbox inset="0mm,0mm,0mm,0mm" style="mso-fit-shape-to-text:t;">
                <w:txbxContent>
                  <w:p>
                    <w:pPr>
                      <w:pStyle w:val="11"/>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67</w:t>
                    </w:r>
                    <w:r>
                      <w:rPr>
                        <w:rFonts w:hint="default" w:ascii="Times New Roman" w:hAnsi="Times New Roman" w:cs="Times New Roman"/>
                      </w:rP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ind w:left="4266"/>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2" name="文本框 1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pPr>
                          <w:r>
                            <w:fldChar w:fldCharType="begin"/>
                          </w:r>
                          <w:r>
                            <w:instrText xml:space="preserve"> PAGE  \* MERGEFORMAT </w:instrText>
                          </w:r>
                          <w:r>
                            <w:fldChar w:fldCharType="separate"/>
                          </w:r>
                          <w:r>
                            <w:t>78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rTzwMz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rTzwMzAgAAZQQAAA4AAAAAAAAAAQAgAAAAHwEAAGRycy9lMm9Eb2MueG1sUEsF&#10;BgAAAAAGAAYAWQEAAMQFAAAAAA==&#10;">
              <v:fill on="f" focussize="0,0"/>
              <v:stroke on="f" weight="0.5pt"/>
              <v:imagedata o:title=""/>
              <o:lock v:ext="edit" aspectratio="f"/>
              <v:textbox inset="0mm,0mm,0mm,0mm" style="mso-fit-shape-to-text:t;">
                <w:txbxContent>
                  <w:p>
                    <w:pPr>
                      <w:pStyle w:val="11"/>
                    </w:pPr>
                    <w:r>
                      <w:fldChar w:fldCharType="begin"/>
                    </w:r>
                    <w:r>
                      <w:instrText xml:space="preserve"> PAGE  \* MERGEFORMAT </w:instrText>
                    </w:r>
                    <w:r>
                      <w:fldChar w:fldCharType="separate"/>
                    </w:r>
                    <w:r>
                      <w:t>78</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85D4E5F"/>
    <w:multiLevelType w:val="multilevel"/>
    <w:tmpl w:val="185D4E5F"/>
    <w:lvl w:ilvl="0" w:tentative="0">
      <w:start w:val="1"/>
      <w:numFmt w:val="decimal"/>
      <w:pStyle w:val="37"/>
      <w:lvlText w:val="表%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22874969"/>
    <w:multiLevelType w:val="multilevel"/>
    <w:tmpl w:val="22874969"/>
    <w:lvl w:ilvl="0" w:tentative="0">
      <w:start w:val="1"/>
      <w:numFmt w:val="decimal"/>
      <w:suff w:val="space"/>
      <w:lvlText w:val="%1"/>
      <w:lvlJc w:val="left"/>
      <w:pPr>
        <w:ind w:left="0" w:firstLine="0"/>
      </w:pPr>
      <w:rPr>
        <w:rFonts w:hint="eastAsia"/>
      </w:rPr>
    </w:lvl>
    <w:lvl w:ilvl="1" w:tentative="0">
      <w:start w:val="1"/>
      <w:numFmt w:val="decimal"/>
      <w:pStyle w:val="56"/>
      <w:suff w:val="space"/>
      <w:lvlText w:val="%1.%2"/>
      <w:lvlJc w:val="left"/>
      <w:pPr>
        <w:ind w:left="0" w:firstLine="0"/>
      </w:pPr>
      <w:rPr>
        <w:rFonts w:hint="eastAsia"/>
      </w:rPr>
    </w:lvl>
    <w:lvl w:ilvl="2" w:tentative="0">
      <w:start w:val="1"/>
      <w:numFmt w:val="decimal"/>
      <w:pStyle w:val="57"/>
      <w:suff w:val="space"/>
      <w:lvlText w:val="%1.%2.%3"/>
      <w:lvlJc w:val="left"/>
      <w:pPr>
        <w:ind w:left="0" w:firstLine="0"/>
      </w:pPr>
      <w:rPr>
        <w:rFonts w:hint="eastAsia"/>
      </w:rPr>
    </w:lvl>
    <w:lvl w:ilvl="3" w:tentative="0">
      <w:start w:val="1"/>
      <w:numFmt w:val="decimal"/>
      <w:suff w:val="space"/>
      <w:lvlText w:val="%1.%2.%3.%4"/>
      <w:lvlJc w:val="left"/>
      <w:pPr>
        <w:ind w:left="0" w:firstLine="0"/>
      </w:pPr>
      <w:rPr>
        <w:rFonts w:hint="eastAsia"/>
      </w:rPr>
    </w:lvl>
    <w:lvl w:ilvl="4" w:tentative="0">
      <w:start w:val="1"/>
      <w:numFmt w:val="decimal"/>
      <w:lvlText w:val="%1.%2.%3.%4.%5"/>
      <w:lvlJc w:val="left"/>
      <w:pPr>
        <w:ind w:left="0" w:firstLine="0"/>
      </w:pPr>
      <w:rPr>
        <w:rFonts w:hint="eastAsia"/>
      </w:rPr>
    </w:lvl>
    <w:lvl w:ilvl="5" w:tentative="0">
      <w:start w:val="1"/>
      <w:numFmt w:val="decimal"/>
      <w:lvlText w:val="%1.%2.%3.%4.%5.%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abstractNum w:abstractNumId="2">
    <w:nsid w:val="6B85DD3B"/>
    <w:multiLevelType w:val="singleLevel"/>
    <w:tmpl w:val="6B85DD3B"/>
    <w:lvl w:ilvl="0" w:tentative="0">
      <w:start w:val="5"/>
      <w:numFmt w:val="decimal"/>
      <w:suff w:val="nothing"/>
      <w:lvlText w:val="%1、"/>
      <w:lvlJc w:val="left"/>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E3N2RhNmVmZDliNzQxOGE2Yjg2NmNiM2EwZjI0ZWYifQ=="/>
  </w:docVars>
  <w:rsids>
    <w:rsidRoot w:val="7427205D"/>
    <w:rsid w:val="00403267"/>
    <w:rsid w:val="00510612"/>
    <w:rsid w:val="00B43A76"/>
    <w:rsid w:val="00D71948"/>
    <w:rsid w:val="012017CE"/>
    <w:rsid w:val="014467DE"/>
    <w:rsid w:val="014C30D5"/>
    <w:rsid w:val="015915B7"/>
    <w:rsid w:val="018B21C9"/>
    <w:rsid w:val="01D74EC3"/>
    <w:rsid w:val="01E04DF2"/>
    <w:rsid w:val="01E84C70"/>
    <w:rsid w:val="02073223"/>
    <w:rsid w:val="021C4FCD"/>
    <w:rsid w:val="02204C51"/>
    <w:rsid w:val="022B5AFE"/>
    <w:rsid w:val="024217AE"/>
    <w:rsid w:val="026B0005"/>
    <w:rsid w:val="02814F7F"/>
    <w:rsid w:val="02894562"/>
    <w:rsid w:val="02AD032B"/>
    <w:rsid w:val="02B62E04"/>
    <w:rsid w:val="02BA4F2E"/>
    <w:rsid w:val="02BC7D06"/>
    <w:rsid w:val="02DD3CCF"/>
    <w:rsid w:val="02EE42E5"/>
    <w:rsid w:val="02F35D08"/>
    <w:rsid w:val="03102E3B"/>
    <w:rsid w:val="031226B6"/>
    <w:rsid w:val="03195159"/>
    <w:rsid w:val="03292E3E"/>
    <w:rsid w:val="032C043D"/>
    <w:rsid w:val="03322A4C"/>
    <w:rsid w:val="038509C9"/>
    <w:rsid w:val="03AF03E9"/>
    <w:rsid w:val="03B50208"/>
    <w:rsid w:val="03B6755B"/>
    <w:rsid w:val="03DF29E0"/>
    <w:rsid w:val="03E622F3"/>
    <w:rsid w:val="044C6E68"/>
    <w:rsid w:val="046E5030"/>
    <w:rsid w:val="04797E0C"/>
    <w:rsid w:val="047B600F"/>
    <w:rsid w:val="04AA0F27"/>
    <w:rsid w:val="04D26E9B"/>
    <w:rsid w:val="04EF5B9B"/>
    <w:rsid w:val="04FB5916"/>
    <w:rsid w:val="051A57EC"/>
    <w:rsid w:val="054664F7"/>
    <w:rsid w:val="057E74F5"/>
    <w:rsid w:val="05B5233C"/>
    <w:rsid w:val="05F6263F"/>
    <w:rsid w:val="064328C1"/>
    <w:rsid w:val="064D4A54"/>
    <w:rsid w:val="06626395"/>
    <w:rsid w:val="068048EF"/>
    <w:rsid w:val="070E664D"/>
    <w:rsid w:val="075371C7"/>
    <w:rsid w:val="0754675F"/>
    <w:rsid w:val="07684593"/>
    <w:rsid w:val="07AC659B"/>
    <w:rsid w:val="07AF7E3A"/>
    <w:rsid w:val="07BD6513"/>
    <w:rsid w:val="07E50F2C"/>
    <w:rsid w:val="07F205A2"/>
    <w:rsid w:val="08351B77"/>
    <w:rsid w:val="083700F3"/>
    <w:rsid w:val="08471D6F"/>
    <w:rsid w:val="08540287"/>
    <w:rsid w:val="08BD0334"/>
    <w:rsid w:val="08BF0AA2"/>
    <w:rsid w:val="08D166E1"/>
    <w:rsid w:val="08F81FF3"/>
    <w:rsid w:val="091D5793"/>
    <w:rsid w:val="09405942"/>
    <w:rsid w:val="09797736"/>
    <w:rsid w:val="09860A71"/>
    <w:rsid w:val="09DC78A9"/>
    <w:rsid w:val="09E704BB"/>
    <w:rsid w:val="09EB5ECD"/>
    <w:rsid w:val="0A347243"/>
    <w:rsid w:val="0A471D34"/>
    <w:rsid w:val="0A697F1D"/>
    <w:rsid w:val="0A7216C8"/>
    <w:rsid w:val="0A762E91"/>
    <w:rsid w:val="0A98779E"/>
    <w:rsid w:val="0AA7129C"/>
    <w:rsid w:val="0AC015F0"/>
    <w:rsid w:val="0AC7614C"/>
    <w:rsid w:val="0ADE7010"/>
    <w:rsid w:val="0B2204F6"/>
    <w:rsid w:val="0B300755"/>
    <w:rsid w:val="0B493E05"/>
    <w:rsid w:val="0B5006A4"/>
    <w:rsid w:val="0B9002E2"/>
    <w:rsid w:val="0BCB0FBA"/>
    <w:rsid w:val="0BD87233"/>
    <w:rsid w:val="0BFA6B95"/>
    <w:rsid w:val="0C2C0B73"/>
    <w:rsid w:val="0C477296"/>
    <w:rsid w:val="0C4C20FB"/>
    <w:rsid w:val="0C4D14F6"/>
    <w:rsid w:val="0C6E55DC"/>
    <w:rsid w:val="0C7B02EA"/>
    <w:rsid w:val="0CA2720A"/>
    <w:rsid w:val="0CB15035"/>
    <w:rsid w:val="0CCD0DC7"/>
    <w:rsid w:val="0CD45C4C"/>
    <w:rsid w:val="0CE24566"/>
    <w:rsid w:val="0D0D53FF"/>
    <w:rsid w:val="0D1A7A63"/>
    <w:rsid w:val="0D676AC1"/>
    <w:rsid w:val="0D6F21C9"/>
    <w:rsid w:val="0D7E56F3"/>
    <w:rsid w:val="0D9967C4"/>
    <w:rsid w:val="0DD143AC"/>
    <w:rsid w:val="0DFE7425"/>
    <w:rsid w:val="0E1D41B8"/>
    <w:rsid w:val="0E5D362A"/>
    <w:rsid w:val="0E6D0A57"/>
    <w:rsid w:val="0E7420F3"/>
    <w:rsid w:val="0E781453"/>
    <w:rsid w:val="0E7A16EE"/>
    <w:rsid w:val="0E9953A0"/>
    <w:rsid w:val="0EA065FB"/>
    <w:rsid w:val="0EA25910"/>
    <w:rsid w:val="0EB47E50"/>
    <w:rsid w:val="0EB70F20"/>
    <w:rsid w:val="0EBA2C39"/>
    <w:rsid w:val="0EC639EC"/>
    <w:rsid w:val="0EC8358F"/>
    <w:rsid w:val="0ECE329B"/>
    <w:rsid w:val="0EDB3047"/>
    <w:rsid w:val="0F2520FB"/>
    <w:rsid w:val="0F7D25CB"/>
    <w:rsid w:val="0F977FCF"/>
    <w:rsid w:val="0FAE09D7"/>
    <w:rsid w:val="10066B98"/>
    <w:rsid w:val="103E7DE6"/>
    <w:rsid w:val="1067240A"/>
    <w:rsid w:val="108235F9"/>
    <w:rsid w:val="10EB611F"/>
    <w:rsid w:val="11063FEA"/>
    <w:rsid w:val="110C00AB"/>
    <w:rsid w:val="112555E6"/>
    <w:rsid w:val="114875EB"/>
    <w:rsid w:val="1172395B"/>
    <w:rsid w:val="11AA5D0A"/>
    <w:rsid w:val="11B072B1"/>
    <w:rsid w:val="11B90D52"/>
    <w:rsid w:val="11BA7B07"/>
    <w:rsid w:val="11EC206F"/>
    <w:rsid w:val="11EC3A38"/>
    <w:rsid w:val="121E62E8"/>
    <w:rsid w:val="122B7A24"/>
    <w:rsid w:val="126637EB"/>
    <w:rsid w:val="12A6454D"/>
    <w:rsid w:val="12BD7EC0"/>
    <w:rsid w:val="12BF2DF3"/>
    <w:rsid w:val="12E36BE9"/>
    <w:rsid w:val="12EF12A4"/>
    <w:rsid w:val="12F1016B"/>
    <w:rsid w:val="130152C1"/>
    <w:rsid w:val="130B207A"/>
    <w:rsid w:val="13280E6E"/>
    <w:rsid w:val="13302F2D"/>
    <w:rsid w:val="13461A7C"/>
    <w:rsid w:val="136D62E2"/>
    <w:rsid w:val="137A7C32"/>
    <w:rsid w:val="139A3A73"/>
    <w:rsid w:val="13B03737"/>
    <w:rsid w:val="13F70051"/>
    <w:rsid w:val="14097B67"/>
    <w:rsid w:val="141A2ADF"/>
    <w:rsid w:val="1437543F"/>
    <w:rsid w:val="146144DA"/>
    <w:rsid w:val="146E656C"/>
    <w:rsid w:val="1474776D"/>
    <w:rsid w:val="14A30D26"/>
    <w:rsid w:val="14A908F9"/>
    <w:rsid w:val="14B66075"/>
    <w:rsid w:val="14ED4825"/>
    <w:rsid w:val="14EE77C0"/>
    <w:rsid w:val="150F30DC"/>
    <w:rsid w:val="151E215B"/>
    <w:rsid w:val="154C6CC8"/>
    <w:rsid w:val="15836462"/>
    <w:rsid w:val="158A42F6"/>
    <w:rsid w:val="15AF5FD8"/>
    <w:rsid w:val="15C50D15"/>
    <w:rsid w:val="15D11B21"/>
    <w:rsid w:val="15EA26F3"/>
    <w:rsid w:val="162D30AD"/>
    <w:rsid w:val="16433014"/>
    <w:rsid w:val="1653574C"/>
    <w:rsid w:val="165C6539"/>
    <w:rsid w:val="1665362A"/>
    <w:rsid w:val="1676667C"/>
    <w:rsid w:val="1691323B"/>
    <w:rsid w:val="16D72F09"/>
    <w:rsid w:val="16EF2A68"/>
    <w:rsid w:val="173A6631"/>
    <w:rsid w:val="1745678C"/>
    <w:rsid w:val="174F439E"/>
    <w:rsid w:val="17AF6B50"/>
    <w:rsid w:val="17BD20FF"/>
    <w:rsid w:val="17C90AA4"/>
    <w:rsid w:val="17CC66C9"/>
    <w:rsid w:val="17DA4A5F"/>
    <w:rsid w:val="17F66EA9"/>
    <w:rsid w:val="180B28F6"/>
    <w:rsid w:val="181126B2"/>
    <w:rsid w:val="18156509"/>
    <w:rsid w:val="181F385D"/>
    <w:rsid w:val="18552337"/>
    <w:rsid w:val="18626802"/>
    <w:rsid w:val="186A1BFD"/>
    <w:rsid w:val="186F188C"/>
    <w:rsid w:val="188D46EA"/>
    <w:rsid w:val="18AC5CCF"/>
    <w:rsid w:val="18AE6DFD"/>
    <w:rsid w:val="18CD3647"/>
    <w:rsid w:val="18D23988"/>
    <w:rsid w:val="18D9565B"/>
    <w:rsid w:val="190805AA"/>
    <w:rsid w:val="190B50EC"/>
    <w:rsid w:val="1916237C"/>
    <w:rsid w:val="19186CBC"/>
    <w:rsid w:val="193E3001"/>
    <w:rsid w:val="19482729"/>
    <w:rsid w:val="194E3A44"/>
    <w:rsid w:val="195375C6"/>
    <w:rsid w:val="198A387A"/>
    <w:rsid w:val="1990114D"/>
    <w:rsid w:val="19CE23A1"/>
    <w:rsid w:val="19E5593D"/>
    <w:rsid w:val="1A233387"/>
    <w:rsid w:val="1A7435C9"/>
    <w:rsid w:val="1ACC10BC"/>
    <w:rsid w:val="1ACC4407"/>
    <w:rsid w:val="1ADD060F"/>
    <w:rsid w:val="1AE6371B"/>
    <w:rsid w:val="1B162E37"/>
    <w:rsid w:val="1B1D233E"/>
    <w:rsid w:val="1B2E0C1E"/>
    <w:rsid w:val="1B530684"/>
    <w:rsid w:val="1B770817"/>
    <w:rsid w:val="1B874611"/>
    <w:rsid w:val="1B88085A"/>
    <w:rsid w:val="1B89014D"/>
    <w:rsid w:val="1B8E2443"/>
    <w:rsid w:val="1B9F665B"/>
    <w:rsid w:val="1BA921BE"/>
    <w:rsid w:val="1BBD05DE"/>
    <w:rsid w:val="1BCD714A"/>
    <w:rsid w:val="1C1E5E5A"/>
    <w:rsid w:val="1C6568C1"/>
    <w:rsid w:val="1C66251E"/>
    <w:rsid w:val="1C856854"/>
    <w:rsid w:val="1C985CA7"/>
    <w:rsid w:val="1C9D605B"/>
    <w:rsid w:val="1CC407A0"/>
    <w:rsid w:val="1CC470B9"/>
    <w:rsid w:val="1CDE55D6"/>
    <w:rsid w:val="1CE343B6"/>
    <w:rsid w:val="1D175E0D"/>
    <w:rsid w:val="1D24052A"/>
    <w:rsid w:val="1D277F39"/>
    <w:rsid w:val="1D4B5AB7"/>
    <w:rsid w:val="1D531DAF"/>
    <w:rsid w:val="1D5D506B"/>
    <w:rsid w:val="1D6A3C9A"/>
    <w:rsid w:val="1D7A5056"/>
    <w:rsid w:val="1D886D0B"/>
    <w:rsid w:val="1DCB6BF8"/>
    <w:rsid w:val="1DE8211A"/>
    <w:rsid w:val="1E4744D0"/>
    <w:rsid w:val="1E574013"/>
    <w:rsid w:val="1E5B107D"/>
    <w:rsid w:val="1E8F40C9"/>
    <w:rsid w:val="1E9A363C"/>
    <w:rsid w:val="1EA52A28"/>
    <w:rsid w:val="1EA70370"/>
    <w:rsid w:val="1ECF22ED"/>
    <w:rsid w:val="1F106FB8"/>
    <w:rsid w:val="1F313050"/>
    <w:rsid w:val="1F5844BB"/>
    <w:rsid w:val="1F7A2683"/>
    <w:rsid w:val="1F9F20EA"/>
    <w:rsid w:val="1FC00F2E"/>
    <w:rsid w:val="1FD61FB0"/>
    <w:rsid w:val="1FDE16A6"/>
    <w:rsid w:val="20005323"/>
    <w:rsid w:val="204D1B46"/>
    <w:rsid w:val="204D4185"/>
    <w:rsid w:val="20650482"/>
    <w:rsid w:val="20AC7E9E"/>
    <w:rsid w:val="20D1584F"/>
    <w:rsid w:val="20FA3A7C"/>
    <w:rsid w:val="213F1DD6"/>
    <w:rsid w:val="213F5CF3"/>
    <w:rsid w:val="21400970"/>
    <w:rsid w:val="21777075"/>
    <w:rsid w:val="21BD1397"/>
    <w:rsid w:val="21C77124"/>
    <w:rsid w:val="21C978F2"/>
    <w:rsid w:val="21D05838"/>
    <w:rsid w:val="21DA6D8F"/>
    <w:rsid w:val="21E862D2"/>
    <w:rsid w:val="21F77792"/>
    <w:rsid w:val="223227B2"/>
    <w:rsid w:val="224D2700"/>
    <w:rsid w:val="22545E8F"/>
    <w:rsid w:val="22692ECB"/>
    <w:rsid w:val="227B50B7"/>
    <w:rsid w:val="227E236A"/>
    <w:rsid w:val="227F3EB8"/>
    <w:rsid w:val="22CA62A1"/>
    <w:rsid w:val="231B63C2"/>
    <w:rsid w:val="23B75E78"/>
    <w:rsid w:val="23EF1D14"/>
    <w:rsid w:val="23F81101"/>
    <w:rsid w:val="241D3134"/>
    <w:rsid w:val="246413D6"/>
    <w:rsid w:val="24783B7E"/>
    <w:rsid w:val="24894F42"/>
    <w:rsid w:val="24BF7FAC"/>
    <w:rsid w:val="24D25C14"/>
    <w:rsid w:val="24D77674"/>
    <w:rsid w:val="24E475FA"/>
    <w:rsid w:val="250A14BC"/>
    <w:rsid w:val="25166F15"/>
    <w:rsid w:val="254A30B7"/>
    <w:rsid w:val="2562533C"/>
    <w:rsid w:val="259049AF"/>
    <w:rsid w:val="259C65A3"/>
    <w:rsid w:val="26153202"/>
    <w:rsid w:val="267B2158"/>
    <w:rsid w:val="269B4BF8"/>
    <w:rsid w:val="26D849C2"/>
    <w:rsid w:val="26EA4BF9"/>
    <w:rsid w:val="26EB1390"/>
    <w:rsid w:val="270779EF"/>
    <w:rsid w:val="2752799D"/>
    <w:rsid w:val="27561C28"/>
    <w:rsid w:val="275B0FEC"/>
    <w:rsid w:val="276143EE"/>
    <w:rsid w:val="276958A3"/>
    <w:rsid w:val="276D1A04"/>
    <w:rsid w:val="277B79BA"/>
    <w:rsid w:val="27932534"/>
    <w:rsid w:val="27BA3F65"/>
    <w:rsid w:val="27C2034A"/>
    <w:rsid w:val="2808546B"/>
    <w:rsid w:val="2823612C"/>
    <w:rsid w:val="28500554"/>
    <w:rsid w:val="28836CDA"/>
    <w:rsid w:val="28A23637"/>
    <w:rsid w:val="28AD67AB"/>
    <w:rsid w:val="28B5472C"/>
    <w:rsid w:val="28B63393"/>
    <w:rsid w:val="28D266C7"/>
    <w:rsid w:val="28E03E9F"/>
    <w:rsid w:val="28FB4A13"/>
    <w:rsid w:val="29003BF9"/>
    <w:rsid w:val="290128C8"/>
    <w:rsid w:val="29742EFC"/>
    <w:rsid w:val="298720EB"/>
    <w:rsid w:val="29930F11"/>
    <w:rsid w:val="29A24444"/>
    <w:rsid w:val="29AB2164"/>
    <w:rsid w:val="29C96C09"/>
    <w:rsid w:val="29F666EA"/>
    <w:rsid w:val="2A1D28D2"/>
    <w:rsid w:val="2A274991"/>
    <w:rsid w:val="2A351FC9"/>
    <w:rsid w:val="2A4E6BE6"/>
    <w:rsid w:val="2A5B54BA"/>
    <w:rsid w:val="2A5B79B7"/>
    <w:rsid w:val="2A773F3F"/>
    <w:rsid w:val="2A9C2C94"/>
    <w:rsid w:val="2AC747FD"/>
    <w:rsid w:val="2B064AD0"/>
    <w:rsid w:val="2B18640C"/>
    <w:rsid w:val="2B1C2BA1"/>
    <w:rsid w:val="2B2168B7"/>
    <w:rsid w:val="2B3979EB"/>
    <w:rsid w:val="2B422DA0"/>
    <w:rsid w:val="2BBA09D7"/>
    <w:rsid w:val="2BCF1FA9"/>
    <w:rsid w:val="2C050FC5"/>
    <w:rsid w:val="2C0E56FC"/>
    <w:rsid w:val="2C444745"/>
    <w:rsid w:val="2C63429F"/>
    <w:rsid w:val="2C6B0D55"/>
    <w:rsid w:val="2C882884"/>
    <w:rsid w:val="2CC67FBA"/>
    <w:rsid w:val="2CCE4CF3"/>
    <w:rsid w:val="2CFC6DCE"/>
    <w:rsid w:val="2D1660E1"/>
    <w:rsid w:val="2D2333BE"/>
    <w:rsid w:val="2D314CC9"/>
    <w:rsid w:val="2D4133F5"/>
    <w:rsid w:val="2D5817A1"/>
    <w:rsid w:val="2D745502"/>
    <w:rsid w:val="2D9B0395"/>
    <w:rsid w:val="2DB032AA"/>
    <w:rsid w:val="2DB13CAC"/>
    <w:rsid w:val="2DF950BB"/>
    <w:rsid w:val="2DFE28D9"/>
    <w:rsid w:val="2E13175F"/>
    <w:rsid w:val="2E2D5528"/>
    <w:rsid w:val="2E345A23"/>
    <w:rsid w:val="2E622189"/>
    <w:rsid w:val="2E7F1A05"/>
    <w:rsid w:val="2EC36A61"/>
    <w:rsid w:val="2F087996"/>
    <w:rsid w:val="2F2B34D0"/>
    <w:rsid w:val="2F2E4CDA"/>
    <w:rsid w:val="2F35702F"/>
    <w:rsid w:val="2F753C41"/>
    <w:rsid w:val="2FAF2F55"/>
    <w:rsid w:val="2FD324A8"/>
    <w:rsid w:val="30765A43"/>
    <w:rsid w:val="309470C5"/>
    <w:rsid w:val="30B73638"/>
    <w:rsid w:val="30C3032E"/>
    <w:rsid w:val="30CD2F5B"/>
    <w:rsid w:val="313528AE"/>
    <w:rsid w:val="313F54DB"/>
    <w:rsid w:val="314E202E"/>
    <w:rsid w:val="31561545"/>
    <w:rsid w:val="315768F6"/>
    <w:rsid w:val="316D74DB"/>
    <w:rsid w:val="31A575B5"/>
    <w:rsid w:val="31BA7999"/>
    <w:rsid w:val="31BF3B1F"/>
    <w:rsid w:val="31D16A7B"/>
    <w:rsid w:val="31E75151"/>
    <w:rsid w:val="31F0158B"/>
    <w:rsid w:val="322B71D7"/>
    <w:rsid w:val="324B23AF"/>
    <w:rsid w:val="324C1127"/>
    <w:rsid w:val="32644499"/>
    <w:rsid w:val="32647785"/>
    <w:rsid w:val="327225F7"/>
    <w:rsid w:val="32990C1B"/>
    <w:rsid w:val="329B0B3A"/>
    <w:rsid w:val="32F26CA9"/>
    <w:rsid w:val="32F5021B"/>
    <w:rsid w:val="33136E16"/>
    <w:rsid w:val="333C43C8"/>
    <w:rsid w:val="337A6C9E"/>
    <w:rsid w:val="337B3FB6"/>
    <w:rsid w:val="33876AEA"/>
    <w:rsid w:val="33EC74A0"/>
    <w:rsid w:val="34032E1B"/>
    <w:rsid w:val="3428644A"/>
    <w:rsid w:val="344538CC"/>
    <w:rsid w:val="349D56A5"/>
    <w:rsid w:val="34B04DD1"/>
    <w:rsid w:val="34C12469"/>
    <w:rsid w:val="34E622D6"/>
    <w:rsid w:val="34FF56AD"/>
    <w:rsid w:val="350F0544"/>
    <w:rsid w:val="353E4427"/>
    <w:rsid w:val="358E7707"/>
    <w:rsid w:val="35A60C24"/>
    <w:rsid w:val="35B13D64"/>
    <w:rsid w:val="35B629AE"/>
    <w:rsid w:val="35F417C6"/>
    <w:rsid w:val="361B52A5"/>
    <w:rsid w:val="364306C4"/>
    <w:rsid w:val="367D3BCE"/>
    <w:rsid w:val="37180BE2"/>
    <w:rsid w:val="371C5F1E"/>
    <w:rsid w:val="37206ED3"/>
    <w:rsid w:val="373913E2"/>
    <w:rsid w:val="378D6FA0"/>
    <w:rsid w:val="379F14FA"/>
    <w:rsid w:val="37B430A5"/>
    <w:rsid w:val="38033706"/>
    <w:rsid w:val="381E6DF3"/>
    <w:rsid w:val="38351ED1"/>
    <w:rsid w:val="38543277"/>
    <w:rsid w:val="38664B4D"/>
    <w:rsid w:val="389A372B"/>
    <w:rsid w:val="38D35616"/>
    <w:rsid w:val="38F76454"/>
    <w:rsid w:val="39276E60"/>
    <w:rsid w:val="39341F62"/>
    <w:rsid w:val="396A0DE0"/>
    <w:rsid w:val="396C0E37"/>
    <w:rsid w:val="398E5E9B"/>
    <w:rsid w:val="39A15D45"/>
    <w:rsid w:val="3A085004"/>
    <w:rsid w:val="3A1D4909"/>
    <w:rsid w:val="3A2D707E"/>
    <w:rsid w:val="3A6E30D0"/>
    <w:rsid w:val="3AD77246"/>
    <w:rsid w:val="3B0C4680"/>
    <w:rsid w:val="3B2109A6"/>
    <w:rsid w:val="3B673668"/>
    <w:rsid w:val="3BAD6207"/>
    <w:rsid w:val="3C081ADF"/>
    <w:rsid w:val="3C107D91"/>
    <w:rsid w:val="3C2C56D7"/>
    <w:rsid w:val="3C2D5AC6"/>
    <w:rsid w:val="3C3144CC"/>
    <w:rsid w:val="3CB20E84"/>
    <w:rsid w:val="3CBF558C"/>
    <w:rsid w:val="3CF21706"/>
    <w:rsid w:val="3CFB2BFE"/>
    <w:rsid w:val="3D0B4272"/>
    <w:rsid w:val="3D203878"/>
    <w:rsid w:val="3D271C45"/>
    <w:rsid w:val="3D394362"/>
    <w:rsid w:val="3D3A6100"/>
    <w:rsid w:val="3D910041"/>
    <w:rsid w:val="3D91047C"/>
    <w:rsid w:val="3D97084E"/>
    <w:rsid w:val="3D986649"/>
    <w:rsid w:val="3DC63DD4"/>
    <w:rsid w:val="3E03671E"/>
    <w:rsid w:val="3E15476F"/>
    <w:rsid w:val="3E56586E"/>
    <w:rsid w:val="3E8E0DB5"/>
    <w:rsid w:val="3F000FE0"/>
    <w:rsid w:val="3F0E62B7"/>
    <w:rsid w:val="3F1E7077"/>
    <w:rsid w:val="3F544CF6"/>
    <w:rsid w:val="3F5E1921"/>
    <w:rsid w:val="3F7D72B5"/>
    <w:rsid w:val="3F8A03E9"/>
    <w:rsid w:val="3FDB2B02"/>
    <w:rsid w:val="3FEC7A40"/>
    <w:rsid w:val="3FFB1940"/>
    <w:rsid w:val="40063D93"/>
    <w:rsid w:val="4042364C"/>
    <w:rsid w:val="40657F6C"/>
    <w:rsid w:val="408E35EC"/>
    <w:rsid w:val="409033DB"/>
    <w:rsid w:val="40BC6837"/>
    <w:rsid w:val="40CD665F"/>
    <w:rsid w:val="40E13EB9"/>
    <w:rsid w:val="40E364AB"/>
    <w:rsid w:val="410056B7"/>
    <w:rsid w:val="41270465"/>
    <w:rsid w:val="41473C38"/>
    <w:rsid w:val="41487B8C"/>
    <w:rsid w:val="414F757A"/>
    <w:rsid w:val="41FF08E4"/>
    <w:rsid w:val="42196469"/>
    <w:rsid w:val="421B232C"/>
    <w:rsid w:val="422C694B"/>
    <w:rsid w:val="426223B5"/>
    <w:rsid w:val="42623A14"/>
    <w:rsid w:val="426273D0"/>
    <w:rsid w:val="42A11B51"/>
    <w:rsid w:val="42C45840"/>
    <w:rsid w:val="42E42EA4"/>
    <w:rsid w:val="42E93922"/>
    <w:rsid w:val="42EF2DF2"/>
    <w:rsid w:val="43077F9F"/>
    <w:rsid w:val="43244F87"/>
    <w:rsid w:val="43401201"/>
    <w:rsid w:val="43774B2F"/>
    <w:rsid w:val="43776D56"/>
    <w:rsid w:val="43853221"/>
    <w:rsid w:val="438A2AF8"/>
    <w:rsid w:val="43A35D9D"/>
    <w:rsid w:val="43A51B15"/>
    <w:rsid w:val="43B0156E"/>
    <w:rsid w:val="43B97342"/>
    <w:rsid w:val="43CF4900"/>
    <w:rsid w:val="43D736D0"/>
    <w:rsid w:val="4404683C"/>
    <w:rsid w:val="44523338"/>
    <w:rsid w:val="446C43E1"/>
    <w:rsid w:val="44780FD8"/>
    <w:rsid w:val="448C0198"/>
    <w:rsid w:val="44B51D55"/>
    <w:rsid w:val="44DD5589"/>
    <w:rsid w:val="44F11A7C"/>
    <w:rsid w:val="44FA54F1"/>
    <w:rsid w:val="4501362C"/>
    <w:rsid w:val="450F3304"/>
    <w:rsid w:val="454C1BB0"/>
    <w:rsid w:val="455017B0"/>
    <w:rsid w:val="4550727E"/>
    <w:rsid w:val="45693107"/>
    <w:rsid w:val="4575701D"/>
    <w:rsid w:val="45BE2A1A"/>
    <w:rsid w:val="45C25749"/>
    <w:rsid w:val="45DC7F5E"/>
    <w:rsid w:val="45F97EF6"/>
    <w:rsid w:val="460403B9"/>
    <w:rsid w:val="46045015"/>
    <w:rsid w:val="460A2104"/>
    <w:rsid w:val="460C1DB1"/>
    <w:rsid w:val="46405B25"/>
    <w:rsid w:val="466C55C9"/>
    <w:rsid w:val="46A838D8"/>
    <w:rsid w:val="46C66792"/>
    <w:rsid w:val="46C669C4"/>
    <w:rsid w:val="46EA56FC"/>
    <w:rsid w:val="46F34946"/>
    <w:rsid w:val="46FF1DFF"/>
    <w:rsid w:val="47086643"/>
    <w:rsid w:val="472E0FA7"/>
    <w:rsid w:val="473B4A6F"/>
    <w:rsid w:val="474525E4"/>
    <w:rsid w:val="475624C8"/>
    <w:rsid w:val="478B4C6E"/>
    <w:rsid w:val="47B05392"/>
    <w:rsid w:val="47D41938"/>
    <w:rsid w:val="47D541EF"/>
    <w:rsid w:val="47DF7F53"/>
    <w:rsid w:val="47EF7803"/>
    <w:rsid w:val="47FA378D"/>
    <w:rsid w:val="48875558"/>
    <w:rsid w:val="48A00AFD"/>
    <w:rsid w:val="48CF053E"/>
    <w:rsid w:val="48D92A3A"/>
    <w:rsid w:val="48DD6315"/>
    <w:rsid w:val="48F81653"/>
    <w:rsid w:val="49015F30"/>
    <w:rsid w:val="49702D95"/>
    <w:rsid w:val="49F26141"/>
    <w:rsid w:val="49FD0420"/>
    <w:rsid w:val="4A597E32"/>
    <w:rsid w:val="4A9309BB"/>
    <w:rsid w:val="4AB8212E"/>
    <w:rsid w:val="4ABC70AC"/>
    <w:rsid w:val="4AC935F2"/>
    <w:rsid w:val="4AF57CD3"/>
    <w:rsid w:val="4B3376A8"/>
    <w:rsid w:val="4B38526D"/>
    <w:rsid w:val="4B3B0CFF"/>
    <w:rsid w:val="4B554DB9"/>
    <w:rsid w:val="4B863275"/>
    <w:rsid w:val="4B895879"/>
    <w:rsid w:val="4BB328F5"/>
    <w:rsid w:val="4BC0439B"/>
    <w:rsid w:val="4BD20FCE"/>
    <w:rsid w:val="4BFB74FE"/>
    <w:rsid w:val="4C1C493F"/>
    <w:rsid w:val="4C501508"/>
    <w:rsid w:val="4C577725"/>
    <w:rsid w:val="4C6F00E5"/>
    <w:rsid w:val="4C7A030D"/>
    <w:rsid w:val="4C9149E5"/>
    <w:rsid w:val="4CAF7A6E"/>
    <w:rsid w:val="4CB22BAD"/>
    <w:rsid w:val="4CDD672B"/>
    <w:rsid w:val="4CFF03C7"/>
    <w:rsid w:val="4D4F1685"/>
    <w:rsid w:val="4D897DB2"/>
    <w:rsid w:val="4DC5692F"/>
    <w:rsid w:val="4DF420F5"/>
    <w:rsid w:val="4E9F72C4"/>
    <w:rsid w:val="4EC67340"/>
    <w:rsid w:val="4ED4505D"/>
    <w:rsid w:val="4EF15C0F"/>
    <w:rsid w:val="4F105298"/>
    <w:rsid w:val="4F122473"/>
    <w:rsid w:val="4F71062C"/>
    <w:rsid w:val="4F743E83"/>
    <w:rsid w:val="4FA72F23"/>
    <w:rsid w:val="4FC91FED"/>
    <w:rsid w:val="4FF45970"/>
    <w:rsid w:val="50096F88"/>
    <w:rsid w:val="50136B9E"/>
    <w:rsid w:val="50242062"/>
    <w:rsid w:val="505620F6"/>
    <w:rsid w:val="50631789"/>
    <w:rsid w:val="50A74DA8"/>
    <w:rsid w:val="50B31D37"/>
    <w:rsid w:val="50B67110"/>
    <w:rsid w:val="50D149D3"/>
    <w:rsid w:val="50DB26D2"/>
    <w:rsid w:val="50DE1954"/>
    <w:rsid w:val="50F769BA"/>
    <w:rsid w:val="5107796B"/>
    <w:rsid w:val="51196319"/>
    <w:rsid w:val="5132051E"/>
    <w:rsid w:val="513F4BC7"/>
    <w:rsid w:val="51470DD4"/>
    <w:rsid w:val="5164651A"/>
    <w:rsid w:val="516B614C"/>
    <w:rsid w:val="51952C65"/>
    <w:rsid w:val="51AE3D97"/>
    <w:rsid w:val="51C770FB"/>
    <w:rsid w:val="51D535C6"/>
    <w:rsid w:val="51D85390"/>
    <w:rsid w:val="51DB2FB3"/>
    <w:rsid w:val="51EF00BF"/>
    <w:rsid w:val="526861E8"/>
    <w:rsid w:val="529178B6"/>
    <w:rsid w:val="52E141EC"/>
    <w:rsid w:val="530B20CD"/>
    <w:rsid w:val="530F4E5F"/>
    <w:rsid w:val="5314011E"/>
    <w:rsid w:val="5314452D"/>
    <w:rsid w:val="533407C0"/>
    <w:rsid w:val="533429D4"/>
    <w:rsid w:val="535B0105"/>
    <w:rsid w:val="535C1BB3"/>
    <w:rsid w:val="536E13A9"/>
    <w:rsid w:val="53BD3C40"/>
    <w:rsid w:val="53BE4273"/>
    <w:rsid w:val="540C5299"/>
    <w:rsid w:val="54273E81"/>
    <w:rsid w:val="54295A39"/>
    <w:rsid w:val="543D5439"/>
    <w:rsid w:val="543F419C"/>
    <w:rsid w:val="54567CC6"/>
    <w:rsid w:val="546D1ACB"/>
    <w:rsid w:val="54801525"/>
    <w:rsid w:val="548C2D5E"/>
    <w:rsid w:val="548D53AC"/>
    <w:rsid w:val="54AF5068"/>
    <w:rsid w:val="54B576DE"/>
    <w:rsid w:val="54BA617A"/>
    <w:rsid w:val="54BE05DC"/>
    <w:rsid w:val="54C72ED9"/>
    <w:rsid w:val="54F74DE8"/>
    <w:rsid w:val="550C3614"/>
    <w:rsid w:val="550F70C4"/>
    <w:rsid w:val="552A00CC"/>
    <w:rsid w:val="55436A98"/>
    <w:rsid w:val="55654C60"/>
    <w:rsid w:val="559304B1"/>
    <w:rsid w:val="55A8286D"/>
    <w:rsid w:val="55AB29EF"/>
    <w:rsid w:val="55B47996"/>
    <w:rsid w:val="55C45E2B"/>
    <w:rsid w:val="55DF0EB7"/>
    <w:rsid w:val="55F61D5C"/>
    <w:rsid w:val="562C1C22"/>
    <w:rsid w:val="5632229F"/>
    <w:rsid w:val="56332FB1"/>
    <w:rsid w:val="56830997"/>
    <w:rsid w:val="56A71D54"/>
    <w:rsid w:val="56D4209E"/>
    <w:rsid w:val="56FD3993"/>
    <w:rsid w:val="57462870"/>
    <w:rsid w:val="574A2360"/>
    <w:rsid w:val="576378C6"/>
    <w:rsid w:val="577E0031"/>
    <w:rsid w:val="57917C49"/>
    <w:rsid w:val="57C45559"/>
    <w:rsid w:val="57D63BF4"/>
    <w:rsid w:val="581F431A"/>
    <w:rsid w:val="5830715F"/>
    <w:rsid w:val="58417C07"/>
    <w:rsid w:val="5861638F"/>
    <w:rsid w:val="587F24DD"/>
    <w:rsid w:val="58842ABA"/>
    <w:rsid w:val="58A63E84"/>
    <w:rsid w:val="58E6430A"/>
    <w:rsid w:val="58EF5BD4"/>
    <w:rsid w:val="58EF7944"/>
    <w:rsid w:val="58F5454D"/>
    <w:rsid w:val="591568FD"/>
    <w:rsid w:val="593C2781"/>
    <w:rsid w:val="59401C6C"/>
    <w:rsid w:val="595E27CE"/>
    <w:rsid w:val="596A0A97"/>
    <w:rsid w:val="59DB2093"/>
    <w:rsid w:val="59EC76FE"/>
    <w:rsid w:val="59F81164"/>
    <w:rsid w:val="5A162872"/>
    <w:rsid w:val="5A5D1CD9"/>
    <w:rsid w:val="5A925F73"/>
    <w:rsid w:val="5AA14F63"/>
    <w:rsid w:val="5ABE260E"/>
    <w:rsid w:val="5ADC327C"/>
    <w:rsid w:val="5AEA2B03"/>
    <w:rsid w:val="5B012B02"/>
    <w:rsid w:val="5B180C4A"/>
    <w:rsid w:val="5B2666D3"/>
    <w:rsid w:val="5B6A0317"/>
    <w:rsid w:val="5B861157"/>
    <w:rsid w:val="5BAC7684"/>
    <w:rsid w:val="5BAD6598"/>
    <w:rsid w:val="5BC538A4"/>
    <w:rsid w:val="5BFD5BB8"/>
    <w:rsid w:val="5C036313"/>
    <w:rsid w:val="5C0748B8"/>
    <w:rsid w:val="5C133668"/>
    <w:rsid w:val="5C25514A"/>
    <w:rsid w:val="5C2D325E"/>
    <w:rsid w:val="5C8F634E"/>
    <w:rsid w:val="5CB32755"/>
    <w:rsid w:val="5CBF734C"/>
    <w:rsid w:val="5D325688"/>
    <w:rsid w:val="5D4411D0"/>
    <w:rsid w:val="5D4810F0"/>
    <w:rsid w:val="5D98132C"/>
    <w:rsid w:val="5DA0381B"/>
    <w:rsid w:val="5DD76917"/>
    <w:rsid w:val="5DDF7CE6"/>
    <w:rsid w:val="5DF272AD"/>
    <w:rsid w:val="5DF454C7"/>
    <w:rsid w:val="5DF474C9"/>
    <w:rsid w:val="5E0045AA"/>
    <w:rsid w:val="5E3D49CC"/>
    <w:rsid w:val="5E4973EC"/>
    <w:rsid w:val="5E59187D"/>
    <w:rsid w:val="5E7B72A3"/>
    <w:rsid w:val="5E800D5D"/>
    <w:rsid w:val="5EC1237B"/>
    <w:rsid w:val="5ED05841"/>
    <w:rsid w:val="5F354FCC"/>
    <w:rsid w:val="5F7A57AC"/>
    <w:rsid w:val="5F7B794A"/>
    <w:rsid w:val="5F882BA5"/>
    <w:rsid w:val="5FA371DA"/>
    <w:rsid w:val="5FA93AF2"/>
    <w:rsid w:val="5FCB2857"/>
    <w:rsid w:val="600E24AE"/>
    <w:rsid w:val="6011523C"/>
    <w:rsid w:val="60116111"/>
    <w:rsid w:val="60213E7A"/>
    <w:rsid w:val="602C4163"/>
    <w:rsid w:val="60675064"/>
    <w:rsid w:val="6087500E"/>
    <w:rsid w:val="60893D6D"/>
    <w:rsid w:val="609516EF"/>
    <w:rsid w:val="60A24475"/>
    <w:rsid w:val="60A35657"/>
    <w:rsid w:val="60B07E28"/>
    <w:rsid w:val="60BE3BD6"/>
    <w:rsid w:val="60C970F1"/>
    <w:rsid w:val="60E279DC"/>
    <w:rsid w:val="60F174F9"/>
    <w:rsid w:val="6116093D"/>
    <w:rsid w:val="61404326"/>
    <w:rsid w:val="61435AEB"/>
    <w:rsid w:val="616B40B4"/>
    <w:rsid w:val="6177691C"/>
    <w:rsid w:val="61BE4A78"/>
    <w:rsid w:val="61E66941"/>
    <w:rsid w:val="62102389"/>
    <w:rsid w:val="621C74AB"/>
    <w:rsid w:val="6251299F"/>
    <w:rsid w:val="625D37F2"/>
    <w:rsid w:val="62613AB0"/>
    <w:rsid w:val="62C84025"/>
    <w:rsid w:val="62E775FD"/>
    <w:rsid w:val="63027F93"/>
    <w:rsid w:val="63202864"/>
    <w:rsid w:val="635B76A3"/>
    <w:rsid w:val="638E745B"/>
    <w:rsid w:val="63A744B6"/>
    <w:rsid w:val="63D0271E"/>
    <w:rsid w:val="640365F9"/>
    <w:rsid w:val="645E4059"/>
    <w:rsid w:val="647E0CF8"/>
    <w:rsid w:val="6496235A"/>
    <w:rsid w:val="64AF4ACB"/>
    <w:rsid w:val="64E4193C"/>
    <w:rsid w:val="64E576DD"/>
    <w:rsid w:val="650574E5"/>
    <w:rsid w:val="65181108"/>
    <w:rsid w:val="65515201"/>
    <w:rsid w:val="655A40B6"/>
    <w:rsid w:val="656A1560"/>
    <w:rsid w:val="65A96C9C"/>
    <w:rsid w:val="65C606B4"/>
    <w:rsid w:val="65CE7974"/>
    <w:rsid w:val="65DF0A81"/>
    <w:rsid w:val="65E64FD8"/>
    <w:rsid w:val="66264BDB"/>
    <w:rsid w:val="663065FF"/>
    <w:rsid w:val="664408C2"/>
    <w:rsid w:val="66487CBB"/>
    <w:rsid w:val="66505663"/>
    <w:rsid w:val="66C2204A"/>
    <w:rsid w:val="66CB2EDA"/>
    <w:rsid w:val="673E29E9"/>
    <w:rsid w:val="67435EF8"/>
    <w:rsid w:val="674A0C2A"/>
    <w:rsid w:val="67546D48"/>
    <w:rsid w:val="676B5837"/>
    <w:rsid w:val="677F4A41"/>
    <w:rsid w:val="67A94E81"/>
    <w:rsid w:val="67B5138B"/>
    <w:rsid w:val="67C96408"/>
    <w:rsid w:val="67D41C79"/>
    <w:rsid w:val="67E7176C"/>
    <w:rsid w:val="683832E2"/>
    <w:rsid w:val="685A242C"/>
    <w:rsid w:val="686F6ECD"/>
    <w:rsid w:val="68A55ADB"/>
    <w:rsid w:val="68E25001"/>
    <w:rsid w:val="68FA170F"/>
    <w:rsid w:val="6905258B"/>
    <w:rsid w:val="691C06C6"/>
    <w:rsid w:val="69417B15"/>
    <w:rsid w:val="694C4CC8"/>
    <w:rsid w:val="694F1A58"/>
    <w:rsid w:val="695756F1"/>
    <w:rsid w:val="69704611"/>
    <w:rsid w:val="69FD34BB"/>
    <w:rsid w:val="6A1A78C8"/>
    <w:rsid w:val="6A207729"/>
    <w:rsid w:val="6A681023"/>
    <w:rsid w:val="6AA72C66"/>
    <w:rsid w:val="6AB10A84"/>
    <w:rsid w:val="6AD26A10"/>
    <w:rsid w:val="6AED3B23"/>
    <w:rsid w:val="6B5F73CB"/>
    <w:rsid w:val="6B6E3B14"/>
    <w:rsid w:val="6B8346B7"/>
    <w:rsid w:val="6BB169FA"/>
    <w:rsid w:val="6BB362CE"/>
    <w:rsid w:val="6BE02E3B"/>
    <w:rsid w:val="6BF12D44"/>
    <w:rsid w:val="6BFE1F64"/>
    <w:rsid w:val="6C1178A0"/>
    <w:rsid w:val="6C1349BA"/>
    <w:rsid w:val="6C152AE5"/>
    <w:rsid w:val="6C2E1475"/>
    <w:rsid w:val="6C48634A"/>
    <w:rsid w:val="6C64581A"/>
    <w:rsid w:val="6C687194"/>
    <w:rsid w:val="6C6D358C"/>
    <w:rsid w:val="6C870A40"/>
    <w:rsid w:val="6C9319F9"/>
    <w:rsid w:val="6CA11ED0"/>
    <w:rsid w:val="6CBB1E1C"/>
    <w:rsid w:val="6CCA2AF4"/>
    <w:rsid w:val="6CDE0EDC"/>
    <w:rsid w:val="6D0D1A0E"/>
    <w:rsid w:val="6D1907E9"/>
    <w:rsid w:val="6D293B31"/>
    <w:rsid w:val="6D2D3750"/>
    <w:rsid w:val="6D7F429F"/>
    <w:rsid w:val="6D855C33"/>
    <w:rsid w:val="6D857B13"/>
    <w:rsid w:val="6D9D7187"/>
    <w:rsid w:val="6DAA0B7C"/>
    <w:rsid w:val="6DCB45E0"/>
    <w:rsid w:val="6DD77CE3"/>
    <w:rsid w:val="6DE2240F"/>
    <w:rsid w:val="6E133838"/>
    <w:rsid w:val="6E3A48D9"/>
    <w:rsid w:val="6E5869FF"/>
    <w:rsid w:val="6EB10EB2"/>
    <w:rsid w:val="6ECA0425"/>
    <w:rsid w:val="6ED053E9"/>
    <w:rsid w:val="6ED22F0F"/>
    <w:rsid w:val="6ED673F0"/>
    <w:rsid w:val="6F0A1E85"/>
    <w:rsid w:val="6F0B4673"/>
    <w:rsid w:val="6F313EAB"/>
    <w:rsid w:val="6F35524C"/>
    <w:rsid w:val="6F63000B"/>
    <w:rsid w:val="6F6B26EE"/>
    <w:rsid w:val="6F944668"/>
    <w:rsid w:val="6FAA5956"/>
    <w:rsid w:val="6FD37C23"/>
    <w:rsid w:val="6FE74798"/>
    <w:rsid w:val="70194B6E"/>
    <w:rsid w:val="7020475A"/>
    <w:rsid w:val="70567102"/>
    <w:rsid w:val="7069651D"/>
    <w:rsid w:val="70724FD0"/>
    <w:rsid w:val="708C533F"/>
    <w:rsid w:val="70A703CB"/>
    <w:rsid w:val="70AD2FAC"/>
    <w:rsid w:val="70BB1C19"/>
    <w:rsid w:val="70C828DF"/>
    <w:rsid w:val="70CB40BA"/>
    <w:rsid w:val="70D60A6C"/>
    <w:rsid w:val="70DF7B65"/>
    <w:rsid w:val="710B6BAC"/>
    <w:rsid w:val="71327B05"/>
    <w:rsid w:val="715A44A2"/>
    <w:rsid w:val="716963F3"/>
    <w:rsid w:val="716C0D4B"/>
    <w:rsid w:val="7173147A"/>
    <w:rsid w:val="71884DD9"/>
    <w:rsid w:val="718F48EC"/>
    <w:rsid w:val="719E2B62"/>
    <w:rsid w:val="71B70D89"/>
    <w:rsid w:val="71B7463E"/>
    <w:rsid w:val="71BA314D"/>
    <w:rsid w:val="71F82718"/>
    <w:rsid w:val="720F2993"/>
    <w:rsid w:val="72194AA4"/>
    <w:rsid w:val="724F2AC9"/>
    <w:rsid w:val="72716128"/>
    <w:rsid w:val="727750AE"/>
    <w:rsid w:val="7289422C"/>
    <w:rsid w:val="72EB0A43"/>
    <w:rsid w:val="7304729E"/>
    <w:rsid w:val="73066B67"/>
    <w:rsid w:val="73200009"/>
    <w:rsid w:val="73507BF4"/>
    <w:rsid w:val="7352461E"/>
    <w:rsid w:val="73577E87"/>
    <w:rsid w:val="73AC2C12"/>
    <w:rsid w:val="73AF381F"/>
    <w:rsid w:val="73B437EF"/>
    <w:rsid w:val="73BA30DD"/>
    <w:rsid w:val="73D54CCF"/>
    <w:rsid w:val="73FE3A90"/>
    <w:rsid w:val="74126EA2"/>
    <w:rsid w:val="74181EE7"/>
    <w:rsid w:val="7427205D"/>
    <w:rsid w:val="743E4331"/>
    <w:rsid w:val="745919DD"/>
    <w:rsid w:val="7463285B"/>
    <w:rsid w:val="746418F9"/>
    <w:rsid w:val="74693894"/>
    <w:rsid w:val="74A964C0"/>
    <w:rsid w:val="74AF32A3"/>
    <w:rsid w:val="74D24A49"/>
    <w:rsid w:val="74F014A3"/>
    <w:rsid w:val="75424BD0"/>
    <w:rsid w:val="75612DB2"/>
    <w:rsid w:val="759100DE"/>
    <w:rsid w:val="75C0221A"/>
    <w:rsid w:val="75E35636"/>
    <w:rsid w:val="75F43B41"/>
    <w:rsid w:val="76067942"/>
    <w:rsid w:val="762C4F7F"/>
    <w:rsid w:val="76337804"/>
    <w:rsid w:val="763B2320"/>
    <w:rsid w:val="76444CEC"/>
    <w:rsid w:val="76AE249B"/>
    <w:rsid w:val="76E519DB"/>
    <w:rsid w:val="77324E93"/>
    <w:rsid w:val="774643B2"/>
    <w:rsid w:val="777A0F61"/>
    <w:rsid w:val="778A02DA"/>
    <w:rsid w:val="7791148D"/>
    <w:rsid w:val="77FC2057"/>
    <w:rsid w:val="781610DB"/>
    <w:rsid w:val="783307BB"/>
    <w:rsid w:val="783764D9"/>
    <w:rsid w:val="784455EC"/>
    <w:rsid w:val="78723802"/>
    <w:rsid w:val="787918A4"/>
    <w:rsid w:val="78793C2C"/>
    <w:rsid w:val="787A45E5"/>
    <w:rsid w:val="788B7F7E"/>
    <w:rsid w:val="78A674EA"/>
    <w:rsid w:val="78AD5513"/>
    <w:rsid w:val="78BA5159"/>
    <w:rsid w:val="78BE6581"/>
    <w:rsid w:val="78D856BE"/>
    <w:rsid w:val="79056F2F"/>
    <w:rsid w:val="79224A93"/>
    <w:rsid w:val="79226841"/>
    <w:rsid w:val="79425123"/>
    <w:rsid w:val="795D5EB9"/>
    <w:rsid w:val="796228D4"/>
    <w:rsid w:val="798A0C7E"/>
    <w:rsid w:val="79967AD0"/>
    <w:rsid w:val="79A15052"/>
    <w:rsid w:val="79AB5158"/>
    <w:rsid w:val="79AE4579"/>
    <w:rsid w:val="79B3393D"/>
    <w:rsid w:val="79DC2E94"/>
    <w:rsid w:val="79F85F22"/>
    <w:rsid w:val="7A307206"/>
    <w:rsid w:val="7A671C22"/>
    <w:rsid w:val="7AB23BF5"/>
    <w:rsid w:val="7AB7745D"/>
    <w:rsid w:val="7AC80F55"/>
    <w:rsid w:val="7AD64892"/>
    <w:rsid w:val="7AE32F85"/>
    <w:rsid w:val="7AEF6ABE"/>
    <w:rsid w:val="7AF20495"/>
    <w:rsid w:val="7B2F4528"/>
    <w:rsid w:val="7BAB63FB"/>
    <w:rsid w:val="7BAC2D3A"/>
    <w:rsid w:val="7BB2318E"/>
    <w:rsid w:val="7BC8112C"/>
    <w:rsid w:val="7BCD34A8"/>
    <w:rsid w:val="7BE75B20"/>
    <w:rsid w:val="7BE82E59"/>
    <w:rsid w:val="7BE96BD1"/>
    <w:rsid w:val="7BEC0662"/>
    <w:rsid w:val="7BFA5853"/>
    <w:rsid w:val="7C037ED4"/>
    <w:rsid w:val="7C231227"/>
    <w:rsid w:val="7C232FFC"/>
    <w:rsid w:val="7C410B67"/>
    <w:rsid w:val="7C745605"/>
    <w:rsid w:val="7C9915B2"/>
    <w:rsid w:val="7CCD41CD"/>
    <w:rsid w:val="7CE4330E"/>
    <w:rsid w:val="7CE71B24"/>
    <w:rsid w:val="7D4901A3"/>
    <w:rsid w:val="7D4F7E21"/>
    <w:rsid w:val="7D7C386C"/>
    <w:rsid w:val="7DAF6E82"/>
    <w:rsid w:val="7DB26CAE"/>
    <w:rsid w:val="7E631671"/>
    <w:rsid w:val="7E7C480D"/>
    <w:rsid w:val="7E953F59"/>
    <w:rsid w:val="7EA04FEE"/>
    <w:rsid w:val="7EA61CC2"/>
    <w:rsid w:val="7EDE4583"/>
    <w:rsid w:val="7F192494"/>
    <w:rsid w:val="7F2257B7"/>
    <w:rsid w:val="7F271629"/>
    <w:rsid w:val="7F2A46A1"/>
    <w:rsid w:val="7F304011"/>
    <w:rsid w:val="7F3E014D"/>
    <w:rsid w:val="7F6D11FC"/>
    <w:rsid w:val="7F703733"/>
    <w:rsid w:val="7F79188B"/>
    <w:rsid w:val="7FAD560F"/>
    <w:rsid w:val="7FBE425D"/>
    <w:rsid w:val="7FE45F1E"/>
    <w:rsid w:val="7FFA5A77"/>
    <w:rsid w:val="7FFF458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nhideWhenUsed="0" w:uiPriority="1"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99"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qFormat/>
    <w:uiPriority w:val="0"/>
    <w:pPr>
      <w:keepNext/>
      <w:keepLines/>
      <w:spacing w:before="260" w:after="260" w:line="413" w:lineRule="auto"/>
      <w:outlineLvl w:val="1"/>
    </w:pPr>
    <w:rPr>
      <w:rFonts w:ascii="Arial" w:hAnsi="Arial" w:eastAsia="黑体"/>
      <w:b/>
      <w:sz w:val="32"/>
      <w:szCs w:val="20"/>
    </w:rPr>
  </w:style>
  <w:style w:type="paragraph" w:styleId="4">
    <w:name w:val="heading 4"/>
    <w:basedOn w:val="1"/>
    <w:next w:val="1"/>
    <w:qFormat/>
    <w:uiPriority w:val="1"/>
    <w:pPr>
      <w:spacing w:before="159"/>
      <w:ind w:left="580"/>
      <w:outlineLvl w:val="4"/>
    </w:pPr>
    <w:rPr>
      <w:rFonts w:ascii="宋体" w:hAnsi="宋体" w:eastAsia="宋体" w:cs="宋体"/>
      <w:b/>
      <w:bCs/>
      <w:sz w:val="28"/>
      <w:szCs w:val="28"/>
      <w:lang w:val="zh-CN" w:eastAsia="zh-CN" w:bidi="zh-CN"/>
    </w:rPr>
  </w:style>
  <w:style w:type="character" w:default="1" w:styleId="22">
    <w:name w:val="Default Paragraph Font"/>
    <w:semiHidden/>
    <w:qFormat/>
    <w:uiPriority w:val="0"/>
  </w:style>
  <w:style w:type="table" w:default="1" w:styleId="20">
    <w:name w:val="Normal Table"/>
    <w:semiHidden/>
    <w:qFormat/>
    <w:uiPriority w:val="0"/>
    <w:tblPr>
      <w:tblCellMar>
        <w:top w:w="0" w:type="dxa"/>
        <w:left w:w="108" w:type="dxa"/>
        <w:bottom w:w="0" w:type="dxa"/>
        <w:right w:w="108" w:type="dxa"/>
      </w:tblCellMar>
    </w:tblPr>
  </w:style>
  <w:style w:type="paragraph" w:styleId="5">
    <w:name w:val="Normal Indent"/>
    <w:basedOn w:val="1"/>
    <w:next w:val="1"/>
    <w:qFormat/>
    <w:uiPriority w:val="0"/>
    <w:pPr>
      <w:adjustRightInd w:val="0"/>
      <w:snapToGrid w:val="0"/>
      <w:spacing w:line="360" w:lineRule="auto"/>
      <w:ind w:firstLine="420" w:firstLineChars="200"/>
    </w:pPr>
    <w:rPr>
      <w:rFonts w:ascii="Times New Roman" w:hAnsi="Times New Roman" w:eastAsia="宋体"/>
      <w:sz w:val="24"/>
    </w:rPr>
  </w:style>
  <w:style w:type="paragraph" w:styleId="6">
    <w:name w:val="annotation text"/>
    <w:basedOn w:val="1"/>
    <w:qFormat/>
    <w:uiPriority w:val="0"/>
    <w:pPr>
      <w:jc w:val="left"/>
    </w:pPr>
  </w:style>
  <w:style w:type="paragraph" w:styleId="7">
    <w:name w:val="Body Text"/>
    <w:basedOn w:val="1"/>
    <w:qFormat/>
    <w:uiPriority w:val="0"/>
    <w:pPr>
      <w:widowControl/>
      <w:snapToGrid w:val="0"/>
      <w:spacing w:before="60" w:after="160" w:line="259" w:lineRule="auto"/>
      <w:ind w:right="113"/>
    </w:pPr>
    <w:rPr>
      <w:kern w:val="0"/>
      <w:sz w:val="18"/>
      <w:szCs w:val="20"/>
    </w:rPr>
  </w:style>
  <w:style w:type="paragraph" w:styleId="8">
    <w:name w:val="Body Text Indent"/>
    <w:basedOn w:val="1"/>
    <w:qFormat/>
    <w:uiPriority w:val="0"/>
    <w:pPr>
      <w:spacing w:after="120"/>
      <w:ind w:left="420" w:leftChars="200"/>
    </w:pPr>
    <w:rPr>
      <w:kern w:val="0"/>
      <w:sz w:val="24"/>
      <w:szCs w:val="20"/>
    </w:rPr>
  </w:style>
  <w:style w:type="paragraph" w:styleId="9">
    <w:name w:val="Plain Text"/>
    <w:basedOn w:val="1"/>
    <w:qFormat/>
    <w:uiPriority w:val="0"/>
    <w:rPr>
      <w:rFonts w:ascii="宋体" w:hAnsi="Courier New" w:cs="Courier New"/>
      <w:sz w:val="21"/>
      <w:szCs w:val="21"/>
    </w:rPr>
  </w:style>
  <w:style w:type="paragraph" w:styleId="10">
    <w:name w:val="Body Text Indent 2"/>
    <w:basedOn w:val="1"/>
    <w:qFormat/>
    <w:uiPriority w:val="0"/>
    <w:pPr>
      <w:spacing w:line="440" w:lineRule="exact"/>
      <w:ind w:firstLine="482"/>
    </w:pPr>
    <w:rPr>
      <w:b/>
      <w:color w:val="FF0000"/>
      <w:spacing w:val="4"/>
      <w:sz w:val="24"/>
    </w:rPr>
  </w:style>
  <w:style w:type="paragraph" w:styleId="11">
    <w:name w:val="footer"/>
    <w:basedOn w:val="1"/>
    <w:next w:val="1"/>
    <w:qFormat/>
    <w:uiPriority w:val="0"/>
    <w:pPr>
      <w:tabs>
        <w:tab w:val="center" w:pos="4153"/>
        <w:tab w:val="right" w:pos="8306"/>
      </w:tabs>
      <w:snapToGrid w:val="0"/>
      <w:jc w:val="left"/>
    </w:pPr>
    <w:rPr>
      <w:sz w:val="18"/>
    </w:rPr>
  </w:style>
  <w:style w:type="paragraph" w:styleId="12">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3">
    <w:name w:val="toc 1"/>
    <w:basedOn w:val="1"/>
    <w:next w:val="1"/>
    <w:semiHidden/>
    <w:qFormat/>
    <w:uiPriority w:val="99"/>
  </w:style>
  <w:style w:type="paragraph" w:styleId="14">
    <w:name w:val="List"/>
    <w:basedOn w:val="1"/>
    <w:next w:val="1"/>
    <w:qFormat/>
    <w:uiPriority w:val="0"/>
    <w:pPr>
      <w:ind w:left="200" w:hanging="200" w:hangingChars="200"/>
    </w:pPr>
    <w:rPr>
      <w:rFonts w:ascii="Times New Roman" w:hAnsi="Times New Roman"/>
    </w:rPr>
  </w:style>
  <w:style w:type="paragraph" w:styleId="15">
    <w:name w:val="Body Text 2"/>
    <w:basedOn w:val="1"/>
    <w:next w:val="1"/>
    <w:qFormat/>
    <w:uiPriority w:val="0"/>
    <w:pPr>
      <w:spacing w:line="360" w:lineRule="auto"/>
      <w:jc w:val="left"/>
    </w:pPr>
    <w:rPr>
      <w:sz w:val="24"/>
    </w:rPr>
  </w:style>
  <w:style w:type="paragraph" w:styleId="16">
    <w:name w:val="Normal (Web)"/>
    <w:basedOn w:val="1"/>
    <w:qFormat/>
    <w:uiPriority w:val="0"/>
    <w:pPr>
      <w:widowControl/>
      <w:spacing w:before="100" w:beforeAutospacing="1" w:after="100" w:afterAutospacing="1"/>
      <w:jc w:val="left"/>
    </w:pPr>
    <w:rPr>
      <w:rFonts w:ascii="宋体" w:hAnsi="宋体"/>
      <w:kern w:val="0"/>
      <w:sz w:val="24"/>
    </w:rPr>
  </w:style>
  <w:style w:type="paragraph" w:styleId="17">
    <w:name w:val="Title"/>
    <w:basedOn w:val="1"/>
    <w:next w:val="1"/>
    <w:qFormat/>
    <w:uiPriority w:val="0"/>
    <w:pPr>
      <w:spacing w:before="240" w:after="60"/>
      <w:jc w:val="center"/>
      <w:outlineLvl w:val="0"/>
    </w:pPr>
    <w:rPr>
      <w:rFonts w:ascii="Cambria" w:hAnsi="Cambria" w:eastAsia="宋体" w:cs="Times New Roman"/>
      <w:b/>
      <w:bCs/>
      <w:sz w:val="32"/>
      <w:szCs w:val="32"/>
    </w:rPr>
  </w:style>
  <w:style w:type="paragraph" w:styleId="18">
    <w:name w:val="Body Text First Indent"/>
    <w:basedOn w:val="7"/>
    <w:qFormat/>
    <w:uiPriority w:val="0"/>
    <w:pPr>
      <w:ind w:firstLine="420" w:firstLineChars="100"/>
    </w:pPr>
  </w:style>
  <w:style w:type="paragraph" w:styleId="19">
    <w:name w:val="Body Text First Indent 2"/>
    <w:basedOn w:val="1"/>
    <w:next w:val="1"/>
    <w:qFormat/>
    <w:uiPriority w:val="0"/>
    <w:pPr>
      <w:spacing w:line="520" w:lineRule="exact"/>
      <w:ind w:firstLine="420" w:firstLineChars="200"/>
    </w:pPr>
    <w:rPr>
      <w:sz w:val="24"/>
    </w:rPr>
  </w:style>
  <w:style w:type="table" w:styleId="21">
    <w:name w:val="Table Grid"/>
    <w:basedOn w:val="2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Strong"/>
    <w:basedOn w:val="22"/>
    <w:qFormat/>
    <w:uiPriority w:val="0"/>
    <w:rPr>
      <w:b/>
    </w:rPr>
  </w:style>
  <w:style w:type="paragraph" w:customStyle="1" w:styleId="24">
    <w:name w:val="样式5"/>
    <w:basedOn w:val="25"/>
    <w:qFormat/>
    <w:uiPriority w:val="0"/>
    <w:pPr>
      <w:snapToGrid w:val="0"/>
      <w:spacing w:line="360" w:lineRule="auto"/>
      <w:ind w:firstLine="510"/>
    </w:pPr>
  </w:style>
  <w:style w:type="paragraph" w:customStyle="1" w:styleId="25">
    <w:name w:val="样式3"/>
    <w:basedOn w:val="14"/>
    <w:next w:val="7"/>
    <w:qFormat/>
    <w:uiPriority w:val="0"/>
    <w:pPr>
      <w:snapToGrid w:val="0"/>
      <w:ind w:firstLine="539"/>
      <w:jc w:val="center"/>
    </w:pPr>
    <w:rPr>
      <w:rFonts w:ascii="黑体" w:hAnsi="宋体" w:eastAsia="黑体"/>
      <w:color w:val="000000"/>
      <w:sz w:val="24"/>
    </w:rPr>
  </w:style>
  <w:style w:type="paragraph" w:customStyle="1" w:styleId="26">
    <w:name w:val="Default"/>
    <w:basedOn w:val="27"/>
    <w:next w:val="28"/>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27">
    <w:name w:val="批注文字1"/>
    <w:qFormat/>
    <w:uiPriority w:val="0"/>
    <w:pPr>
      <w:widowControl w:val="0"/>
    </w:pPr>
    <w:rPr>
      <w:rFonts w:ascii="Times New Roman" w:hAnsi="Times New Roman" w:eastAsia="宋体" w:cs="Times New Roman"/>
      <w:color w:val="000000"/>
      <w:kern w:val="2"/>
      <w:sz w:val="21"/>
      <w:szCs w:val="24"/>
      <w:lang w:val="en-US" w:eastAsia="zh-CN" w:bidi="ar-SA"/>
    </w:rPr>
  </w:style>
  <w:style w:type="paragraph" w:customStyle="1" w:styleId="28">
    <w:name w:val="表格文字"/>
    <w:basedOn w:val="29"/>
    <w:qFormat/>
    <w:uiPriority w:val="0"/>
    <w:pPr>
      <w:tabs>
        <w:tab w:val="left" w:pos="540"/>
        <w:tab w:val="left" w:pos="1080"/>
        <w:tab w:val="left" w:pos="1260"/>
        <w:tab w:val="left" w:pos="1440"/>
        <w:tab w:val="left" w:pos="2296"/>
        <w:tab w:val="center" w:pos="4309"/>
      </w:tabs>
      <w:snapToGrid w:val="0"/>
      <w:spacing w:line="0" w:lineRule="atLeast"/>
      <w:ind w:firstLine="0"/>
      <w:jc w:val="center"/>
    </w:pPr>
    <w:rPr>
      <w:color w:val="000000"/>
      <w:kern w:val="0"/>
      <w:sz w:val="21"/>
      <w:szCs w:val="28"/>
    </w:rPr>
  </w:style>
  <w:style w:type="paragraph" w:customStyle="1" w:styleId="29">
    <w:name w:val="表头"/>
    <w:basedOn w:val="1"/>
    <w:next w:val="30"/>
    <w:qFormat/>
    <w:uiPriority w:val="0"/>
    <w:pPr>
      <w:tabs>
        <w:tab w:val="left" w:pos="540"/>
        <w:tab w:val="left" w:pos="1080"/>
        <w:tab w:val="left" w:pos="1260"/>
        <w:tab w:val="left" w:pos="1440"/>
        <w:tab w:val="left" w:pos="2296"/>
        <w:tab w:val="center" w:pos="4309"/>
      </w:tabs>
      <w:adjustRightInd w:val="0"/>
      <w:snapToGrid w:val="0"/>
      <w:spacing w:line="500" w:lineRule="exact"/>
      <w:ind w:firstLine="0"/>
      <w:jc w:val="center"/>
    </w:pPr>
    <w:rPr>
      <w:b/>
      <w:bCs/>
      <w:kern w:val="0"/>
    </w:rPr>
  </w:style>
  <w:style w:type="paragraph" w:customStyle="1" w:styleId="30">
    <w:name w:val="报告正文"/>
    <w:basedOn w:val="1"/>
    <w:qFormat/>
    <w:uiPriority w:val="0"/>
    <w:pPr>
      <w:spacing w:line="500" w:lineRule="atLeast"/>
      <w:ind w:firstLine="200"/>
      <w:jc w:val="both"/>
    </w:pPr>
    <w:rPr>
      <w:rFonts w:ascii="Times New Roman" w:hAnsi="Times New Roman" w:eastAsia="宋体"/>
      <w:kern w:val="2"/>
      <w:sz w:val="24"/>
      <w:szCs w:val="20"/>
    </w:rPr>
  </w:style>
  <w:style w:type="table" w:customStyle="1" w:styleId="31">
    <w:name w:val="Table Normal"/>
    <w:unhideWhenUsed/>
    <w:qFormat/>
    <w:uiPriority w:val="0"/>
    <w:tblPr>
      <w:tblCellMar>
        <w:top w:w="0" w:type="dxa"/>
        <w:left w:w="0" w:type="dxa"/>
        <w:bottom w:w="0" w:type="dxa"/>
        <w:right w:w="0" w:type="dxa"/>
      </w:tblCellMar>
    </w:tblPr>
  </w:style>
  <w:style w:type="paragraph" w:customStyle="1" w:styleId="32">
    <w:name w:val="0正文"/>
    <w:basedOn w:val="8"/>
    <w:qFormat/>
    <w:uiPriority w:val="0"/>
    <w:pPr>
      <w:spacing w:line="360" w:lineRule="auto"/>
      <w:ind w:firstLine="480"/>
    </w:pPr>
    <w:rPr>
      <w:kern w:val="0"/>
      <w:szCs w:val="20"/>
    </w:rPr>
  </w:style>
  <w:style w:type="paragraph" w:customStyle="1" w:styleId="33">
    <w:name w:val="Table Paragraph"/>
    <w:basedOn w:val="1"/>
    <w:qFormat/>
    <w:uiPriority w:val="1"/>
    <w:rPr>
      <w:rFonts w:ascii="宋体" w:hAnsi="宋体" w:eastAsia="宋体" w:cs="宋体"/>
      <w:lang w:val="zh-CN" w:eastAsia="zh-CN" w:bidi="zh-CN"/>
    </w:rPr>
  </w:style>
  <w:style w:type="paragraph" w:styleId="34">
    <w:name w:val="List Paragraph"/>
    <w:basedOn w:val="1"/>
    <w:qFormat/>
    <w:uiPriority w:val="34"/>
    <w:pPr>
      <w:ind w:firstLine="420" w:firstLineChars="200"/>
    </w:pPr>
  </w:style>
  <w:style w:type="paragraph" w:customStyle="1" w:styleId="35">
    <w:name w:val="新格式表"/>
    <w:basedOn w:val="1"/>
    <w:qFormat/>
    <w:uiPriority w:val="0"/>
    <w:pPr>
      <w:adjustRightInd w:val="0"/>
      <w:snapToGrid w:val="0"/>
      <w:spacing w:line="0" w:lineRule="atLeast"/>
      <w:jc w:val="center"/>
    </w:pPr>
    <w:rPr>
      <w:rFonts w:ascii="Times New Roman" w:hAnsi="Times New Roman"/>
      <w:color w:val="000000"/>
      <w:kern w:val="0"/>
      <w:szCs w:val="21"/>
    </w:rPr>
  </w:style>
  <w:style w:type="paragraph" w:customStyle="1" w:styleId="36">
    <w:name w:val="表格正文"/>
    <w:basedOn w:val="1"/>
    <w:qFormat/>
    <w:uiPriority w:val="0"/>
    <w:pPr>
      <w:adjustRightInd w:val="0"/>
      <w:snapToGrid w:val="0"/>
      <w:spacing w:line="360" w:lineRule="auto"/>
      <w:ind w:firstLine="200" w:firstLineChars="200"/>
      <w:jc w:val="center"/>
    </w:pPr>
    <w:rPr>
      <w:sz w:val="24"/>
      <w:szCs w:val="24"/>
    </w:rPr>
  </w:style>
  <w:style w:type="paragraph" w:customStyle="1" w:styleId="37">
    <w:name w:val="表头111"/>
    <w:basedOn w:val="1"/>
    <w:qFormat/>
    <w:uiPriority w:val="0"/>
    <w:pPr>
      <w:numPr>
        <w:ilvl w:val="0"/>
        <w:numId w:val="1"/>
      </w:numPr>
      <w:ind w:left="420" w:hanging="420"/>
      <w:jc w:val="center"/>
    </w:pPr>
    <w:rPr>
      <w:b/>
      <w:sz w:val="24"/>
      <w:szCs w:val="21"/>
    </w:rPr>
  </w:style>
  <w:style w:type="paragraph" w:customStyle="1" w:styleId="38">
    <w:name w:val="Table Text"/>
    <w:basedOn w:val="1"/>
    <w:semiHidden/>
    <w:qFormat/>
    <w:uiPriority w:val="0"/>
    <w:rPr>
      <w:rFonts w:ascii="黑体" w:hAnsi="黑体" w:eastAsia="黑体" w:cs="黑体"/>
      <w:sz w:val="28"/>
      <w:szCs w:val="28"/>
      <w:lang w:val="en-US" w:eastAsia="en-US" w:bidi="ar-SA"/>
    </w:rPr>
  </w:style>
  <w:style w:type="paragraph" w:customStyle="1" w:styleId="39">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40">
    <w:name w:val="章标题"/>
    <w:next w:val="39"/>
    <w:qFormat/>
    <w:uiPriority w:val="0"/>
    <w:pPr>
      <w:spacing w:beforeLines="50" w:afterLines="50"/>
      <w:jc w:val="both"/>
      <w:outlineLvl w:val="1"/>
    </w:pPr>
    <w:rPr>
      <w:rFonts w:ascii="黑体" w:hAnsi="Calibri" w:eastAsia="黑体" w:cs="Times New Roman"/>
      <w:sz w:val="21"/>
      <w:lang w:val="en-US" w:eastAsia="zh-CN" w:bidi="ar-SA"/>
    </w:rPr>
  </w:style>
  <w:style w:type="character" w:customStyle="1" w:styleId="41">
    <w:name w:val="font31"/>
    <w:basedOn w:val="22"/>
    <w:qFormat/>
    <w:uiPriority w:val="0"/>
    <w:rPr>
      <w:rFonts w:ascii="楷体_GB2312" w:eastAsia="楷体_GB2312" w:cs="楷体_GB2312"/>
      <w:b/>
      <w:bCs/>
      <w:color w:val="000000"/>
      <w:sz w:val="26"/>
      <w:szCs w:val="26"/>
      <w:u w:val="none"/>
    </w:rPr>
  </w:style>
  <w:style w:type="character" w:customStyle="1" w:styleId="42">
    <w:name w:val="font21"/>
    <w:basedOn w:val="22"/>
    <w:qFormat/>
    <w:uiPriority w:val="0"/>
    <w:rPr>
      <w:rFonts w:hint="default" w:ascii="Times New Roman" w:hAnsi="Times New Roman" w:cs="Times New Roman"/>
      <w:b/>
      <w:bCs/>
      <w:color w:val="000000"/>
      <w:sz w:val="26"/>
      <w:szCs w:val="26"/>
      <w:u w:val="none"/>
    </w:rPr>
  </w:style>
  <w:style w:type="character" w:customStyle="1" w:styleId="43">
    <w:name w:val="font71"/>
    <w:basedOn w:val="22"/>
    <w:qFormat/>
    <w:uiPriority w:val="0"/>
    <w:rPr>
      <w:rFonts w:hint="default" w:ascii="楷体_GB2312" w:eastAsia="楷体_GB2312" w:cs="楷体_GB2312"/>
      <w:color w:val="000000"/>
      <w:sz w:val="26"/>
      <w:szCs w:val="26"/>
      <w:u w:val="none"/>
    </w:rPr>
  </w:style>
  <w:style w:type="character" w:customStyle="1" w:styleId="44">
    <w:name w:val="font81"/>
    <w:basedOn w:val="22"/>
    <w:qFormat/>
    <w:uiPriority w:val="0"/>
    <w:rPr>
      <w:rFonts w:hint="default" w:ascii="楷体_GB2312" w:eastAsia="楷体_GB2312" w:cs="楷体_GB2312"/>
      <w:color w:val="000000"/>
      <w:sz w:val="26"/>
      <w:szCs w:val="26"/>
      <w:u w:val="none"/>
    </w:rPr>
  </w:style>
  <w:style w:type="character" w:customStyle="1" w:styleId="45">
    <w:name w:val="font41"/>
    <w:basedOn w:val="22"/>
    <w:qFormat/>
    <w:uiPriority w:val="0"/>
    <w:rPr>
      <w:rFonts w:ascii="楷体_GB2312" w:eastAsia="楷体_GB2312" w:cs="楷体_GB2312"/>
      <w:b/>
      <w:bCs/>
      <w:color w:val="000000"/>
      <w:sz w:val="26"/>
      <w:szCs w:val="26"/>
      <w:u w:val="none"/>
    </w:rPr>
  </w:style>
  <w:style w:type="character" w:customStyle="1" w:styleId="46">
    <w:name w:val="font61"/>
    <w:basedOn w:val="22"/>
    <w:qFormat/>
    <w:uiPriority w:val="0"/>
    <w:rPr>
      <w:rFonts w:hint="default" w:ascii="楷体_GB2312" w:eastAsia="楷体_GB2312" w:cs="楷体_GB2312"/>
      <w:color w:val="000000"/>
      <w:sz w:val="28"/>
      <w:szCs w:val="28"/>
      <w:u w:val="none"/>
    </w:rPr>
  </w:style>
  <w:style w:type="character" w:customStyle="1" w:styleId="47">
    <w:name w:val="font91"/>
    <w:basedOn w:val="22"/>
    <w:qFormat/>
    <w:uiPriority w:val="0"/>
    <w:rPr>
      <w:rFonts w:hint="default" w:ascii="Times New Roman" w:hAnsi="Times New Roman" w:cs="Times New Roman"/>
      <w:color w:val="000000"/>
      <w:sz w:val="28"/>
      <w:szCs w:val="28"/>
      <w:u w:val="none"/>
    </w:rPr>
  </w:style>
  <w:style w:type="paragraph" w:customStyle="1" w:styleId="48">
    <w:name w:val="表内文字五号"/>
    <w:basedOn w:val="1"/>
    <w:qFormat/>
    <w:uiPriority w:val="0"/>
    <w:pPr>
      <w:spacing w:line="240" w:lineRule="auto"/>
      <w:ind w:firstLine="0" w:firstLineChars="0"/>
      <w:jc w:val="center"/>
    </w:pPr>
    <w:rPr>
      <w:kern w:val="0"/>
      <w:sz w:val="21"/>
      <w:szCs w:val="21"/>
    </w:rPr>
  </w:style>
  <w:style w:type="paragraph" w:customStyle="1" w:styleId="49">
    <w:name w:val="表内五号"/>
    <w:basedOn w:val="1"/>
    <w:qFormat/>
    <w:uiPriority w:val="0"/>
    <w:pPr>
      <w:spacing w:line="288" w:lineRule="auto"/>
      <w:ind w:firstLine="0" w:firstLineChars="0"/>
      <w:jc w:val="center"/>
    </w:pPr>
    <w:rPr>
      <w:sz w:val="21"/>
    </w:rPr>
  </w:style>
  <w:style w:type="paragraph" w:customStyle="1" w:styleId="50">
    <w:name w:val="表头文字"/>
    <w:basedOn w:val="1"/>
    <w:next w:val="1"/>
    <w:qFormat/>
    <w:uiPriority w:val="0"/>
    <w:pPr>
      <w:kinsoku/>
      <w:autoSpaceDE/>
      <w:autoSpaceDN/>
      <w:spacing w:beforeLines="50" w:after="100" w:afterAutospacing="1"/>
      <w:jc w:val="center"/>
      <w:textAlignment w:val="auto"/>
    </w:pPr>
    <w:rPr>
      <w:rFonts w:ascii="Times New Roman" w:hAnsi="Times New Roman" w:eastAsia="宋体" w:cs="Times New Roman"/>
      <w:b/>
      <w:snapToGrid/>
      <w:color w:val="auto"/>
      <w:lang w:eastAsia="zh-CN"/>
    </w:rPr>
  </w:style>
  <w:style w:type="paragraph" w:customStyle="1" w:styleId="51">
    <w:name w:val="报告表正文"/>
    <w:basedOn w:val="30"/>
    <w:qFormat/>
    <w:uiPriority w:val="0"/>
    <w:pPr>
      <w:kinsoku/>
      <w:topLinePunct/>
      <w:autoSpaceDE/>
      <w:autoSpaceDN/>
      <w:spacing w:line="400" w:lineRule="exact"/>
      <w:ind w:left="20" w:leftChars="20" w:right="20" w:rightChars="20"/>
    </w:pPr>
    <w:rPr>
      <w:rFonts w:eastAsiaTheme="minorEastAsia"/>
      <w:sz w:val="21"/>
      <w:lang w:eastAsia="zh-CN"/>
    </w:rPr>
  </w:style>
  <w:style w:type="paragraph" w:customStyle="1" w:styleId="52">
    <w:name w:val="报告表表头"/>
    <w:basedOn w:val="29"/>
    <w:qFormat/>
    <w:uiPriority w:val="0"/>
    <w:pPr>
      <w:topLinePunct/>
      <w:spacing w:line="400" w:lineRule="atLeast"/>
      <w:ind w:firstLine="0" w:firstLineChars="0"/>
    </w:pPr>
    <w:rPr>
      <w:rFonts w:eastAsiaTheme="minorEastAsia"/>
      <w:lang w:eastAsia="zh-CN"/>
    </w:rPr>
  </w:style>
  <w:style w:type="paragraph" w:customStyle="1" w:styleId="53">
    <w:name w:val="图片"/>
    <w:basedOn w:val="1"/>
    <w:next w:val="30"/>
    <w:qFormat/>
    <w:uiPriority w:val="0"/>
    <w:pPr>
      <w:widowControl w:val="0"/>
      <w:spacing w:before="50" w:beforeLines="50" w:line="240" w:lineRule="auto"/>
      <w:ind w:firstLine="0" w:firstLineChars="0"/>
      <w:jc w:val="center"/>
    </w:pPr>
    <w:rPr>
      <w:rFonts w:ascii="Times New Roman" w:hAnsi="Times New Roman"/>
      <w:kern w:val="2"/>
    </w:rPr>
  </w:style>
  <w:style w:type="paragraph" w:customStyle="1" w:styleId="54">
    <w:name w:val="图底文字"/>
    <w:basedOn w:val="1"/>
    <w:next w:val="30"/>
    <w:qFormat/>
    <w:uiPriority w:val="0"/>
    <w:pPr>
      <w:widowControl w:val="0"/>
      <w:spacing w:line="240" w:lineRule="auto"/>
      <w:ind w:firstLine="0" w:firstLineChars="0"/>
      <w:jc w:val="center"/>
    </w:pPr>
    <w:rPr>
      <w:rFonts w:ascii="Times New Roman" w:hAnsi="Times New Roman" w:cs="Times New Roman" w:eastAsiaTheme="minorEastAsia"/>
      <w:b/>
      <w:kern w:val="2"/>
    </w:rPr>
  </w:style>
  <w:style w:type="paragraph" w:customStyle="1" w:styleId="55">
    <w:name w:val="￥正文"/>
    <w:basedOn w:val="1"/>
    <w:qFormat/>
    <w:uiPriority w:val="0"/>
    <w:pPr>
      <w:widowControl w:val="0"/>
      <w:kinsoku/>
      <w:autoSpaceDE/>
      <w:autoSpaceDN/>
      <w:spacing w:before="100" w:beforeAutospacing="1" w:after="120" w:line="440" w:lineRule="atLeast"/>
      <w:ind w:firstLine="560"/>
      <w:jc w:val="both"/>
      <w:textAlignment w:val="auto"/>
    </w:pPr>
    <w:rPr>
      <w:rFonts w:ascii="宋体" w:hAnsi="宋体" w:eastAsia="仿宋_GB2312" w:cs="Times New Roman"/>
      <w:snapToGrid/>
      <w:color w:val="auto"/>
      <w:sz w:val="24"/>
      <w:szCs w:val="24"/>
      <w:lang w:eastAsia="zh-CN"/>
    </w:rPr>
  </w:style>
  <w:style w:type="paragraph" w:customStyle="1" w:styleId="56">
    <w:name w:val="标题二"/>
    <w:basedOn w:val="1"/>
    <w:next w:val="30"/>
    <w:qFormat/>
    <w:uiPriority w:val="6"/>
    <w:pPr>
      <w:keepNext/>
      <w:keepLines/>
      <w:widowControl w:val="0"/>
      <w:numPr>
        <w:ilvl w:val="1"/>
        <w:numId w:val="2"/>
      </w:numPr>
      <w:spacing w:line="500" w:lineRule="atLeast"/>
      <w:ind w:firstLineChars="0"/>
      <w:outlineLvl w:val="1"/>
    </w:pPr>
    <w:rPr>
      <w:rFonts w:ascii="Times New Roman" w:hAnsi="Times New Roman" w:eastAsia="宋体" w:cs="Times New Roman"/>
      <w:b/>
      <w:color w:val="000000" w:themeColor="text1"/>
      <w:kern w:val="2"/>
      <w:sz w:val="28"/>
      <w:szCs w:val="28"/>
      <w:lang w:val="zh-CN"/>
      <w14:textFill>
        <w14:solidFill>
          <w14:schemeClr w14:val="tx1"/>
        </w14:solidFill>
      </w14:textFill>
    </w:rPr>
  </w:style>
  <w:style w:type="paragraph" w:customStyle="1" w:styleId="57">
    <w:name w:val="标题三"/>
    <w:basedOn w:val="1"/>
    <w:next w:val="30"/>
    <w:qFormat/>
    <w:uiPriority w:val="6"/>
    <w:pPr>
      <w:keepNext/>
      <w:keepLines/>
      <w:widowControl w:val="0"/>
      <w:numPr>
        <w:ilvl w:val="2"/>
        <w:numId w:val="2"/>
      </w:numPr>
      <w:spacing w:line="500" w:lineRule="atLeast"/>
      <w:ind w:firstLineChars="0"/>
      <w:outlineLvl w:val="2"/>
    </w:pPr>
    <w:rPr>
      <w:rFonts w:eastAsia="宋体" w:cs="Times New Roman" w:asciiTheme="minorEastAsia" w:hAnsiTheme="minorEastAsia"/>
      <w:b/>
      <w:bCs/>
      <w:sz w:val="24"/>
      <w:szCs w:val="32"/>
    </w:rPr>
  </w:style>
  <w:style w:type="character" w:customStyle="1" w:styleId="58">
    <w:name w:val="15"/>
    <w:basedOn w:val="22"/>
    <w:qFormat/>
    <w:uiPriority w:val="0"/>
    <w:rPr>
      <w:rFonts w:hint="eastAsia" w:ascii="宋体" w:hAnsi="宋体" w:eastAsia="宋体" w:cstheme="minorBidi"/>
      <w:color w:val="000000"/>
      <w:sz w:val="22"/>
      <w:szCs w:val="22"/>
    </w:rPr>
  </w:style>
  <w:style w:type="character" w:customStyle="1" w:styleId="59">
    <w:name w:val="16"/>
    <w:basedOn w:val="22"/>
    <w:qFormat/>
    <w:uiPriority w:val="0"/>
    <w:rPr>
      <w:rFonts w:hint="eastAsia" w:ascii="宋体" w:hAnsi="宋体" w:eastAsia="宋体" w:cstheme="minorBidi"/>
      <w:color w:val="000000"/>
      <w:sz w:val="22"/>
      <w:szCs w:val="22"/>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4" Type="http://schemas.openxmlformats.org/officeDocument/2006/relationships/fontTable" Target="fontTable.xml"/><Relationship Id="rId83" Type="http://schemas.openxmlformats.org/officeDocument/2006/relationships/customXml" Target="../customXml/item2.xml"/><Relationship Id="rId82" Type="http://schemas.openxmlformats.org/officeDocument/2006/relationships/numbering" Target="numbering.xml"/><Relationship Id="rId81" Type="http://schemas.openxmlformats.org/officeDocument/2006/relationships/customXml" Target="../customXml/item1.xml"/><Relationship Id="rId80" Type="http://schemas.openxmlformats.org/officeDocument/2006/relationships/image" Target="media/image63.png"/><Relationship Id="rId8" Type="http://schemas.openxmlformats.org/officeDocument/2006/relationships/footer" Target="footer6.xml"/><Relationship Id="rId79" Type="http://schemas.openxmlformats.org/officeDocument/2006/relationships/image" Target="media/image62.png"/><Relationship Id="rId78" Type="http://schemas.openxmlformats.org/officeDocument/2006/relationships/image" Target="media/image61.png"/><Relationship Id="rId77" Type="http://schemas.openxmlformats.org/officeDocument/2006/relationships/image" Target="media/image60.png"/><Relationship Id="rId76" Type="http://schemas.openxmlformats.org/officeDocument/2006/relationships/image" Target="media/image59.png"/><Relationship Id="rId75" Type="http://schemas.openxmlformats.org/officeDocument/2006/relationships/image" Target="media/image58.png"/><Relationship Id="rId74" Type="http://schemas.openxmlformats.org/officeDocument/2006/relationships/image" Target="media/image57.png"/><Relationship Id="rId73" Type="http://schemas.openxmlformats.org/officeDocument/2006/relationships/image" Target="media/image56.png"/><Relationship Id="rId72" Type="http://schemas.openxmlformats.org/officeDocument/2006/relationships/image" Target="media/image55.png"/><Relationship Id="rId71" Type="http://schemas.openxmlformats.org/officeDocument/2006/relationships/image" Target="media/image54.png"/><Relationship Id="rId70" Type="http://schemas.openxmlformats.org/officeDocument/2006/relationships/image" Target="media/image53.png"/><Relationship Id="rId7" Type="http://schemas.openxmlformats.org/officeDocument/2006/relationships/footer" Target="footer5.xml"/><Relationship Id="rId69" Type="http://schemas.openxmlformats.org/officeDocument/2006/relationships/image" Target="media/image52.png"/><Relationship Id="rId68" Type="http://schemas.openxmlformats.org/officeDocument/2006/relationships/image" Target="media/image51.png"/><Relationship Id="rId67" Type="http://schemas.openxmlformats.org/officeDocument/2006/relationships/image" Target="media/image50.png"/><Relationship Id="rId66" Type="http://schemas.openxmlformats.org/officeDocument/2006/relationships/image" Target="media/image49.png"/><Relationship Id="rId65" Type="http://schemas.openxmlformats.org/officeDocument/2006/relationships/image" Target="media/image48.png"/><Relationship Id="rId64" Type="http://schemas.openxmlformats.org/officeDocument/2006/relationships/image" Target="media/image47.png"/><Relationship Id="rId63" Type="http://schemas.openxmlformats.org/officeDocument/2006/relationships/image" Target="media/image46.png"/><Relationship Id="rId62" Type="http://schemas.openxmlformats.org/officeDocument/2006/relationships/image" Target="media/image45.png"/><Relationship Id="rId61" Type="http://schemas.openxmlformats.org/officeDocument/2006/relationships/image" Target="media/image44.png"/><Relationship Id="rId60" Type="http://schemas.openxmlformats.org/officeDocument/2006/relationships/image" Target="media/image43.png"/><Relationship Id="rId6" Type="http://schemas.openxmlformats.org/officeDocument/2006/relationships/footer" Target="footer4.xml"/><Relationship Id="rId59" Type="http://schemas.openxmlformats.org/officeDocument/2006/relationships/image" Target="media/image42.png"/><Relationship Id="rId58" Type="http://schemas.openxmlformats.org/officeDocument/2006/relationships/image" Target="media/image41.png"/><Relationship Id="rId57" Type="http://schemas.openxmlformats.org/officeDocument/2006/relationships/image" Target="media/image40.png"/><Relationship Id="rId56" Type="http://schemas.openxmlformats.org/officeDocument/2006/relationships/image" Target="media/image39.png"/><Relationship Id="rId55" Type="http://schemas.openxmlformats.org/officeDocument/2006/relationships/image" Target="media/image38.png"/><Relationship Id="rId54" Type="http://schemas.openxmlformats.org/officeDocument/2006/relationships/image" Target="media/image37.png"/><Relationship Id="rId53" Type="http://schemas.openxmlformats.org/officeDocument/2006/relationships/image" Target="media/image36.png"/><Relationship Id="rId52" Type="http://schemas.openxmlformats.org/officeDocument/2006/relationships/image" Target="media/image35.png"/><Relationship Id="rId51" Type="http://schemas.openxmlformats.org/officeDocument/2006/relationships/image" Target="media/image34.png"/><Relationship Id="rId50" Type="http://schemas.openxmlformats.org/officeDocument/2006/relationships/image" Target="media/image33.png"/><Relationship Id="rId5" Type="http://schemas.openxmlformats.org/officeDocument/2006/relationships/footer" Target="footer3.xml"/><Relationship Id="rId49" Type="http://schemas.openxmlformats.org/officeDocument/2006/relationships/image" Target="media/image32.png"/><Relationship Id="rId48" Type="http://schemas.openxmlformats.org/officeDocument/2006/relationships/image" Target="media/image31.png"/><Relationship Id="rId47" Type="http://schemas.openxmlformats.org/officeDocument/2006/relationships/image" Target="media/image30.png"/><Relationship Id="rId46" Type="http://schemas.openxmlformats.org/officeDocument/2006/relationships/image" Target="media/image29.png"/><Relationship Id="rId45" Type="http://schemas.openxmlformats.org/officeDocument/2006/relationships/image" Target="media/image28.png"/><Relationship Id="rId44" Type="http://schemas.openxmlformats.org/officeDocument/2006/relationships/image" Target="media/image27.jpeg"/><Relationship Id="rId43" Type="http://schemas.openxmlformats.org/officeDocument/2006/relationships/image" Target="media/image26.jpeg"/><Relationship Id="rId42" Type="http://schemas.openxmlformats.org/officeDocument/2006/relationships/image" Target="media/image25.png"/><Relationship Id="rId41" Type="http://schemas.openxmlformats.org/officeDocument/2006/relationships/image" Target="media/image24.jpeg"/><Relationship Id="rId40" Type="http://schemas.openxmlformats.org/officeDocument/2006/relationships/image" Target="media/image23.jpeg"/><Relationship Id="rId4" Type="http://schemas.openxmlformats.org/officeDocument/2006/relationships/footer" Target="footer2.xml"/><Relationship Id="rId39" Type="http://schemas.openxmlformats.org/officeDocument/2006/relationships/image" Target="media/image22.jpeg"/><Relationship Id="rId38" Type="http://schemas.openxmlformats.org/officeDocument/2006/relationships/image" Target="media/image21.jpeg"/><Relationship Id="rId37" Type="http://schemas.openxmlformats.org/officeDocument/2006/relationships/image" Target="media/image20.jpeg"/><Relationship Id="rId36" Type="http://schemas.openxmlformats.org/officeDocument/2006/relationships/image" Target="media/image19.png"/><Relationship Id="rId35" Type="http://schemas.openxmlformats.org/officeDocument/2006/relationships/image" Target="media/image18.jpeg"/><Relationship Id="rId34" Type="http://schemas.openxmlformats.org/officeDocument/2006/relationships/image" Target="media/image17.jpeg"/><Relationship Id="rId33" Type="http://schemas.openxmlformats.org/officeDocument/2006/relationships/image" Target="media/image16.jpeg"/><Relationship Id="rId32" Type="http://schemas.openxmlformats.org/officeDocument/2006/relationships/image" Target="media/image15.png"/><Relationship Id="rId31" Type="http://schemas.openxmlformats.org/officeDocument/2006/relationships/image" Target="media/image14.png"/><Relationship Id="rId30" Type="http://schemas.openxmlformats.org/officeDocument/2006/relationships/image" Target="media/image13.png"/><Relationship Id="rId3" Type="http://schemas.openxmlformats.org/officeDocument/2006/relationships/footer" Target="footer1.xml"/><Relationship Id="rId29" Type="http://schemas.openxmlformats.org/officeDocument/2006/relationships/image" Target="media/image12.png"/><Relationship Id="rId28" Type="http://schemas.openxmlformats.org/officeDocument/2006/relationships/image" Target="media/image11.png"/><Relationship Id="rId27" Type="http://schemas.openxmlformats.org/officeDocument/2006/relationships/image" Target="media/image10.png"/><Relationship Id="rId26" Type="http://schemas.openxmlformats.org/officeDocument/2006/relationships/image" Target="media/image9.png"/><Relationship Id="rId25" Type="http://schemas.openxmlformats.org/officeDocument/2006/relationships/image" Target="media/image8.png"/><Relationship Id="rId24" Type="http://schemas.openxmlformats.org/officeDocument/2006/relationships/image" Target="media/image7.png"/><Relationship Id="rId23" Type="http://schemas.openxmlformats.org/officeDocument/2006/relationships/image" Target="media/image6.png"/><Relationship Id="rId22" Type="http://schemas.openxmlformats.org/officeDocument/2006/relationships/image" Target="media/image5.png"/><Relationship Id="rId21" Type="http://schemas.openxmlformats.org/officeDocument/2006/relationships/image" Target="media/image4.png"/><Relationship Id="rId20" Type="http://schemas.openxmlformats.org/officeDocument/2006/relationships/image" Target="media/image3.png"/><Relationship Id="rId2" Type="http://schemas.openxmlformats.org/officeDocument/2006/relationships/settings" Target="settings.xml"/><Relationship Id="rId19" Type="http://schemas.openxmlformats.org/officeDocument/2006/relationships/image" Target="media/image2.png"/><Relationship Id="rId18" Type="http://schemas.openxmlformats.org/officeDocument/2006/relationships/image" Target="media/image1.png"/><Relationship Id="rId17" Type="http://schemas.openxmlformats.org/officeDocument/2006/relationships/theme" Target="theme/theme1.xml"/><Relationship Id="rId16" Type="http://schemas.openxmlformats.org/officeDocument/2006/relationships/footer" Target="footer14.xml"/><Relationship Id="rId15" Type="http://schemas.openxmlformats.org/officeDocument/2006/relationships/footer" Target="footer13.xml"/><Relationship Id="rId14" Type="http://schemas.openxmlformats.org/officeDocument/2006/relationships/footer" Target="footer12.xml"/><Relationship Id="rId13" Type="http://schemas.openxmlformats.org/officeDocument/2006/relationships/footer" Target="footer11.xml"/><Relationship Id="rId12" Type="http://schemas.openxmlformats.org/officeDocument/2006/relationships/footer" Target="footer10.xml"/><Relationship Id="rId11" Type="http://schemas.openxmlformats.org/officeDocument/2006/relationships/footer" Target="footer9.xml"/><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5dab6865-546f-48db-a6ed-0cd126562fa7</errorID>
      <errorWord>局文件</errorWord>
      <group>L1_Grammar</group>
      <groupName>语法问题</groupName>
      <ability>L2_Order</ability>
      <abilityName>语序不当</abilityName>
      <candidateList>
        <item>局</item>
      </candidateList>
      <explain>句子可能没有遵循时空、逻辑顺序，或者介词、关联词等位置不当。</explain>
      <paraID>33D6F665</paraID>
      <start>16</start>
      <end>19</end>
      <status>unmodified</status>
      <modifiedWord/>
      <trackRevisions>false</trackRevisions>
    </reviewItem>
    <reviewItem>
      <errorID>830379b9-47b7-46bc-b689-fe20088ac231</errorID>
      <errorWord>勘察区块</errorWord>
      <group>L1_Political</group>
      <groupName>政治性问题</groupName>
      <ability>L2_Unpolitical</ability>
      <abilityName>政治敏感错误</abilityName>
      <candidateList>
        <item>勘查区块</item>
      </candidateList>
      <explain/>
      <paraID>393543E5</paraID>
      <start>117</start>
      <end>121</end>
      <status>unmodified</status>
      <modifiedWord/>
      <trackRevisions>false</trackRevisions>
    </reviewItem>
    <reviewItem>
      <errorID>94679221-7da8-48f6-907f-d62a2a43f18e</errorID>
      <errorWord>上线</errorWord>
      <group>L1_Word</group>
      <groupName>字词问题</groupName>
      <ability>L2_Typo</ability>
      <abilityName>字词错误</abilityName>
      <candidateList>
        <item>上限</item>
      </candidateList>
      <explain>存在发音相同字词的误用。</explain>
      <paraID>681E98EF</paraID>
      <start>7</start>
      <end>9</end>
      <status>unmodified</status>
      <modifiedWord/>
      <trackRevisions>false</trackRevisions>
    </reviewItem>
    <reviewItem>
      <errorID>353fe29c-de54-48fd-8cd7-ee49e17b4a6c</errorID>
      <errorWord>县（市）区</errorWord>
      <group>L1_Punc</group>
      <groupName>标点问题</groupName>
      <ability>L2_Punc_CN</ability>
      <abilityName>标点符号检查</abilityName>
      <candidateList>
        <item>县（市、区）</item>
      </candidateList>
      <explain/>
      <paraID> 72B7C1D</paraID>
      <start>19</start>
      <end>24</end>
      <status>unmodified</status>
      <modifiedWord/>
      <trackRevisions>false</trackRevisions>
    </reviewItem>
    <reviewItem>
      <errorID>ab3b470d-3139-4e0f-b3d9-d05b6b56eb43</errorID>
      <errorWord>程</errorWord>
      <group>L1_Word</group>
      <groupName>字词问题</groupName>
      <ability>L2_Typo</ability>
      <abilityName>字词错误</abilityName>
      <candidateList>
        <item>程中</item>
      </candidateList>
      <explain/>
      <paraID>2E2FDF42</paraID>
      <start>182</start>
      <end>183</end>
      <status>unmodified</status>
      <modifiedWord/>
      <trackRevisions>false</trackRevisions>
    </reviewItem>
    <reviewItem>
      <errorID>75b7f11f-551a-4927-9c95-015afbb6be6d</errorID>
      <errorWord>强</errorWord>
      <group>L1_Word</group>
      <groupName>字词问题</groupName>
      <ability>L2_Typo</ability>
      <abilityName>字词错误</abilityName>
      <candidateList>
        <item>强对</item>
      </candidateList>
      <explain/>
      <paraID>5790F884</paraID>
      <start>24</start>
      <end>25</end>
      <status>unmodified</status>
      <modifiedWord/>
      <trackRevisions>false</trackRevisions>
    </reviewItem>
    <reviewItem>
      <errorID>77b0db24-50eb-4b63-bd59-1871c9e8dcba</errorID>
      <errorWord>理论</errorWord>
      <group>L1_Word</group>
      <groupName>字词问题</groupName>
      <ability>L2_Typo</ability>
      <abilityName>字词错误</abilityName>
      <candidateList>
        <item>论</item>
      </candidateList>
      <explain/>
      <paraID>713F3159</paraID>
      <start>96</start>
      <end>98</end>
      <status>unmodified</status>
      <modifiedWord/>
      <trackRevisions>false</trackRevisions>
    </reviewItem>
    <reviewItem>
      <errorID>2f783197-e196-4b9a-b90d-b76e062d3dec</errorID>
      <errorWord>区政法委</errorWord>
      <group>L1_Political</group>
      <groupName>政治性问题</groupName>
      <ability>L2_Unpolitical</ability>
      <abilityName>政治敏感错误</abilityName>
      <candidateList>
        <item>区委政法委</item>
      </candidateList>
      <explain>机关单位名称不规范，请注意审核。</explain>
      <paraID>58D74519</paraID>
      <start>2</start>
      <end>6</end>
      <status>unmodified</status>
      <modifiedWord/>
      <trackRevisions>false</trackRevisions>
    </reviewItem>
    <reviewItem>
      <errorID>067aaffe-a797-4bcc-b5cd-6fc0a681b912</errorID>
      <errorWord>迄点</errorWord>
      <group>L1_Word</group>
      <groupName>字词问题</groupName>
      <ability>L2_Typo</ability>
      <abilityName>字词错误</abilityName>
      <candidateList>
        <item>终点</item>
      </candidateList>
      <explain/>
      <paraID>4344167F</paraID>
      <start>138</start>
      <end>140</end>
      <status>unmodified</status>
      <modifiedWord/>
      <trackRevisions>false</trackRevisions>
    </reviewItem>
    <reviewItem>
      <errorID>61649ef9-6e4e-4b41-a163-0d6819e83529</errorID>
      <errorWord>经济适用</errorWord>
      <group>L1_Word</group>
      <groupName>字词问题</groupName>
      <ability>L2_Typo</ability>
      <abilityName>字词错误</abilityName>
      <candidateList>
        <item>经济实用</item>
      </candidateList>
      <explain>存在发音相同字词的误用。</explain>
      <paraID>2AAB18CB</paraID>
      <start>42</start>
      <end>46</end>
      <status>unmodified</status>
      <modifiedWord/>
      <trackRevisions>false</trackRevisions>
    </reviewItem>
    <reviewItem>
      <errorID>046a626a-cf01-486b-9237-4236254328ed</errorID>
      <errorWord>【2016】9号</errorWord>
      <group>L1_Knowledge</group>
      <groupName>知识性问题</groupName>
      <ability>L2_Knowledge</ability>
      <abilityName>其他知识</abilityName>
      <candidateList>
        <item>〔2016〕9号</item>
      </candidateList>
      <explain>发文字号格式错误。</explain>
      <paraID>50D018F3</paraID>
      <start>33</start>
      <end>41</end>
      <status>unmodified</status>
      <modifiedWord/>
      <trackRevisions>false</trackRevisions>
    </reviewItem>
    <reviewItem>
      <errorID>67c87469-31f0-4443-9d7b-0380ec0eae85</errorID>
      <errorWord>束</errorWord>
      <group>L1_Word</group>
      <groupName>字词问题</groupName>
      <ability>L2_Typo</ability>
      <abilityName>字词错误</abilityName>
      <candidateList>
        <item>束后</item>
      </candidateList>
      <explain/>
      <paraID>240E374E</paraID>
      <start>190</start>
      <end>192</end>
      <status>modified</status>
      <modifiedWord>束后</modifiedWord>
      <trackRevisions>false</trackRevisions>
    </reviewItem>
    <reviewItem>
      <errorID>84ea270c-9bfc-427d-aefe-c1ca80263733</errorID>
      <errorWord>，</errorWord>
      <group>L1_Format</group>
      <groupName>格式问题</groupName>
      <ability>L2_HalfPunc_CN</ability>
      <abilityName>全半角检查</abilityName>
      <candidateList>
        <item>,</item>
      </candidateList>
      <explain>文本全半角错误。</explain>
      <paraID>67C4C5E4</paraID>
      <start>5</start>
      <end>6</end>
      <status>unmodified</status>
      <modifiedWord/>
      <trackRevisions>false</trackRevisions>
    </reviewItem>
    <reviewItem>
      <errorID>0f1f9c82-2590-4207-91f9-976d828732c0</errorID>
      <errorWord>，</errorWord>
      <group>L1_Format</group>
      <groupName>格式问题</groupName>
      <ability>L2_HalfPunc_CN</ability>
      <abilityName>全半角检查</abilityName>
      <candidateList>
        <item>,</item>
      </candidateList>
      <explain>文本全半角错误。</explain>
      <paraID>67C4C5E4</paraID>
      <start>12</start>
      <end>13</end>
      <status>unmodified</status>
      <modifiedWord/>
      <trackRevisions>false</trackRevisions>
    </reviewItem>
    <reviewItem>
      <errorID>19d5c97e-3371-4eb2-92d3-37ea45996680</errorID>
      <errorWord>，</errorWord>
      <group>L1_Format</group>
      <groupName>格式问题</groupName>
      <ability>L2_HalfPunc_CN</ability>
      <abilityName>全半角检查</abilityName>
      <candidateList>
        <item>,</item>
      </candidateList>
      <explain>文本全半角错误。</explain>
      <paraID>67C4C5E4</paraID>
      <start>20</start>
      <end>21</end>
      <status>unmodified</status>
      <modifiedWord/>
      <trackRevisions>false</trackRevisions>
    </reviewItem>
    <reviewItem>
      <errorID>07d1dcc2-aa58-418d-be24-23048426670f</errorID>
      <errorWord>简单地</errorWord>
      <group>L1_Word</group>
      <groupName>字词问题</groupName>
      <ability>L2_Typo</ability>
      <abilityName>字词错误</abilityName>
      <candidateList>
        <item>简单</item>
      </candidateList>
      <explain/>
      <paraID>47853830</paraID>
      <start>25</start>
      <end>28</end>
      <status>unmodified</status>
      <modifiedWord/>
      <trackRevisions>false</trackRevisions>
    </reviewItem>
    <reviewItem>
      <errorID>8a3aded3-ef86-48ef-b6b1-e35740f05b9f</errorID>
      <errorWord>一</errorWord>
      <group>L1_Word</group>
      <groupName>字词问题</groupName>
      <ability>L2_Typo</ability>
      <abilityName>字词错误</abilityName>
      <candidateList>
        <item>一道</item>
      </candidateList>
      <explain>（～儿）〈副〉一同；一路❸：～走｜～工作。</explain>
      <paraID>6A099E88</paraID>
      <start>97</start>
      <end>98</end>
      <status>unmodified</status>
      <modifiedWord/>
      <trackRevisions>false</trackRevisions>
    </reviewItem>
    <reviewItem>
      <errorID>c03bdec8-0cd3-437e-a1ed-89f83a6af5a3</errorID>
      <errorWord>钻越</errorWord>
      <group>L1_Word</group>
      <groupName>字词问题</groupName>
      <ability>L2_Typo</ability>
      <abilityName>字词错误</abilityName>
      <candidateList>
        <item>穿越</item>
      </candidateList>
      <explain/>
      <paraID>57F4FEAD</paraID>
      <start>25</start>
      <end>27</end>
      <status>modified</status>
      <modifiedWord>穿越</modifiedWord>
      <trackRevisions>false</trackRevisions>
    </reviewItem>
    <reviewItem>
      <errorID>fd3bc4f8-ff4b-4f41-91a7-95de15e3d58f</errorID>
      <errorWord>海拔高度</errorWord>
      <group>L1_Word</group>
      <groupName>字词问题</groupName>
      <ability>L2_Typo</ability>
      <abilityName>字词错误</abilityName>
      <candidateList>
        <item>海拔</item>
      </candidateList>
      <explain>〈名〉从平均海平面起算的高度。</explain>
      <paraID>2C1A8637</paraID>
      <start>0</start>
      <end>4</end>
      <status>unmodified</status>
      <modifiedWord/>
      <trackRevisions>false</trackRevisions>
    </reviewItem>
    <reviewItem>
      <errorID>4a9ec62b-fd10-4d59-8277-5202d29c4a5c</errorID>
      <errorWord>,</errorWord>
      <group>L1_Format</group>
      <groupName>格式问题</groupName>
      <ability>L2_HalfPunc_CN</ability>
      <abilityName>全半角检查</abilityName>
      <candidateList>
        <item>，</item>
      </candidateList>
      <explain>文本全半角错误。</explain>
      <paraID>240CB2D2</paraID>
      <start>6</start>
      <end>7</end>
      <status>modified</status>
      <modifiedWord>，</modifiedWord>
      <trackRevisions>false</trackRevisions>
    </reviewItem>
    <reviewItem>
      <errorID>8074f52d-8bfe-4ac4-a0e5-24e1b72573f6</errorID>
      <errorWord>,</errorWord>
      <group>L1_Format</group>
      <groupName>格式问题</groupName>
      <ability>L2_HalfPunc_CN</ability>
      <abilityName>全半角检查</abilityName>
      <candidateList>
        <item>，</item>
      </candidateList>
      <explain>文本全半角错误。</explain>
      <paraID>788AFC9F</paraID>
      <start>6</start>
      <end>7</end>
      <status>modified</status>
      <modifiedWord>，</modifiedWord>
      <trackRevisions>false</trackRevisions>
    </reviewItem>
    <reviewItem>
      <errorID>26d6c160-f63b-4532-87bb-6f552a5704c4</errorID>
      <errorWord>,</errorWord>
      <group>L1_Format</group>
      <groupName>格式问题</groupName>
      <ability>L2_HalfPunc_CN</ability>
      <abilityName>全半角检查</abilityName>
      <candidateList>
        <item>，</item>
      </candidateList>
      <explain>文本全半角错误。</explain>
      <paraID>734C7E1C</paraID>
      <start>6</start>
      <end>7</end>
      <status>modified</status>
      <modifiedWord>，</modifiedWord>
      <trackRevisions>false</trackRevisions>
    </reviewItem>
    <reviewItem>
      <errorID>b364f43c-d0c0-43f9-8bbd-73f111e17bf8</errorID>
      <errorWord>二案</errorWord>
      <group>L1_Word</group>
      <groupName>字词问题</groupName>
      <ability>L2_Typo</ability>
      <abilityName>字词错误</abilityName>
      <candidateList>
        <item>二</item>
      </candidateList>
      <explain/>
      <paraID>49C2C9DC</paraID>
      <start>45</start>
      <end>46</end>
      <status>modified</status>
      <modifiedWord>二</modifiedWord>
      <trackRevisions>false</trackRevisions>
    </reviewItem>
    <reviewItem>
      <errorID>e4966b91-a409-466a-9613-9979023ced1e</errorID>
      <errorWord>年平</errorWord>
      <group>L1_Word</group>
      <groupName>字词问题</groupName>
      <ability>L2_Typo</ability>
      <abilityName>字词错误</abilityName>
      <candidateList>
        <item>平均</item>
      </candidateList>
      <explain/>
      <paraID>5B331EC1</paraID>
      <start>34</start>
      <end>36</end>
      <status>unmodified</status>
      <modifiedWord/>
      <trackRevisions>false</trackRevisions>
    </reviewItem>
    <reviewItem>
      <errorID>232952cd-d4c2-4210-8ce5-6ac10882dce7</errorID>
      <errorWord>）</errorWord>
      <group>L1_Format</group>
      <groupName>格式问题</groupName>
      <ability>L2_HalfPunc_CN</ability>
      <abilityName>全半角检查</abilityName>
      <candidateList>
        <item>)</item>
      </candidateList>
      <explain>文本全半角错误。</explain>
      <paraID>51E9324F</paraID>
      <start>5</start>
      <end>6</end>
      <status>unmodified</status>
      <modifiedWord/>
      <trackRevisions>false</trackRevisions>
    </reviewItem>
    <reviewItem>
      <errorID>a8621ec5-10c0-41a8-85a0-0801c8569666</errorID>
      <errorWord>）</errorWord>
      <group>L1_Format</group>
      <groupName>格式问题</groupName>
      <ability>L2_HalfPunc_CN</ability>
      <abilityName>全半角检查</abilityName>
      <candidateList>
        <item>)</item>
      </candidateList>
      <explain>文本全半角错误。</explain>
      <paraID>7742D2CF</paraID>
      <start>5</start>
      <end>6</end>
      <status>unmodified</status>
      <modifiedWord/>
      <trackRevisions>false</trackRevisions>
    </reviewItem>
    <reviewItem>
      <errorID>095a975f-0e9c-4b62-b6e7-dacd79aea075</errorID>
      <errorWord>II类</errorWord>
      <group>L1_Knowledge</group>
      <groupName>知识性问题</groupName>
      <ability>L2_Knowledge</ability>
      <abilityName>其他知识</abilityName>
      <candidateList>
        <item>Ⅱ类</item>
      </candidateList>
      <explain>中文环境下罗马数字格式错误。</explain>
      <paraID>11A3CA94</paraID>
      <start>168</start>
      <end>171</end>
      <status>unmodified</status>
      <modifiedWord/>
      <trackRevisions>false</trackRevisions>
    </reviewItem>
    <reviewItem>
      <errorID>8cc26aa2-cb85-40c5-ad2b-32a3e10ed669</errorID>
      <errorWord>III类</errorWord>
      <group>L1_Knowledge</group>
      <groupName>知识性问题</groupName>
      <ability>L2_Knowledge</ability>
      <abilityName>其他知识</abilityName>
      <candidateList>
        <item>Ⅲ类</item>
      </candidateList>
      <explain>中文环境下罗马数字格式错误。</explain>
      <paraID>63A5AFAC</paraID>
      <start>25</start>
      <end>29</end>
      <status>unmodified</status>
      <modifiedWord/>
      <trackRevisions>false</trackRevisions>
    </reviewItem>
    <reviewItem>
      <errorID>5788945d-bc17-4629-b25f-73f4ab3b3ebf</errorID>
      <errorWord>洒</errorWord>
      <group>L1_Word</group>
      <groupName>字词问题</groupName>
      <ability>L2_Typo</ability>
      <abilityName>字词错误</abilityName>
      <candidateList>
        <item>撒</item>
      </candidateList>
      <explain>存在发音相同字词的误用。</explain>
      <paraID>381BA026</paraID>
      <start>83</start>
      <end>84</end>
      <status>unmodified</status>
      <modifiedWord/>
      <trackRevisions>false</trackRevisions>
    </reviewItem>
    <reviewItem>
      <errorID>fc4a6a30-a561-4d07-ba26-07bc65ac6b88</errorID>
      <errorWord>浓度上</errorWord>
      <group>L1_Word</group>
      <groupName>字词问题</groupName>
      <ability>L2_Typo</ability>
      <abilityName>字词错误</abilityName>
      <candidateList>
        <item>浓度</item>
      </candidateList>
      <explain/>
      <paraID>1391B618</paraID>
      <start>54</start>
      <end>56</end>
      <status>modified</status>
      <modifiedWord>浓度</modifiedWord>
      <trackRevisions>false</trackRevisions>
    </reviewItem>
    <reviewItem>
      <errorID>f0471af6-0326-4921-bd5b-5a4cf9508db1</errorID>
      <errorWord>对于</errorWord>
      <group>L1_Word</group>
      <groupName>字词问题</groupName>
      <ability>L2_Typo</ability>
      <abilityName>字词错误</abilityName>
      <candidateList>
        <item>对</item>
      </candidateList>
      <explain>（對）duì❶回答：～答｜无言以～。❷〈动〉对待；对付：～事不～人｜～症下药｜刀～刀，枪～枪。❸〈动〉朝着；向着（常跟“着”）：～着镜子理理头发｜枪口～着敌人。❹二者相对；彼此相向：～调｜～流｜～立｜～抗。❺对面的；敌对的：～岸｜～方｜～手｜作～。❻〈动〉使两个东西配合或接触：～对子｜把门～上｜～个火儿。</explain>
      <paraID>3BDB086B</paraID>
      <start>45</start>
      <end>47</end>
      <status>unmodified</status>
      <modifiedWord/>
      <trackRevisions>false</trackRevisions>
    </reviewItem>
    <reviewItem>
      <errorID>dd832de0-b449-4842-a174-b126d8016072</errorID>
      <errorWord>按《中华人民共和国</errorWord>
      <group>L1_Political</group>
      <groupName>政治性问题</groupName>
      <ability>L2_Unpolitical</ability>
      <abilityName>政治敏感错误</abilityName>
      <candidateList>
        <item>按照《中华人民共和国</item>
      </candidateList>
      <explain/>
      <paraID>4913CE6C</paraID>
      <start>117</start>
      <end>127</end>
      <status>modified</status>
      <modifiedWord>按照《中华人民共和国</modifiedWord>
      <trackRevisions>false</trackRevisions>
    </reviewItem>
    <reviewItem>
      <errorID>71a1eb5a-cbde-4dc8-85fc-e77a921286f1</errorID>
      <errorWord>程</errorWord>
      <group>L1_Word</group>
      <groupName>字词问题</groupName>
      <ability>L2_Typo</ability>
      <abilityName>字词错误</abilityName>
      <candidateList>
        <item>程中</item>
      </candidateList>
      <explain/>
      <paraID> 9E59EDE</paraID>
      <start>38</start>
      <end>39</end>
      <status>unmodified</status>
      <modifiedWord/>
      <trackRevisions>false</trackRevisions>
    </reviewItem>
    <reviewItem>
      <errorID>c93e1144-8d38-409d-b6f0-75a0efd700b9</errorID>
      <errorWord>II</errorWord>
      <group>L1_Knowledge</group>
      <groupName>知识性问题</groupName>
      <ability>L2_Knowledge</ability>
      <abilityName>其他知识</abilityName>
      <candidateList>
        <item>Ⅱ</item>
      </candidateList>
      <explain>中文环境下罗马数字格式错误。</explain>
      <paraID>401D3B8B</paraID>
      <start>84</start>
      <end>86</end>
      <status>unmodified</status>
      <modifiedWord/>
      <trackRevisions>false</trackRevisions>
    </reviewItem>
    <reviewItem>
      <errorID>07f5b94b-3a07-4136-9a14-ce823f45f6cd</errorID>
      <errorWord>II</errorWord>
      <group>L1_Knowledge</group>
      <groupName>知识性问题</groupName>
      <ability>L2_Knowledge</ability>
      <abilityName>其他知识</abilityName>
      <candidateList>
        <item>Ⅱ</item>
      </candidateList>
      <explain>中文环境下罗马数字格式错误。</explain>
      <paraID>570D5BE9</paraID>
      <start>10</start>
      <end>12</end>
      <status>unmodified</status>
      <modifiedWord/>
      <trackRevisions>false</trackRevisions>
    </reviewItem>
    <reviewItem>
      <errorID>60812ea5-524f-49e8-a663-c935087df2f8</errorID>
      <errorWord>～</errorWord>
      <group>L1_Format</group>
      <groupName>格式问题</groupName>
      <ability>L2_HalfPunc_CN</ability>
      <abilityName>全半角检查</abilityName>
      <candidateList>
        <item>~</item>
      </candidateList>
      <explain>文本全半角错误。</explain>
      <paraID>32FB5133</paraID>
      <start>3</start>
      <end>4</end>
      <status>unmodified</status>
      <modifiedWord/>
      <trackRevisions>false</trackRevisions>
    </reviewItem>
    <reviewItem>
      <errorID>009fe09b-92d9-4f90-bf34-a76d75045633</errorID>
      <errorWord>～</errorWord>
      <group>L1_Format</group>
      <groupName>格式问题</groupName>
      <ability>L2_HalfPunc_CN</ability>
      <abilityName>全半角检查</abilityName>
      <candidateList>
        <item>~</item>
      </candidateList>
      <explain>文本全半角错误。</explain>
      <paraID>4E0FB271</paraID>
      <start>3</start>
      <end>4</end>
      <status>unmodified</status>
      <modifiedWord/>
      <trackRevisions>false</trackRevisions>
    </reviewItem>
    <reviewItem>
      <errorID>0c35d2ae-4aaa-4d65-8c0f-3463ab5fe1be</errorID>
      <errorWord>II</errorWord>
      <group>L1_Knowledge</group>
      <groupName>知识性问题</groupName>
      <ability>L2_Knowledge</ability>
      <abilityName>其他知识</abilityName>
      <candidateList>
        <item>Ⅱ</item>
      </candidateList>
      <explain>中文环境下罗马数字格式错误。</explain>
      <paraID>57CC4C9A</paraID>
      <start>8</start>
      <end>10</end>
      <status>unmodified</status>
      <modifiedWord/>
      <trackRevisions>false</trackRevisions>
    </reviewItem>
    <reviewItem>
      <errorID>0b8dfe6c-bd0e-439f-9892-b97e2e295640</errorID>
      <errorWord>II</errorWord>
      <group>L1_Knowledge</group>
      <groupName>知识性问题</groupName>
      <ability>L2_Knowledge</ability>
      <abilityName>其他知识</abilityName>
      <candidateList>
        <item>Ⅱ</item>
      </candidateList>
      <explain>中文环境下罗马数字格式错误。</explain>
      <paraID>4849CACF</paraID>
      <start>15</start>
      <end>17</end>
      <status>unmodified</status>
      <modifiedWord/>
      <trackRevisions>false</trackRevisions>
    </reviewItem>
    <reviewItem>
      <errorID>7ce84820-cc4a-43f1-a55c-2834da3c3ea1</errorID>
      <errorWord>II</errorWord>
      <group>L1_Knowledge</group>
      <groupName>知识性问题</groupName>
      <ability>L2_Knowledge</ability>
      <abilityName>其他知识</abilityName>
      <candidateList>
        <item>Ⅱ</item>
      </candidateList>
      <explain>中文环境下罗马数字格式错误。</explain>
      <paraID>3C914598</paraID>
      <start>8</start>
      <end>10</end>
      <status>unmodified</status>
      <modifiedWord/>
      <trackRevisions>false</trackRevisions>
    </reviewItem>
    <reviewItem>
      <errorID>8523728e-e595-4797-84a6-ae87cb92263e</errorID>
      <errorWord>II</errorWord>
      <group>L1_Knowledge</group>
      <groupName>知识性问题</groupName>
      <ability>L2_Knowledge</ability>
      <abilityName>其他知识</abilityName>
      <candidateList>
        <item>Ⅱ</item>
      </candidateList>
      <explain>中文环境下罗马数字格式错误。</explain>
      <paraID>576B3F17</paraID>
      <start>20</start>
      <end>22</end>
      <status>unmodified</status>
      <modifiedWord/>
      <trackRevisions>false</trackRevisions>
    </reviewItem>
    <reviewItem>
      <errorID>49a8e239-d9ec-4a81-a5c5-2bc7aee8c142</errorID>
      <errorWord>，</errorWord>
      <group>L1_Word</group>
      <groupName>字词问题</groupName>
      <ability>L2_Typo</ability>
      <abilityName>字词错误</abilityName>
      <candidateList>
        <item>，从</item>
      </candidateList>
      <explain/>
      <paraID>13A4FAB1</paraID>
      <start>35</start>
      <end>36</end>
      <status>unmodified</status>
      <modifiedWord/>
      <trackRevisions>false</trackRevisions>
    </reviewItem>
    <reviewItem>
      <errorID>55e313eb-865b-4414-89e7-3931f695ac76</errorID>
      <errorWord>避开了</errorWord>
      <group>L1_Word</group>
      <groupName>字词问题</groupName>
      <ability>L2_Typo</ability>
      <abilityName>字词错误</abilityName>
      <candidateList>
        <item>避开</item>
      </candidateList>
      <explain/>
      <paraID>76F9F231</paraID>
      <start>55</start>
      <end>58</end>
      <status>unmodified</status>
      <modifiedWord/>
      <trackRevisions>false</trackRevisions>
    </reviewItem>
    <reviewItem>
      <errorID>eaf78d05-af02-47ef-8a49-320151867ad4</errorID>
      <errorWord>。。</errorWord>
      <group>L1_Punc</group>
      <groupName>标点问题</groupName>
      <ability>L2_Punc_CN</ability>
      <abilityName>标点符号检查</abilityName>
      <candidateList>
        <item>。</item>
      </candidateList>
      <explain/>
      <paraID>7932D852</paraID>
      <start>45</start>
      <end>47</end>
      <status>unmodified</status>
      <modifiedWord/>
      <trackRevisions>false</trackRevisions>
    </reviewItem>
    <reviewItem>
      <errorID>efa8a522-28f5-4a44-9ebb-31dacf638fe6</errorID>
      <errorWord>期</errorWord>
      <group>L1_Word</group>
      <groupName>字词问题</groupName>
      <ability>L2_Typo</ability>
      <abilityName>字词错误</abilityName>
      <candidateList>
        <item>期间</item>
      </candidateList>
      <explain>〈名〉某个时期里面：农忙～｜春节～｜抗战～。</explain>
      <paraID>4DB73A80</paraID>
      <start>3</start>
      <end>4</end>
      <status>unmodified</status>
      <modifiedWord/>
      <trackRevisions>false</trackRevisions>
    </reviewItem>
    <reviewItem>
      <errorID>a758a6db-5000-4563-9ec3-c01863640fa5</errorID>
      <errorWord>宣传和</errorWord>
      <group>L1_Word</group>
      <groupName>字词问题</groupName>
      <ability>L2_Typo</ability>
      <abilityName>字词错误</abilityName>
      <candidateList>
        <item>宣传</item>
      </candidateList>
      <explain>〈动〉对群众说明讲解，使群众相信并跟着行动：～队｜～交通法规。</explain>
      <paraID>4DB73A80</paraID>
      <start>67</start>
      <end>70</end>
      <status>unmodified</status>
      <modifiedWord/>
      <trackRevisions>false</trackRevisions>
    </reviewItem>
    <reviewItem>
      <errorID>5dbd393e-cd45-49ec-ad63-44e4daf650e6</errorID>
      <errorWord>两</errorWord>
      <group>L1_Word</group>
      <groupName>字词问题</groupName>
      <ability>L2_Typo</ability>
      <abilityName>字词错误</abilityName>
      <candidateList>
        <item>两个</item>
      </candidateList>
      <explain/>
      <paraID>1A6517C7</paraID>
      <start>43</start>
      <end>44</end>
      <status>unmodified</status>
      <modifiedWord/>
      <trackRevisions>false</trackRevisions>
    </reviewItem>
    <reviewItem>
      <errorID>b0a54f89-3428-4a9a-a587-96f404835266</errorID>
      <errorWord>，</errorWord>
      <group>L1_Word</group>
      <groupName>字词问题</groupName>
      <ability>L2_Typo</ability>
      <abilityName>字词错误</abilityName>
      <candidateList>
        <item>，将</item>
      </candidateList>
      <explain/>
      <paraID>5422BB2F</paraID>
      <start>36</start>
      <end>37</end>
      <status>unmodified</status>
      <modifiedWord/>
      <trackRevisions>false</trackRevisions>
    </reviewItem>
    <reviewItem>
      <errorID>697d3eb1-88ea-4bcc-8a6d-4c31316ddb57</errorID>
      <errorWord>期线</errorWord>
      <group>L1_Word</group>
      <groupName>字词问题</groupName>
      <ability>L2_Typo</ability>
      <abilityName>字词错误</abilityName>
      <candidateList>
        <item>期限</item>
      </candidateList>
      <explain/>
      <paraID>12DA3163</paraID>
      <start>2</start>
      <end>4</end>
      <status>unmodified</status>
      <modifiedWord/>
      <trackRevisions>false</trackRevisions>
    </reviewItem>
    <reviewItem>
      <errorID>71534d3d-ee35-44dc-9413-41419da4530a</errorID>
      <errorWord>《</errorWord>
      <group>L1_Punc</group>
      <groupName>标点问题</groupName>
      <ability>L2_Punc_CN</ability>
      <abilityName>标点符号检查</abilityName>
      <candidateList/>
      <explain>此处标点可能未正确匹配，请检查句子中是否存在标点冗余、缺失或使用错误的情况。</explain>
      <paraID>3234BD7D</paraID>
      <start>2</start>
      <end>3</end>
      <status>unmodified</status>
      <modifiedWord/>
      <trackRevisions>false</trackRevisions>
    </reviewItem>
    <reviewItem>
      <errorID>ea68dabe-724c-40e3-b63d-59586637dd88</errorID>
      <errorWord>）</errorWord>
      <group>L1_Word</group>
      <groupName>字词问题</groupName>
      <ability>L2_Typo</ability>
      <abilityName>字词错误</abilityName>
      <candidateList>
        <item>）自</item>
      </candidateList>
      <explain/>
      <paraID>71F10723</paraID>
      <start>21</start>
      <end>22</end>
      <status>unmodified</status>
      <modifiedWord/>
      <trackRevisions>false</trackRevisions>
    </reviewItem>
    <reviewItem>
      <errorID>7df121ae-8600-4ed9-a08d-0ca83cc5aec1</errorID>
      <errorWord>…………</errorWord>
      <group>L1_Punc</group>
      <groupName>标点问题</groupName>
      <ability>L2_Punc_CN</ability>
      <abilityName>标点符号检查</abilityName>
      <candidateList>
        <item>……</item>
      </candidateList>
      <explain/>
      <paraID> BBA6E9D</paraID>
      <start>1</start>
      <end>5</end>
      <status>unmodified</status>
      <modifiedWord/>
      <trackRevisions>false</trackRevisions>
    </reviewItem>
    <reviewItem>
      <errorID>17a229c4-e62a-4892-932d-565a0caf87c4</errorID>
      <errorWord>（</errorWord>
      <group>L1_Format</group>
      <groupName>格式问题</groupName>
      <ability>L2_HalfPunc_CN</ability>
      <abilityName>全半角检查</abilityName>
      <candidateList>
        <item>(</item>
      </candidateList>
      <explain>文本全半角错误。</explain>
      <paraID> BBA6E9D</paraID>
      <start>5</start>
      <end>6</end>
      <status>unmodified</status>
      <modifiedWord/>
      <trackRevisions>false</trackRevisions>
    </reviewItem>
    <reviewItem>
      <errorID>bea5404b-9339-4957-a78d-996a24eee3f1</errorID>
      <errorWord>）</errorWord>
      <group>L1_Format</group>
      <groupName>格式问题</groupName>
      <ability>L2_HalfPunc_CN</ability>
      <abilityName>全半角检查</abilityName>
      <candidateList>
        <item>)</item>
      </candidateList>
      <explain>文本全半角错误。</explain>
      <paraID> BBA6E9D</paraID>
      <start>7</start>
      <end>8</end>
      <status>unmodified</status>
      <modifiedWord/>
      <trackRevisions>false</trackRevisions>
    </reviewItem>
    <reviewItem>
      <errorID>69b5b4db-c9cb-458d-84fb-cd4db1facba0</errorID>
      <errorWord>，…</errorWord>
      <group>L1_Punc</group>
      <groupName>标点问题</groupName>
      <ability>L2_Punc_CN</ability>
      <abilityName>标点符号检查</abilityName>
      <candidateList>
        <item>，</item>
      </candidateList>
      <explain/>
      <paraID>72456F49</paraID>
      <start>52</start>
      <end>54</end>
      <status>unmodified</status>
      <modifiedWord/>
      <trackRevisions>false</trackRevisions>
    </reviewItem>
    <reviewItem>
      <errorID>4702fdd0-f089-4afd-8e88-3cc3600dacde</errorID>
      <errorWord>，…</errorWord>
      <group>L1_Punc</group>
      <groupName>标点问题</groupName>
      <ability>L2_Punc_CN</ability>
      <abilityName>标点符号检查</abilityName>
      <candidateList>
        <item>，</item>
      </candidateList>
      <explain/>
      <paraID>72456F49</paraID>
      <start>72</start>
      <end>74</end>
      <status>unmodified</status>
      <modifiedWord/>
      <trackRevisions>false</trackRevisions>
    </reviewItem>
    <reviewItem>
      <errorID>346a9cd8-556a-4d89-8b96-96503251b9ee</errorID>
      <errorWord>…………</errorWord>
      <group>L1_Punc</group>
      <groupName>标点问题</groupName>
      <ability>L2_Punc_CN</ability>
      <abilityName>标点符号检查</abilityName>
      <candidateList>
        <item>……</item>
      </candidateList>
      <explain/>
      <paraID>6CCB39FB</paraID>
      <start>1</start>
      <end>5</end>
      <status>unmodified</status>
      <modifiedWord/>
      <trackRevisions>false</trackRevisions>
    </reviewItem>
    <reviewItem>
      <errorID>b71377e3-c6b8-4563-ae2a-07c736ccd735</errorID>
      <errorWord>（</errorWord>
      <group>L1_Format</group>
      <groupName>格式问题</groupName>
      <ability>L2_HalfPunc_CN</ability>
      <abilityName>全半角检查</abilityName>
      <candidateList>
        <item>(</item>
      </candidateList>
      <explain>文本全半角错误。</explain>
      <paraID>6CCB39FB</paraID>
      <start>5</start>
      <end>6</end>
      <status>unmodified</status>
      <modifiedWord/>
      <trackRevisions>false</trackRevisions>
    </reviewItem>
    <reviewItem>
      <errorID>b6d40e78-1cd9-4c40-bccf-9c4ec969dfd5</errorID>
      <errorWord>）</errorWord>
      <group>L1_Format</group>
      <groupName>格式问题</groupName>
      <ability>L2_HalfPunc_CN</ability>
      <abilityName>全半角检查</abilityName>
      <candidateList>
        <item>)</item>
      </candidateList>
      <explain>文本全半角错误。</explain>
      <paraID>6CCB39FB</paraID>
      <start>7</start>
      <end>8</end>
      <status>unmodified</status>
      <modifiedWord/>
      <trackRevisions>false</trackRevisions>
    </reviewItem>
    <reviewItem>
      <errorID>dea3d175-d907-4544-8b46-c9fca2888828</errorID>
      <errorWord>…………</errorWord>
      <group>L1_Punc</group>
      <groupName>标点问题</groupName>
      <ability>L2_Punc_CN</ability>
      <abilityName>标点符号检查</abilityName>
      <candidateList>
        <item>……</item>
      </candidateList>
      <explain/>
      <paraID>4B7C32C4</paraID>
      <start>1</start>
      <end>5</end>
      <status>unmodified</status>
      <modifiedWord/>
      <trackRevisions>false</trackRevisions>
    </reviewItem>
    <reviewItem>
      <errorID>6d0063cc-132c-4a5f-8e90-b7606f45e75d</errorID>
      <errorWord>（</errorWord>
      <group>L1_Format</group>
      <groupName>格式问题</groupName>
      <ability>L2_HalfPunc_CN</ability>
      <abilityName>全半角检查</abilityName>
      <candidateList>
        <item>(</item>
      </candidateList>
      <explain>文本全半角错误。</explain>
      <paraID>4B7C32C4</paraID>
      <start>5</start>
      <end>6</end>
      <status>unmodified</status>
      <modifiedWord/>
      <trackRevisions>false</trackRevisions>
    </reviewItem>
    <reviewItem>
      <errorID>7b4e7133-3d15-4c0e-a376-861123ccbb28</errorID>
      <errorWord>）</errorWord>
      <group>L1_Format</group>
      <groupName>格式问题</groupName>
      <ability>L2_HalfPunc_CN</ability>
      <abilityName>全半角检查</abilityName>
      <candidateList>
        <item>)</item>
      </candidateList>
      <explain>文本全半角错误。</explain>
      <paraID>4B7C32C4</paraID>
      <start>7</start>
      <end>8</end>
      <status>unmodified</status>
      <modifiedWord/>
      <trackRevisions>false</trackRevisions>
    </reviewItem>
    <reviewItem>
      <errorID>70c6fee9-832d-48c7-a058-a57116f8ef89</errorID>
      <errorWord>…………</errorWord>
      <group>L1_Punc</group>
      <groupName>标点问题</groupName>
      <ability>L2_Punc_CN</ability>
      <abilityName>标点符号检查</abilityName>
      <candidateList>
        <item>……</item>
      </candidateList>
      <explain/>
      <paraID>76B46849</paraID>
      <start>1</start>
      <end>5</end>
      <status>unmodified</status>
      <modifiedWord/>
      <trackRevisions>false</trackRevisions>
    </reviewItem>
    <reviewItem>
      <errorID>bd8f2774-8464-408b-a7d0-937fc2d5d632</errorID>
      <errorWord>（</errorWord>
      <group>L1_Format</group>
      <groupName>格式问题</groupName>
      <ability>L2_HalfPunc_CN</ability>
      <abilityName>全半角检查</abilityName>
      <candidateList>
        <item>(</item>
      </candidateList>
      <explain>文本全半角错误。</explain>
      <paraID>76B46849</paraID>
      <start>5</start>
      <end>6</end>
      <status>unmodified</status>
      <modifiedWord/>
      <trackRevisions>false</trackRevisions>
    </reviewItem>
    <reviewItem>
      <errorID>9f8b47c5-d07e-4e1a-b6a2-d32e2cf1dde6</errorID>
      <errorWord>）</errorWord>
      <group>L1_Format</group>
      <groupName>格式问题</groupName>
      <ability>L2_HalfPunc_CN</ability>
      <abilityName>全半角检查</abilityName>
      <candidateList>
        <item>)</item>
      </candidateList>
      <explain>文本全半角错误。</explain>
      <paraID>76B46849</paraID>
      <start>7</start>
      <end>8</end>
      <status>unmodified</status>
      <modifiedWord/>
      <trackRevisions>false</trackRevisions>
    </reviewItem>
    <reviewItem>
      <errorID>7a84de37-dc3d-4746-b0e6-a501002d9311</errorID>
      <errorWord>…………</errorWord>
      <group>L1_Punc</group>
      <groupName>标点问题</groupName>
      <ability>L2_Punc_CN</ability>
      <abilityName>标点符号检查</abilityName>
      <candidateList>
        <item>……</item>
      </candidateList>
      <explain/>
      <paraID>2202B103</paraID>
      <start>1</start>
      <end>5</end>
      <status>unmodified</status>
      <modifiedWord/>
      <trackRevisions>false</trackRevisions>
    </reviewItem>
    <reviewItem>
      <errorID>1b91c636-02fc-45c5-af91-d83d178ad378</errorID>
      <errorWord>（</errorWord>
      <group>L1_Format</group>
      <groupName>格式问题</groupName>
      <ability>L2_HalfPunc_CN</ability>
      <abilityName>全半角检查</abilityName>
      <candidateList>
        <item>(</item>
      </candidateList>
      <explain>文本全半角错误。</explain>
      <paraID>2202B103</paraID>
      <start>5</start>
      <end>6</end>
      <status>unmodified</status>
      <modifiedWord/>
      <trackRevisions>false</trackRevisions>
    </reviewItem>
    <reviewItem>
      <errorID>5fd4a415-7749-4e97-881b-3ba36286aa9c</errorID>
      <errorWord>）</errorWord>
      <group>L1_Format</group>
      <groupName>格式问题</groupName>
      <ability>L2_HalfPunc_CN</ability>
      <abilityName>全半角检查</abilityName>
      <candidateList>
        <item>)</item>
      </candidateList>
      <explain>文本全半角错误。</explain>
      <paraID>2202B103</paraID>
      <start>7</start>
      <end>8</end>
      <status>unmodified</status>
      <modifiedWord/>
      <trackRevisions>false</trackRevisions>
    </reviewItem>
    <reviewItem>
      <errorID>7c4cf974-e838-4d42-8752-af78680c5060</errorID>
      <errorWord>…………</errorWord>
      <group>L1_Punc</group>
      <groupName>标点问题</groupName>
      <ability>L2_Punc_CN</ability>
      <abilityName>标点符号检查</abilityName>
      <candidateList>
        <item>……</item>
      </candidateList>
      <explain/>
      <paraID>76E76AEA</paraID>
      <start>1</start>
      <end>5</end>
      <status>unmodified</status>
      <modifiedWord/>
      <trackRevisions>false</trackRevisions>
    </reviewItem>
    <reviewItem>
      <errorID>1097fd81-1e0b-4a69-8c90-54afe38d435a</errorID>
      <errorWord>（</errorWord>
      <group>L1_Format</group>
      <groupName>格式问题</groupName>
      <ability>L2_HalfPunc_CN</ability>
      <abilityName>全半角检查</abilityName>
      <candidateList>
        <item>(</item>
      </candidateList>
      <explain>文本全半角错误。</explain>
      <paraID>76E76AEA</paraID>
      <start>5</start>
      <end>6</end>
      <status>unmodified</status>
      <modifiedWord/>
      <trackRevisions>false</trackRevisions>
    </reviewItem>
    <reviewItem>
      <errorID>9a489caa-58cd-44c9-b8d3-b4a0a62532d7</errorID>
      <errorWord>）</errorWord>
      <group>L1_Format</group>
      <groupName>格式问题</groupName>
      <ability>L2_HalfPunc_CN</ability>
      <abilityName>全半角检查</abilityName>
      <candidateList>
        <item>)</item>
      </candidateList>
      <explain>文本全半角错误。</explain>
      <paraID>76E76AEA</paraID>
      <start>7</start>
      <end>8</end>
      <status>unmodified</status>
      <modifiedWord/>
      <trackRevisions>false</trackRevisions>
    </reviewItem>
    <reviewItem>
      <errorID>2c9ac320-b58f-4410-8e27-79771373c022</errorID>
      <errorWord>…………</errorWord>
      <group>L1_Punc</group>
      <groupName>标点问题</groupName>
      <ability>L2_Punc_CN</ability>
      <abilityName>标点符号检查</abilityName>
      <candidateList>
        <item>……</item>
      </candidateList>
      <explain/>
      <paraID>26FD874C</paraID>
      <start>1</start>
      <end>5</end>
      <status>unmodified</status>
      <modifiedWord/>
      <trackRevisions>false</trackRevisions>
    </reviewItem>
    <reviewItem>
      <errorID>486bc97e-8457-4070-bf06-e1361e6d44c6</errorID>
      <errorWord>（</errorWord>
      <group>L1_Format</group>
      <groupName>格式问题</groupName>
      <ability>L2_HalfPunc_CN</ability>
      <abilityName>全半角检查</abilityName>
      <candidateList>
        <item>(</item>
      </candidateList>
      <explain>文本全半角错误。</explain>
      <paraID>26FD874C</paraID>
      <start>5</start>
      <end>6</end>
      <status>unmodified</status>
      <modifiedWord/>
      <trackRevisions>false</trackRevisions>
    </reviewItem>
    <reviewItem>
      <errorID>be4f8758-4ad6-4f5a-a207-828f06957f6f</errorID>
      <errorWord>）</errorWord>
      <group>L1_Format</group>
      <groupName>格式问题</groupName>
      <ability>L2_HalfPunc_CN</ability>
      <abilityName>全半角检查</abilityName>
      <candidateList>
        <item>)</item>
      </candidateList>
      <explain>文本全半角错误。</explain>
      <paraID>26FD874C</paraID>
      <start>7</start>
      <end>8</end>
      <status>unmodified</status>
      <modifiedWord/>
      <trackRevisions>false</trackRevisions>
    </reviewItem>
    <reviewItem>
      <errorID>50e066af-a5ce-4142-a65b-c806e96e1665</errorID>
      <errorWord>…………</errorWord>
      <group>L1_Punc</group>
      <groupName>标点问题</groupName>
      <ability>L2_Punc_CN</ability>
      <abilityName>标点符号检查</abilityName>
      <candidateList>
        <item>……</item>
      </candidateList>
      <explain/>
      <paraID>6F716401</paraID>
      <start>1</start>
      <end>5</end>
      <status>unmodified</status>
      <modifiedWord/>
      <trackRevisions>false</trackRevisions>
    </reviewItem>
    <reviewItem>
      <errorID>3610c557-4e4c-4605-b561-8efb3ad28082</errorID>
      <errorWord>（</errorWord>
      <group>L1_Format</group>
      <groupName>格式问题</groupName>
      <ability>L2_HalfPunc_CN</ability>
      <abilityName>全半角检查</abilityName>
      <candidateList>
        <item>(</item>
      </candidateList>
      <explain>文本全半角错误。</explain>
      <paraID>6F716401</paraID>
      <start>5</start>
      <end>6</end>
      <status>unmodified</status>
      <modifiedWord/>
      <trackRevisions>false</trackRevisions>
    </reviewItem>
    <reviewItem>
      <errorID>f1761cca-6e50-43cb-9816-9da71b152058</errorID>
      <errorWord>）</errorWord>
      <group>L1_Format</group>
      <groupName>格式问题</groupName>
      <ability>L2_HalfPunc_CN</ability>
      <abilityName>全半角检查</abilityName>
      <candidateList>
        <item>)</item>
      </candidateList>
      <explain>文本全半角错误。</explain>
      <paraID>6F716401</paraID>
      <start>7</start>
      <end>8</end>
      <status>unmodified</status>
      <modifiedWord/>
      <trackRevisions>false</trackRevisions>
    </reviewItem>
    <reviewItem>
      <errorID>99648818-69bb-43ba-a0c6-52740de2b12c</errorID>
      <errorWord>…………</errorWord>
      <group>L1_Punc</group>
      <groupName>标点问题</groupName>
      <ability>L2_Punc_CN</ability>
      <abilityName>标点符号检查</abilityName>
      <candidateList>
        <item>……</item>
      </candidateList>
      <explain/>
      <paraID>517F76D9</paraID>
      <start>1</start>
      <end>5</end>
      <status>unmodified</status>
      <modifiedWord/>
      <trackRevisions>false</trackRevisions>
    </reviewItem>
    <reviewItem>
      <errorID>9440557b-ec09-4574-ab11-1df785dce906</errorID>
      <errorWord>（</errorWord>
      <group>L1_Format</group>
      <groupName>格式问题</groupName>
      <ability>L2_HalfPunc_CN</ability>
      <abilityName>全半角检查</abilityName>
      <candidateList>
        <item>(</item>
      </candidateList>
      <explain>文本全半角错误。</explain>
      <paraID>517F76D9</paraID>
      <start>5</start>
      <end>6</end>
      <status>unmodified</status>
      <modifiedWord/>
      <trackRevisions>false</trackRevisions>
    </reviewItem>
    <reviewItem>
      <errorID>821c1d4b-f0eb-45ed-8ff9-074a1152cbd8</errorID>
      <errorWord>）</errorWord>
      <group>L1_Format</group>
      <groupName>格式问题</groupName>
      <ability>L2_HalfPunc_CN</ability>
      <abilityName>全半角检查</abilityName>
      <candidateList>
        <item>)</item>
      </candidateList>
      <explain>文本全半角错误。</explain>
      <paraID>517F76D9</paraID>
      <start>7</start>
      <end>8</end>
      <status>unmodified</status>
      <modifiedWord/>
      <trackRevisions>false</trackRevisions>
    </reviewItem>
    <reviewItem>
      <errorID>a784c386-e643-40ad-a38d-510ca92d4e1b</errorID>
      <errorWord>…………</errorWord>
      <group>L1_Punc</group>
      <groupName>标点问题</groupName>
      <ability>L2_Punc_CN</ability>
      <abilityName>标点符号检查</abilityName>
      <candidateList>
        <item>……</item>
      </candidateList>
      <explain/>
      <paraID>1C412F41</paraID>
      <start>1</start>
      <end>5</end>
      <status>unmodified</status>
      <modifiedWord/>
      <trackRevisions>false</trackRevisions>
    </reviewItem>
    <reviewItem>
      <errorID>35f969a3-8272-42fc-8f46-744b4d064504</errorID>
      <errorWord>（</errorWord>
      <group>L1_Format</group>
      <groupName>格式问题</groupName>
      <ability>L2_HalfPunc_CN</ability>
      <abilityName>全半角检查</abilityName>
      <candidateList>
        <item>(</item>
      </candidateList>
      <explain>文本全半角错误。</explain>
      <paraID>1C412F41</paraID>
      <start>5</start>
      <end>6</end>
      <status>unmodified</status>
      <modifiedWord/>
      <trackRevisions>false</trackRevisions>
    </reviewItem>
    <reviewItem>
      <errorID>cc191322-6c94-4e1b-a82f-83fb93b1d3a6</errorID>
      <errorWord>）</errorWord>
      <group>L1_Format</group>
      <groupName>格式问题</groupName>
      <ability>L2_HalfPunc_CN</ability>
      <abilityName>全半角检查</abilityName>
      <candidateList>
        <item>)</item>
      </candidateList>
      <explain>文本全半角错误。</explain>
      <paraID>1C412F41</paraID>
      <start>8</start>
      <end>9</end>
      <status>unmodified</status>
      <modifiedWord/>
      <trackRevisions>false</trackRevisions>
    </reviewItem>
    <reviewItem>
      <errorID>ff7396d3-1a28-428b-9ad7-86468b5b8a6a</errorID>
      <errorWord>…………</errorWord>
      <group>L1_Punc</group>
      <groupName>标点问题</groupName>
      <ability>L2_Punc_CN</ability>
      <abilityName>标点符号检查</abilityName>
      <candidateList>
        <item>……</item>
      </candidateList>
      <explain/>
      <paraID>2B8FC1F8</paraID>
      <start>1</start>
      <end>5</end>
      <status>unmodified</status>
      <modifiedWord/>
      <trackRevisions>false</trackRevisions>
    </reviewItem>
    <reviewItem>
      <errorID>5c82afbf-5bac-478c-a90e-e1105953afa8</errorID>
      <errorWord>（</errorWord>
      <group>L1_Format</group>
      <groupName>格式问题</groupName>
      <ability>L2_HalfPunc_CN</ability>
      <abilityName>全半角检查</abilityName>
      <candidateList>
        <item>(</item>
      </candidateList>
      <explain>文本全半角错误。</explain>
      <paraID>2B8FC1F8</paraID>
      <start>5</start>
      <end>6</end>
      <status>unmodified</status>
      <modifiedWord/>
      <trackRevisions>false</trackRevisions>
    </reviewItem>
    <reviewItem>
      <errorID>6e07b2bc-68b3-4880-b24d-23c264b33730</errorID>
      <errorWord>）</errorWord>
      <group>L1_Format</group>
      <groupName>格式问题</groupName>
      <ability>L2_HalfPunc_CN</ability>
      <abilityName>全半角检查</abilityName>
      <candidateList>
        <item>)</item>
      </candidateList>
      <explain>文本全半角错误。</explain>
      <paraID>2B8FC1F8</paraID>
      <start>8</start>
      <end>9</end>
      <status>unmodified</status>
      <modifiedWord/>
      <trackRevisions>false</trackRevisions>
    </reviewItem>
    <reviewItem>
      <errorID>48209c1b-d5d3-4e60-b01a-16ae3baa3068</errorID>
      <errorWord>…………</errorWord>
      <group>L1_Punc</group>
      <groupName>标点问题</groupName>
      <ability>L2_Punc_CN</ability>
      <abilityName>标点符号检查</abilityName>
      <candidateList>
        <item>……</item>
      </candidateList>
      <explain/>
      <paraID> D005641</paraID>
      <start>1</start>
      <end>5</end>
      <status>unmodified</status>
      <modifiedWord/>
      <trackRevisions>false</trackRevisions>
    </reviewItem>
    <reviewItem>
      <errorID>c330b8f4-7cc9-452b-9915-13d622bb3c8e</errorID>
      <errorWord>（</errorWord>
      <group>L1_Format</group>
      <groupName>格式问题</groupName>
      <ability>L2_HalfPunc_CN</ability>
      <abilityName>全半角检查</abilityName>
      <candidateList>
        <item>(</item>
      </candidateList>
      <explain>文本全半角错误。</explain>
      <paraID> D005641</paraID>
      <start>5</start>
      <end>6</end>
      <status>unmodified</status>
      <modifiedWord/>
      <trackRevisions>false</trackRevisions>
    </reviewItem>
    <reviewItem>
      <errorID>aff9c818-59cd-44e6-9a24-9708b710d20e</errorID>
      <errorWord>）</errorWord>
      <group>L1_Format</group>
      <groupName>格式问题</groupName>
      <ability>L2_HalfPunc_CN</ability>
      <abilityName>全半角检查</abilityName>
      <candidateList>
        <item>)</item>
      </candidateList>
      <explain>文本全半角错误。</explain>
      <paraID> D005641</paraID>
      <start>8</start>
      <end>9</end>
      <status>unmodified</status>
      <modifiedWord/>
      <trackRevisions>false</trackRevisions>
    </reviewItem>
    <reviewItem>
      <errorID>0841fc74-6b83-43c6-adb8-d57393d75d12</errorID>
      <errorWord>期</errorWord>
      <group>L1_Word</group>
      <groupName>字词问题</groupName>
      <ability>L2_Typo</ability>
      <abilityName>字词错误</abilityName>
      <candidateList>
        <item>期间</item>
      </candidateList>
      <explain>〈名〉某个时期里面：农忙～｜春节～｜抗战～。</explain>
      <paraID>1CA09E19</paraID>
      <start>4</start>
      <end>5</end>
      <status>unmodified</status>
      <modifiedWord/>
      <trackRevisions>false</trackRevisions>
    </reviewItem>
    <reviewItem>
      <errorID>87c6d10a-0654-4fc8-a73c-88deb5cca5e0</errorID>
      <errorWord>宣传和</errorWord>
      <group>L1_Word</group>
      <groupName>字词问题</groupName>
      <ability>L2_Typo</ability>
      <abilityName>字词错误</abilityName>
      <candidateList>
        <item>宣传</item>
      </candidateList>
      <explain>〈动〉对群众说明讲解，使群众相信并跟着行动：～队｜～交通法规。</explain>
      <paraID>1CA09E19</paraID>
      <start>68</start>
      <end>71</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b40b966-e7c6-4f65-b4f8-099147200cd0}">
  <ds:schemaRefs/>
</ds:datastoreItem>
</file>

<file path=docProps/app.xml><?xml version="1.0" encoding="utf-8"?>
<Properties xmlns="http://schemas.openxmlformats.org/officeDocument/2006/extended-properties" xmlns:vt="http://schemas.openxmlformats.org/officeDocument/2006/docPropsVTypes">
  <Template>Normal.dotm</Template>
  <Pages>113</Pages>
  <Words>3964</Words>
  <Characters>4841</Characters>
  <Lines>0</Lines>
  <Paragraphs>0</Paragraphs>
  <TotalTime>0</TotalTime>
  <ScaleCrop>false</ScaleCrop>
  <LinksUpToDate>false</LinksUpToDate>
  <CharactersWithSpaces>4873</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2021-01-04T07:21:00Z</dcterms:created>
  <dc:creator>秋风落叶</dc:creator>
  <cp:lastModifiedBy>做自己</cp:lastModifiedBy>
  <cp:lastPrinted>2024-08-22T09:48:00Z</cp:lastPrinted>
  <dcterms:modified xsi:type="dcterms:W3CDTF">2026-06-04T08:09:09Z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D9C1DB973C2B44C9824DC1DD00BEFBE6_13</vt:lpwstr>
  </property>
  <property fmtid="{D5CDD505-2E9C-101B-9397-08002B2CF9AE}" pid="4" name="KSOTemplateDocerSaveRecord">
    <vt:lpwstr>eyJoZGlkIjoiOTVhMGY0MThjZjIwOWRlMDMxY2FiNTE1M2U1MThmZGYiLCJ1c2VySWQiOiIzOTU3MjQyNzgifQ==</vt:lpwstr>
  </property>
</Properties>
</file>